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99DFA" w14:textId="77777777" w:rsidR="00704D81" w:rsidRDefault="00704D81"/>
    <w:p w14:paraId="5FAE8831" w14:textId="77777777" w:rsidR="005B59E4" w:rsidRDefault="005B59E4"/>
    <w:tbl>
      <w:tblPr>
        <w:tblpPr w:leftFromText="141" w:rightFromText="141" w:vertAnchor="text" w:horzAnchor="margin" w:tblpX="142" w:tblpY="-216"/>
        <w:tblW w:w="9887" w:type="dxa"/>
        <w:tblCellMar>
          <w:left w:w="70" w:type="dxa"/>
          <w:right w:w="70" w:type="dxa"/>
        </w:tblCellMar>
        <w:tblLook w:val="0000" w:firstRow="0" w:lastRow="0" w:firstColumn="0" w:lastColumn="0" w:noHBand="0" w:noVBand="0"/>
      </w:tblPr>
      <w:tblGrid>
        <w:gridCol w:w="5215"/>
        <w:gridCol w:w="4672"/>
      </w:tblGrid>
      <w:tr w:rsidR="00C46307" w:rsidRPr="007A578E" w14:paraId="7A925D34" w14:textId="77777777" w:rsidTr="00C46307">
        <w:trPr>
          <w:trHeight w:val="142"/>
        </w:trPr>
        <w:tc>
          <w:tcPr>
            <w:tcW w:w="5215" w:type="dxa"/>
          </w:tcPr>
          <w:p w14:paraId="2CA5FEF7" w14:textId="573FDBA2" w:rsidR="00F71061" w:rsidRPr="00F71061" w:rsidRDefault="00F71061" w:rsidP="00C46307">
            <w:pPr>
              <w:pStyle w:val="Encabezado"/>
              <w:tabs>
                <w:tab w:val="clear" w:pos="4419"/>
                <w:tab w:val="clear" w:pos="8838"/>
              </w:tabs>
              <w:rPr>
                <w:rStyle w:val="EncabezadoTelecom"/>
                <w:b/>
                <w:lang w:val="pt-BR"/>
              </w:rPr>
            </w:pPr>
          </w:p>
          <w:p w14:paraId="79D4C2B5" w14:textId="07F3BCFE" w:rsidR="00EA74C9" w:rsidRPr="00881865" w:rsidRDefault="00EA74C9" w:rsidP="00C46307">
            <w:pPr>
              <w:pStyle w:val="Encabezado"/>
              <w:tabs>
                <w:tab w:val="clear" w:pos="4419"/>
                <w:tab w:val="clear" w:pos="8838"/>
              </w:tabs>
              <w:rPr>
                <w:rStyle w:val="EncabezadoTelecom"/>
                <w:b/>
                <w:lang w:val="pt-BR"/>
              </w:rPr>
            </w:pPr>
            <w:proofErr w:type="spellStart"/>
            <w:r w:rsidRPr="00881865">
              <w:rPr>
                <w:rStyle w:val="EncabezadoTelecom"/>
                <w:b/>
                <w:lang w:val="pt-BR"/>
              </w:rPr>
              <w:t>Contact</w:t>
            </w:r>
            <w:r w:rsidR="00637C50" w:rsidRPr="00881865">
              <w:rPr>
                <w:rStyle w:val="EncabezadoTelecom"/>
                <w:b/>
                <w:lang w:val="pt-BR"/>
              </w:rPr>
              <w:t>s</w:t>
            </w:r>
            <w:proofErr w:type="spellEnd"/>
            <w:r w:rsidRPr="00881865">
              <w:rPr>
                <w:rStyle w:val="EncabezadoTelecom"/>
                <w:b/>
                <w:lang w:val="pt-BR"/>
              </w:rPr>
              <w:t>:</w:t>
            </w:r>
          </w:p>
          <w:p w14:paraId="16AF76A8" w14:textId="25F865CD" w:rsidR="00C83773" w:rsidRPr="007642C0" w:rsidRDefault="002C3FDD" w:rsidP="00C46307">
            <w:pPr>
              <w:pStyle w:val="Encabezado"/>
              <w:tabs>
                <w:tab w:val="clear" w:pos="4419"/>
                <w:tab w:val="clear" w:pos="8838"/>
              </w:tabs>
              <w:rPr>
                <w:rStyle w:val="EncabezadoTelecom"/>
                <w:lang w:val="pt-BR"/>
              </w:rPr>
            </w:pPr>
            <w:r w:rsidRPr="00881865">
              <w:rPr>
                <w:rStyle w:val="EncabezadoTelecom"/>
                <w:lang w:val="pt-BR"/>
              </w:rPr>
              <w:t>Luis Fernando Rial Ubago</w:t>
            </w:r>
            <w:r w:rsidR="00C83773">
              <w:rPr>
                <w:rStyle w:val="EncabezadoTelecom"/>
                <w:lang w:val="pt-BR"/>
              </w:rPr>
              <w:t xml:space="preserve"> - lfrialubago@teco.com.ar</w:t>
            </w:r>
          </w:p>
          <w:p w14:paraId="31CB2AA4" w14:textId="4D9ADA88" w:rsidR="00C83773" w:rsidRPr="008D1B0E" w:rsidRDefault="00294619" w:rsidP="00C46307">
            <w:pPr>
              <w:pStyle w:val="Encabezado"/>
              <w:tabs>
                <w:tab w:val="clear" w:pos="4419"/>
                <w:tab w:val="clear" w:pos="8838"/>
              </w:tabs>
              <w:rPr>
                <w:sz w:val="16"/>
              </w:rPr>
            </w:pPr>
            <w:r w:rsidRPr="008D1B0E">
              <w:rPr>
                <w:rStyle w:val="EncabezadoTelecom"/>
              </w:rPr>
              <w:t>Tomás Pellicori</w:t>
            </w:r>
            <w:r w:rsidR="00C83773" w:rsidRPr="008D1B0E">
              <w:rPr>
                <w:rStyle w:val="EncabezadoTelecom"/>
              </w:rPr>
              <w:t xml:space="preserve"> - tlpellicori@teco.com.ar</w:t>
            </w:r>
          </w:p>
        </w:tc>
        <w:tc>
          <w:tcPr>
            <w:tcW w:w="4672" w:type="dxa"/>
          </w:tcPr>
          <w:p w14:paraId="725B0E30" w14:textId="0744AB38" w:rsidR="00360EB1" w:rsidRPr="00D77CA4" w:rsidRDefault="009568DF" w:rsidP="00C46307">
            <w:pPr>
              <w:pStyle w:val="Encabezado"/>
              <w:tabs>
                <w:tab w:val="clear" w:pos="4419"/>
                <w:tab w:val="clear" w:pos="8838"/>
                <w:tab w:val="left" w:pos="2835"/>
                <w:tab w:val="left" w:pos="5670"/>
              </w:tabs>
              <w:ind w:left="2835" w:hanging="2835"/>
              <w:jc w:val="right"/>
              <w:rPr>
                <w:rStyle w:val="EncabezadoTelecom"/>
                <w:lang w:val="en-US"/>
              </w:rPr>
            </w:pPr>
            <w:r w:rsidRPr="00D77CA4">
              <w:rPr>
                <w:rStyle w:val="EncabezadoTelecom"/>
                <w:b/>
                <w:lang w:val="en-US"/>
              </w:rPr>
              <w:t xml:space="preserve">Market Cap (NYSE: TEO): </w:t>
            </w:r>
            <w:r w:rsidRPr="00D77CA4">
              <w:rPr>
                <w:rStyle w:val="EncabezadoTelecom"/>
                <w:bCs/>
                <w:lang w:val="en-US"/>
              </w:rPr>
              <w:t>US$</w:t>
            </w:r>
            <w:r w:rsidR="008D3B94">
              <w:rPr>
                <w:rStyle w:val="EncabezadoTelecom"/>
                <w:bCs/>
                <w:lang w:val="en-US"/>
              </w:rPr>
              <w:t xml:space="preserve"> </w:t>
            </w:r>
            <w:r w:rsidR="008D3B94" w:rsidRPr="008D3B94">
              <w:rPr>
                <w:rStyle w:val="EncabezadoTelecom"/>
                <w:bCs/>
                <w:lang w:val="en-US"/>
              </w:rPr>
              <w:t>4,346.14</w:t>
            </w:r>
            <w:r w:rsidR="00B22DC4">
              <w:rPr>
                <w:rStyle w:val="EncabezadoTelecom"/>
                <w:bCs/>
                <w:lang w:val="en-US"/>
              </w:rPr>
              <w:t xml:space="preserve"> </w:t>
            </w:r>
            <w:r w:rsidRPr="00D77CA4">
              <w:rPr>
                <w:rStyle w:val="EncabezadoTelecom"/>
                <w:bCs/>
                <w:lang w:val="en-US"/>
              </w:rPr>
              <w:t>million</w:t>
            </w:r>
            <w:r w:rsidR="00B04F41" w:rsidRPr="00B04F41">
              <w:rPr>
                <w:rStyle w:val="EncabezadoTelecom"/>
                <w:bCs/>
                <w:vertAlign w:val="superscript"/>
                <w:lang w:val="en-US"/>
              </w:rPr>
              <w:t>1</w:t>
            </w:r>
            <w:r w:rsidRPr="00D77CA4">
              <w:rPr>
                <w:rStyle w:val="EncabezadoTelecom"/>
                <w:b/>
                <w:lang w:val="en-US"/>
              </w:rPr>
              <w:t xml:space="preserve"> </w:t>
            </w:r>
            <w:r w:rsidR="00A07392" w:rsidRPr="00D77CA4">
              <w:rPr>
                <w:rStyle w:val="EncabezadoTelecom"/>
                <w:lang w:val="en-US"/>
              </w:rPr>
              <w:t xml:space="preserve">                      </w:t>
            </w:r>
          </w:p>
          <w:p w14:paraId="2A3C356F" w14:textId="77777777" w:rsidR="00360EB1" w:rsidRPr="00D77CA4" w:rsidRDefault="00360EB1" w:rsidP="00C46307">
            <w:pPr>
              <w:pStyle w:val="Encabezado"/>
              <w:tabs>
                <w:tab w:val="clear" w:pos="4419"/>
                <w:tab w:val="clear" w:pos="8838"/>
                <w:tab w:val="left" w:pos="2835"/>
                <w:tab w:val="left" w:pos="5670"/>
              </w:tabs>
              <w:rPr>
                <w:rStyle w:val="EncabezadoTelecom"/>
                <w:lang w:val="en-US"/>
              </w:rPr>
            </w:pPr>
            <w:r w:rsidRPr="00D77CA4">
              <w:rPr>
                <w:rStyle w:val="EncabezadoTelecom"/>
                <w:lang w:val="en-US"/>
              </w:rPr>
              <w:tab/>
            </w:r>
          </w:p>
          <w:p w14:paraId="62DAAFAD" w14:textId="77777777" w:rsidR="00360EB1" w:rsidRPr="00D77CA4" w:rsidRDefault="00360EB1" w:rsidP="00C46307">
            <w:pPr>
              <w:pStyle w:val="Encabezado"/>
              <w:rPr>
                <w:rStyle w:val="EncabezadoTelecom"/>
                <w:lang w:val="en-US"/>
              </w:rPr>
            </w:pPr>
          </w:p>
        </w:tc>
      </w:tr>
    </w:tbl>
    <w:p w14:paraId="5C0EA088" w14:textId="77777777" w:rsidR="00E929B9" w:rsidRPr="00D77CA4" w:rsidRDefault="00E929B9" w:rsidP="00360EB1">
      <w:pPr>
        <w:pStyle w:val="Encabezado"/>
        <w:tabs>
          <w:tab w:val="clear" w:pos="4419"/>
          <w:tab w:val="clear" w:pos="8838"/>
          <w:tab w:val="left" w:pos="2835"/>
          <w:tab w:val="left" w:pos="5670"/>
        </w:tabs>
        <w:rPr>
          <w:rFonts w:ascii="Calibri" w:hAnsi="Calibri" w:cs="Arial"/>
          <w:color w:val="808080"/>
          <w:lang w:val="en-US"/>
        </w:rPr>
      </w:pPr>
    </w:p>
    <w:tbl>
      <w:tblPr>
        <w:tblW w:w="9781" w:type="dxa"/>
        <w:tblInd w:w="284" w:type="dxa"/>
        <w:tblLayout w:type="fixed"/>
        <w:tblCellMar>
          <w:left w:w="70" w:type="dxa"/>
          <w:right w:w="70" w:type="dxa"/>
        </w:tblCellMar>
        <w:tblLook w:val="0000" w:firstRow="0" w:lastRow="0" w:firstColumn="0" w:lastColumn="0" w:noHBand="0" w:noVBand="0"/>
      </w:tblPr>
      <w:tblGrid>
        <w:gridCol w:w="9781"/>
      </w:tblGrid>
      <w:tr w:rsidR="00C46307" w:rsidRPr="007A578E" w14:paraId="4468D5BF" w14:textId="77777777" w:rsidTr="00003676">
        <w:trPr>
          <w:trHeight w:val="159"/>
        </w:trPr>
        <w:tc>
          <w:tcPr>
            <w:tcW w:w="9781" w:type="dxa"/>
          </w:tcPr>
          <w:p w14:paraId="792D3EB8" w14:textId="77777777" w:rsidR="00B22DC4" w:rsidRPr="00B22DC4" w:rsidRDefault="00B22DC4" w:rsidP="00B22DC4">
            <w:pPr>
              <w:pStyle w:val="Default"/>
              <w:jc w:val="center"/>
              <w:rPr>
                <w:rFonts w:ascii="Pulso" w:hAnsi="Pulso" w:cs="Arial"/>
                <w:b/>
                <w:color w:val="3C009F"/>
                <w:sz w:val="34"/>
                <w:szCs w:val="34"/>
                <w:u w:val="single"/>
                <w:lang w:val="en-US"/>
              </w:rPr>
            </w:pPr>
            <w:r w:rsidRPr="00B22DC4">
              <w:rPr>
                <w:rFonts w:ascii="Pulso" w:hAnsi="Pulso" w:cs="Arial"/>
                <w:b/>
                <w:color w:val="3C009F"/>
                <w:sz w:val="34"/>
                <w:szCs w:val="34"/>
                <w:u w:val="single"/>
                <w:lang w:val="en-US"/>
              </w:rPr>
              <w:t xml:space="preserve">Telecom Argentina S.A. </w:t>
            </w:r>
          </w:p>
          <w:p w14:paraId="2011283F" w14:textId="2123ACC1" w:rsidR="009568DF" w:rsidRPr="00003676" w:rsidRDefault="00B22DC4" w:rsidP="00B22DC4">
            <w:pPr>
              <w:pStyle w:val="Tituloprincipal"/>
              <w:rPr>
                <w:bCs/>
                <w:lang w:val="en-US"/>
              </w:rPr>
            </w:pPr>
            <w:r w:rsidRPr="00B22DC4">
              <w:rPr>
                <w:lang w:val="en-US"/>
              </w:rPr>
              <w:t>announces consolidated results for the first half (“1H2</w:t>
            </w:r>
            <w:r>
              <w:rPr>
                <w:lang w:val="en-US"/>
              </w:rPr>
              <w:t>5</w:t>
            </w:r>
            <w:r w:rsidRPr="00B22DC4">
              <w:rPr>
                <w:lang w:val="en-US"/>
              </w:rPr>
              <w:t>”) and second quarter of fiscal year 202</w:t>
            </w:r>
            <w:r>
              <w:rPr>
                <w:lang w:val="en-US"/>
              </w:rPr>
              <w:t>5</w:t>
            </w:r>
            <w:r w:rsidRPr="00B22DC4">
              <w:rPr>
                <w:lang w:val="en-US"/>
              </w:rPr>
              <w:t xml:space="preserve"> (“2Q2</w:t>
            </w:r>
            <w:r>
              <w:rPr>
                <w:lang w:val="en-US"/>
              </w:rPr>
              <w:t>5</w:t>
            </w:r>
            <w:r w:rsidRPr="00B22DC4">
              <w:rPr>
                <w:lang w:val="en-US"/>
              </w:rPr>
              <w:t>”)</w:t>
            </w:r>
            <w:r w:rsidR="00A62868" w:rsidRPr="00FB080C">
              <w:rPr>
                <w:u w:val="none"/>
                <w:vertAlign w:val="superscript"/>
                <w:lang w:val="en-US"/>
              </w:rPr>
              <w:t xml:space="preserve"> </w:t>
            </w:r>
            <w:r w:rsidR="00B04F41">
              <w:rPr>
                <w:u w:val="none"/>
                <w:vertAlign w:val="superscript"/>
                <w:lang w:val="en-US"/>
              </w:rPr>
              <w:t>2</w:t>
            </w:r>
          </w:p>
          <w:p w14:paraId="04003CF8" w14:textId="77777777" w:rsidR="00EF2DD1" w:rsidRPr="00003676" w:rsidRDefault="00EF2DD1" w:rsidP="00EF2DD1">
            <w:pPr>
              <w:pStyle w:val="Titulosecundario"/>
              <w:rPr>
                <w:lang w:val="en-US"/>
              </w:rPr>
            </w:pPr>
          </w:p>
          <w:p w14:paraId="47B34B9E" w14:textId="16145B1B" w:rsidR="00EF2DD1" w:rsidRPr="00B6111D" w:rsidRDefault="00E17878" w:rsidP="00C66E14">
            <w:pPr>
              <w:jc w:val="both"/>
              <w:rPr>
                <w:rStyle w:val="nfasis"/>
                <w:highlight w:val="cyan"/>
                <w:lang w:val="en-US"/>
              </w:rPr>
            </w:pPr>
            <w:r w:rsidRPr="00B6111D">
              <w:rPr>
                <w:i/>
                <w:iCs/>
                <w:sz w:val="16"/>
                <w:lang w:val="en-US"/>
              </w:rPr>
              <w:t xml:space="preserve">Note: </w:t>
            </w:r>
            <w:r w:rsidR="00B22DC4" w:rsidRPr="00B6111D">
              <w:rPr>
                <w:i/>
                <w:iCs/>
                <w:sz w:val="16"/>
                <w:lang w:val="en-US"/>
              </w:rPr>
              <w:t>1H25</w:t>
            </w:r>
            <w:r w:rsidRPr="00B6111D">
              <w:rPr>
                <w:i/>
                <w:iCs/>
                <w:sz w:val="16"/>
                <w:lang w:val="en-US"/>
              </w:rPr>
              <w:t xml:space="preserve"> figures include the effects of the adoption of inflationary accounting in accordance with IAS 29. Therefore, comments regarding </w:t>
            </w:r>
            <w:r w:rsidR="00B22DC4" w:rsidRPr="00B6111D">
              <w:rPr>
                <w:i/>
                <w:iCs/>
                <w:sz w:val="16"/>
                <w:lang w:val="en-US"/>
              </w:rPr>
              <w:t>1H25</w:t>
            </w:r>
            <w:r w:rsidRPr="00B6111D">
              <w:rPr>
                <w:i/>
                <w:iCs/>
                <w:sz w:val="16"/>
                <w:lang w:val="en-US"/>
              </w:rPr>
              <w:t xml:space="preserve"> results and changes in </w:t>
            </w:r>
            <w:r w:rsidR="00B22DC4" w:rsidRPr="00B6111D">
              <w:rPr>
                <w:i/>
                <w:iCs/>
                <w:sz w:val="16"/>
                <w:lang w:val="en-US"/>
              </w:rPr>
              <w:t>1H24</w:t>
            </w:r>
            <w:r w:rsidRPr="00B6111D">
              <w:rPr>
                <w:i/>
                <w:iCs/>
                <w:sz w:val="16"/>
                <w:lang w:val="en-US"/>
              </w:rPr>
              <w:t xml:space="preserve"> results mentioned in this press release correspond to “restated for inflation” or “constant” figures. The comments corresponding to the </w:t>
            </w:r>
            <w:r w:rsidRPr="00B6111D">
              <w:rPr>
                <w:i/>
                <w:iCs/>
                <w:sz w:val="16"/>
                <w:u w:val="single"/>
                <w:lang w:val="en-US"/>
              </w:rPr>
              <w:t xml:space="preserve">consolidated results for </w:t>
            </w:r>
            <w:r w:rsidR="00B22DC4" w:rsidRPr="00B6111D">
              <w:rPr>
                <w:i/>
                <w:iCs/>
                <w:sz w:val="16"/>
                <w:u w:val="single"/>
                <w:lang w:val="en-US"/>
              </w:rPr>
              <w:t>1H25</w:t>
            </w:r>
            <w:r w:rsidRPr="00B6111D">
              <w:rPr>
                <w:i/>
                <w:iCs/>
                <w:sz w:val="16"/>
                <w:u w:val="single"/>
                <w:lang w:val="en-US"/>
              </w:rPr>
              <w:t xml:space="preserve"> include the results of Telefónica </w:t>
            </w:r>
            <w:proofErr w:type="spellStart"/>
            <w:r w:rsidRPr="00B6111D">
              <w:rPr>
                <w:i/>
                <w:iCs/>
                <w:sz w:val="16"/>
                <w:u w:val="single"/>
                <w:lang w:val="en-US"/>
              </w:rPr>
              <w:t>Móviles</w:t>
            </w:r>
            <w:proofErr w:type="spellEnd"/>
            <w:r w:rsidRPr="00B6111D">
              <w:rPr>
                <w:i/>
                <w:iCs/>
                <w:sz w:val="16"/>
                <w:u w:val="single"/>
                <w:lang w:val="en-US"/>
              </w:rPr>
              <w:t xml:space="preserve"> Argentina (“TMA”) for the </w:t>
            </w:r>
            <w:r w:rsidR="00F24031" w:rsidRPr="00B6111D">
              <w:rPr>
                <w:i/>
                <w:iCs/>
                <w:sz w:val="16"/>
                <w:u w:val="single"/>
                <w:lang w:val="en-US"/>
              </w:rPr>
              <w:t>four-month</w:t>
            </w:r>
            <w:r w:rsidRPr="00B6111D">
              <w:rPr>
                <w:i/>
                <w:iCs/>
                <w:sz w:val="16"/>
                <w:u w:val="single"/>
                <w:lang w:val="en-US"/>
              </w:rPr>
              <w:t xml:space="preserve"> period from March 1 to </w:t>
            </w:r>
            <w:r w:rsidR="00B22DC4" w:rsidRPr="00B6111D">
              <w:rPr>
                <w:i/>
                <w:iCs/>
                <w:sz w:val="16"/>
                <w:u w:val="single"/>
                <w:lang w:val="en-US"/>
              </w:rPr>
              <w:t>June 30</w:t>
            </w:r>
            <w:r w:rsidRPr="00B6111D">
              <w:rPr>
                <w:i/>
                <w:iCs/>
                <w:sz w:val="16"/>
                <w:u w:val="single"/>
                <w:lang w:val="en-US"/>
              </w:rPr>
              <w:t>, 2025</w:t>
            </w:r>
            <w:r w:rsidRPr="00B6111D">
              <w:rPr>
                <w:i/>
                <w:iCs/>
                <w:sz w:val="16"/>
                <w:lang w:val="en-US"/>
              </w:rPr>
              <w:t xml:space="preserve">, unless otherwise specified. </w:t>
            </w:r>
          </w:p>
        </w:tc>
      </w:tr>
    </w:tbl>
    <w:p w14:paraId="04DCE911" w14:textId="4EBB0AC7" w:rsidR="00E929B9" w:rsidRPr="00D77CA4" w:rsidRDefault="00F24031" w:rsidP="00DF5AEE">
      <w:pPr>
        <w:pStyle w:val="Prrafodelista"/>
        <w:numPr>
          <w:ilvl w:val="0"/>
          <w:numId w:val="1"/>
        </w:numPr>
        <w:spacing w:after="120"/>
        <w:ind w:left="142" w:right="-425" w:hanging="284"/>
        <w:jc w:val="both"/>
        <w:rPr>
          <w:b/>
          <w:lang w:val="en-US"/>
        </w:rPr>
      </w:pPr>
      <w:r w:rsidRPr="00F24031">
        <w:rPr>
          <w:b/>
          <w:lang w:val="en-US"/>
        </w:rPr>
        <w:t xml:space="preserve">For </w:t>
      </w:r>
      <w:r w:rsidR="005F5D8E">
        <w:rPr>
          <w:b/>
          <w:lang w:val="en-US"/>
        </w:rPr>
        <w:t>analysis</w:t>
      </w:r>
      <w:r w:rsidR="005F5D8E" w:rsidRPr="00F24031">
        <w:rPr>
          <w:b/>
          <w:lang w:val="en-US"/>
        </w:rPr>
        <w:t xml:space="preserve"> </w:t>
      </w:r>
      <w:r w:rsidRPr="00F24031">
        <w:rPr>
          <w:b/>
          <w:lang w:val="en-US"/>
        </w:rPr>
        <w:t xml:space="preserve">purposes, it is important to highlight that the comparative results (June 2024) reflect the year-over-year </w:t>
      </w:r>
      <w:r w:rsidR="005F5D8E">
        <w:rPr>
          <w:b/>
          <w:lang w:val="en-US"/>
        </w:rPr>
        <w:t>effect</w:t>
      </w:r>
      <w:r w:rsidR="005F5D8E" w:rsidRPr="00F24031">
        <w:rPr>
          <w:b/>
          <w:lang w:val="en-US"/>
        </w:rPr>
        <w:t xml:space="preserve"> </w:t>
      </w:r>
      <w:r w:rsidRPr="00F24031">
        <w:rPr>
          <w:b/>
          <w:lang w:val="en-US"/>
        </w:rPr>
        <w:t xml:space="preserve">of inflation through June 2025, which reached 39.4%. Additionally, </w:t>
      </w:r>
      <w:r w:rsidRPr="00DF669C">
        <w:rPr>
          <w:b/>
          <w:u w:val="single"/>
          <w:lang w:val="en-US"/>
        </w:rPr>
        <w:t>the consolidated results for 1H25 include four months of contributions from TMA</w:t>
      </w:r>
      <w:r w:rsidRPr="00F24031">
        <w:rPr>
          <w:b/>
          <w:lang w:val="en-US"/>
        </w:rPr>
        <w:t>, which were not present in the comparative period 1H24</w:t>
      </w:r>
      <w:r w:rsidR="009568DF" w:rsidRPr="00D77CA4">
        <w:rPr>
          <w:b/>
          <w:lang w:val="en-US"/>
        </w:rPr>
        <w:t>.</w:t>
      </w:r>
    </w:p>
    <w:p w14:paraId="11A44018" w14:textId="5D1C6999" w:rsidR="0058167C" w:rsidRDefault="00F24031" w:rsidP="00DF5AEE">
      <w:pPr>
        <w:pStyle w:val="Prrafodelista"/>
        <w:numPr>
          <w:ilvl w:val="0"/>
          <w:numId w:val="1"/>
        </w:numPr>
        <w:spacing w:after="120"/>
        <w:ind w:left="142" w:right="-425" w:hanging="284"/>
        <w:jc w:val="both"/>
        <w:rPr>
          <w:b/>
          <w:lang w:val="en-US"/>
        </w:rPr>
      </w:pPr>
      <w:r w:rsidRPr="00F24031">
        <w:rPr>
          <w:b/>
          <w:lang w:val="en-US"/>
        </w:rPr>
        <w:t xml:space="preserve">During 1H25, </w:t>
      </w:r>
      <w:r w:rsidRPr="00DF669C">
        <w:rPr>
          <w:b/>
          <w:u w:val="single"/>
          <w:lang w:val="en-US"/>
        </w:rPr>
        <w:t>consolidated revenues</w:t>
      </w:r>
      <w:r w:rsidRPr="00F24031">
        <w:rPr>
          <w:b/>
          <w:lang w:val="en-US"/>
        </w:rPr>
        <w:t xml:space="preserve"> totaled P$3,357,004 million. Service revenues reached P$3,160,986 million in 1H25, with the following breakdown</w:t>
      </w:r>
      <w:r w:rsidR="0058167C">
        <w:rPr>
          <w:b/>
          <w:lang w:val="en-US"/>
        </w:rPr>
        <w:t>:</w:t>
      </w:r>
    </w:p>
    <w:p w14:paraId="72DC4ACE" w14:textId="2DD5C63B" w:rsidR="00F24031" w:rsidRDefault="00F24031" w:rsidP="002935D9">
      <w:pPr>
        <w:pStyle w:val="Prrafodelista"/>
        <w:numPr>
          <w:ilvl w:val="1"/>
          <w:numId w:val="1"/>
        </w:numPr>
        <w:spacing w:after="60"/>
        <w:ind w:left="709" w:right="-425" w:hanging="284"/>
        <w:jc w:val="both"/>
        <w:rPr>
          <w:b/>
          <w:lang w:val="en-US"/>
        </w:rPr>
      </w:pPr>
      <w:r w:rsidRPr="00F24031">
        <w:rPr>
          <w:b/>
          <w:u w:val="single"/>
          <w:lang w:val="en-US"/>
        </w:rPr>
        <w:t>Telecom (excluding TMA):</w:t>
      </w:r>
      <w:r w:rsidRPr="00F24031">
        <w:rPr>
          <w:b/>
          <w:lang w:val="en-US"/>
        </w:rPr>
        <w:t xml:space="preserve"> +3.8% vs. 1H24 (vs. -11.7% in real terms in 1H24 vs. 1H23)</w:t>
      </w:r>
      <w:r>
        <w:rPr>
          <w:b/>
          <w:lang w:val="en-US"/>
        </w:rPr>
        <w:t>.</w:t>
      </w:r>
    </w:p>
    <w:p w14:paraId="30376C4A" w14:textId="713648AC" w:rsidR="00F24031" w:rsidRDefault="00F24031" w:rsidP="002935D9">
      <w:pPr>
        <w:pStyle w:val="Prrafodelista"/>
        <w:numPr>
          <w:ilvl w:val="1"/>
          <w:numId w:val="1"/>
        </w:numPr>
        <w:spacing w:after="60"/>
        <w:ind w:left="709" w:right="-425" w:hanging="284"/>
        <w:jc w:val="both"/>
        <w:rPr>
          <w:b/>
          <w:lang w:val="en-US"/>
        </w:rPr>
      </w:pPr>
      <w:r w:rsidRPr="00F24031">
        <w:rPr>
          <w:b/>
          <w:u w:val="single"/>
          <w:lang w:val="en-US"/>
        </w:rPr>
        <w:t>TMA:</w:t>
      </w:r>
      <w:r w:rsidRPr="00F24031">
        <w:rPr>
          <w:b/>
          <w:lang w:val="en-US"/>
        </w:rPr>
        <w:t xml:space="preserve"> +7.5% vs. 1H24. It is worth noting that Telecom does not determine TMA’s commercial or pricing policies.</w:t>
      </w:r>
    </w:p>
    <w:p w14:paraId="2FE4A318" w14:textId="7E10605E" w:rsidR="00F24031" w:rsidRDefault="00F24031" w:rsidP="002935D9">
      <w:pPr>
        <w:pStyle w:val="Prrafodelista"/>
        <w:numPr>
          <w:ilvl w:val="1"/>
          <w:numId w:val="1"/>
        </w:numPr>
        <w:spacing w:after="60"/>
        <w:ind w:left="709" w:right="-425" w:hanging="284"/>
        <w:jc w:val="both"/>
        <w:rPr>
          <w:b/>
          <w:lang w:val="en-US"/>
        </w:rPr>
      </w:pPr>
      <w:r w:rsidRPr="00F24031">
        <w:rPr>
          <w:b/>
          <w:u w:val="single"/>
          <w:lang w:val="en-US"/>
        </w:rPr>
        <w:t>Consolidated:</w:t>
      </w:r>
      <w:r w:rsidRPr="00F24031">
        <w:rPr>
          <w:b/>
          <w:lang w:val="en-US"/>
        </w:rPr>
        <w:t xml:space="preserve"> +44.2% vs. 1H24, including four months of TMA revenues </w:t>
      </w:r>
      <w:proofErr w:type="gramStart"/>
      <w:r w:rsidRPr="00F24031">
        <w:rPr>
          <w:b/>
          <w:lang w:val="en-US"/>
        </w:rPr>
        <w:t>not present</w:t>
      </w:r>
      <w:proofErr w:type="gramEnd"/>
      <w:r w:rsidRPr="00F24031">
        <w:rPr>
          <w:b/>
          <w:lang w:val="en-US"/>
        </w:rPr>
        <w:t xml:space="preserve"> in the comparative consolidated period (1H24)</w:t>
      </w:r>
      <w:r>
        <w:rPr>
          <w:b/>
          <w:lang w:val="en-US"/>
        </w:rPr>
        <w:t>.</w:t>
      </w:r>
    </w:p>
    <w:p w14:paraId="0BAA26E9" w14:textId="74E47289" w:rsidR="00FE78E1" w:rsidRPr="00FE78E1" w:rsidRDefault="00F24031" w:rsidP="00DF5AEE">
      <w:pPr>
        <w:pStyle w:val="Prrafodelista"/>
        <w:numPr>
          <w:ilvl w:val="0"/>
          <w:numId w:val="1"/>
        </w:numPr>
        <w:spacing w:after="120"/>
        <w:ind w:left="142" w:right="-425" w:hanging="284"/>
        <w:jc w:val="both"/>
        <w:rPr>
          <w:b/>
          <w:lang w:val="en-US"/>
        </w:rPr>
      </w:pPr>
      <w:r w:rsidRPr="00F24031">
        <w:rPr>
          <w:b/>
          <w:lang w:val="en-US"/>
        </w:rPr>
        <w:t>During 1H25, the customer base in Argentina showed positive evolution</w:t>
      </w:r>
      <w:r w:rsidR="00FE78E1" w:rsidRPr="00FE78E1">
        <w:rPr>
          <w:b/>
          <w:lang w:val="en-US"/>
        </w:rPr>
        <w:t>:</w:t>
      </w:r>
    </w:p>
    <w:p w14:paraId="19A37A82" w14:textId="5CC1CD76" w:rsidR="00FE78E1" w:rsidRPr="00F24031" w:rsidRDefault="00F24031" w:rsidP="002935D9">
      <w:pPr>
        <w:pStyle w:val="Prrafodelista"/>
        <w:numPr>
          <w:ilvl w:val="1"/>
          <w:numId w:val="1"/>
        </w:numPr>
        <w:spacing w:after="60"/>
        <w:ind w:left="709" w:right="-425" w:hanging="284"/>
        <w:jc w:val="both"/>
        <w:rPr>
          <w:b/>
          <w:lang w:val="en-US"/>
        </w:rPr>
      </w:pPr>
      <w:r w:rsidRPr="00DF669C">
        <w:rPr>
          <w:b/>
          <w:u w:val="single"/>
          <w:lang w:val="en-US"/>
        </w:rPr>
        <w:t>Telecom (excluding TMA):</w:t>
      </w:r>
      <w:r w:rsidRPr="00F24031">
        <w:rPr>
          <w:b/>
          <w:lang w:val="en-US"/>
        </w:rPr>
        <w:t xml:space="preserve"> Although </w:t>
      </w:r>
      <w:r w:rsidR="009A401B">
        <w:rPr>
          <w:b/>
          <w:lang w:val="en-US"/>
        </w:rPr>
        <w:t xml:space="preserve">total </w:t>
      </w:r>
      <w:r w:rsidRPr="00F24031">
        <w:rPr>
          <w:b/>
          <w:lang w:val="en-US"/>
        </w:rPr>
        <w:t xml:space="preserve">mobile </w:t>
      </w:r>
      <w:proofErr w:type="gramStart"/>
      <w:r w:rsidRPr="00F24031">
        <w:rPr>
          <w:b/>
          <w:lang w:val="en-US"/>
        </w:rPr>
        <w:t>accesses</w:t>
      </w:r>
      <w:proofErr w:type="gramEnd"/>
      <w:r w:rsidRPr="00F24031">
        <w:rPr>
          <w:b/>
          <w:lang w:val="en-US"/>
        </w:rPr>
        <w:t xml:space="preserve"> declined by 1.3%, reaching 20.9 million, postpaid </w:t>
      </w:r>
      <w:proofErr w:type="gramStart"/>
      <w:r w:rsidRPr="00F24031">
        <w:rPr>
          <w:b/>
          <w:lang w:val="en-US"/>
        </w:rPr>
        <w:t>accesses</w:t>
      </w:r>
      <w:proofErr w:type="gramEnd"/>
      <w:r w:rsidRPr="00F24031">
        <w:rPr>
          <w:b/>
          <w:lang w:val="en-US"/>
        </w:rPr>
        <w:t xml:space="preserve"> grew by 1.1%. </w:t>
      </w:r>
      <w:proofErr w:type="gramStart"/>
      <w:r w:rsidRPr="00F24031">
        <w:rPr>
          <w:b/>
          <w:lang w:val="en-US"/>
        </w:rPr>
        <w:t>Pay</w:t>
      </w:r>
      <w:proofErr w:type="gramEnd"/>
      <w:r w:rsidRPr="00F24031">
        <w:rPr>
          <w:b/>
          <w:lang w:val="en-US"/>
        </w:rPr>
        <w:t xml:space="preserve"> TV subscribers also increased, totaling 3.2 million in the period (+71 thousand or +2.3% vs. 1H24). Lastly, the fixed broadband segment registered a 1.5% increase in the customer base, totaling 4.1 million accesses (+60 thousand vs. 1H24)</w:t>
      </w:r>
      <w:r w:rsidR="00FE78E1" w:rsidRPr="00F24031">
        <w:rPr>
          <w:b/>
          <w:lang w:val="en-US"/>
        </w:rPr>
        <w:t>.</w:t>
      </w:r>
    </w:p>
    <w:p w14:paraId="2F9F9A1B" w14:textId="290D708D" w:rsidR="00FE78E1" w:rsidRPr="00DF669C" w:rsidRDefault="00DF669C" w:rsidP="002935D9">
      <w:pPr>
        <w:pStyle w:val="Prrafodelista"/>
        <w:numPr>
          <w:ilvl w:val="1"/>
          <w:numId w:val="1"/>
        </w:numPr>
        <w:spacing w:after="60"/>
        <w:ind w:left="709" w:right="-425" w:hanging="284"/>
        <w:jc w:val="both"/>
        <w:rPr>
          <w:b/>
          <w:lang w:val="en-US"/>
        </w:rPr>
      </w:pPr>
      <w:r w:rsidRPr="00DF669C">
        <w:rPr>
          <w:b/>
          <w:u w:val="single"/>
          <w:lang w:val="en-US"/>
        </w:rPr>
        <w:t>TMA:</w:t>
      </w:r>
      <w:r w:rsidRPr="00DF669C">
        <w:rPr>
          <w:b/>
          <w:lang w:val="en-US"/>
        </w:rPr>
        <w:t xml:space="preserve"> Total mobile accesses (including M2M) reached 19.3 million (+464 thousand or +2.5% vs. 1H24). Meanwhile, fixed broadband </w:t>
      </w:r>
      <w:proofErr w:type="gramStart"/>
      <w:r w:rsidRPr="00DF669C">
        <w:rPr>
          <w:b/>
          <w:lang w:val="en-US"/>
        </w:rPr>
        <w:t>accesses</w:t>
      </w:r>
      <w:proofErr w:type="gramEnd"/>
      <w:r w:rsidRPr="00DF669C">
        <w:rPr>
          <w:b/>
          <w:lang w:val="en-US"/>
        </w:rPr>
        <w:t xml:space="preserve"> totaled 1.6 million (+90 thousand or +6.0% vs. 1H24). Lastly, pay TV subscribers amounted to 0.4 million in the same period (-27 thousand or -6.1% vs. 1H24)</w:t>
      </w:r>
      <w:r w:rsidR="00FE78E1" w:rsidRPr="00DF669C">
        <w:rPr>
          <w:b/>
          <w:lang w:val="en-US"/>
        </w:rPr>
        <w:t>.</w:t>
      </w:r>
    </w:p>
    <w:p w14:paraId="4B118604" w14:textId="7A4F1F7E" w:rsidR="006F6953" w:rsidRPr="006F6953" w:rsidRDefault="006F6953" w:rsidP="00DF5AEE">
      <w:pPr>
        <w:pStyle w:val="Prrafodelista"/>
        <w:numPr>
          <w:ilvl w:val="0"/>
          <w:numId w:val="1"/>
        </w:numPr>
        <w:spacing w:after="120"/>
        <w:ind w:left="142" w:right="-425" w:hanging="284"/>
        <w:jc w:val="both"/>
        <w:rPr>
          <w:b/>
          <w:lang w:val="en-US"/>
        </w:rPr>
      </w:pPr>
      <w:r w:rsidRPr="006F6953">
        <w:rPr>
          <w:b/>
          <w:bCs/>
          <w:lang w:val="en-US"/>
        </w:rPr>
        <w:t xml:space="preserve">During 1H25, consolidated Operating Income before Depreciation, Amortization, and Impairment of Fixed Assets (“Operating Income before D, A &amp; I”) totaled </w:t>
      </w:r>
      <w:r>
        <w:rPr>
          <w:b/>
          <w:bCs/>
          <w:lang w:val="en-US"/>
        </w:rPr>
        <w:t>P</w:t>
      </w:r>
      <w:r w:rsidRPr="006F6953">
        <w:rPr>
          <w:b/>
          <w:bCs/>
          <w:lang w:val="en-US"/>
        </w:rPr>
        <w:t>$1,007,153 million (+45.9% vs 1H24, due to the contribution of 4 months of TMA), resulting in a consolidated margin of 30.0% (+0.3 p.p. vs 1H24). Telecom’s margin (excluding TMA) was 32.5% (+2.8 p.p. vs 1H24).</w:t>
      </w:r>
    </w:p>
    <w:p w14:paraId="3B2EE593" w14:textId="3C56C3BC" w:rsidR="0058167C" w:rsidRPr="0058167C" w:rsidRDefault="00DF669C" w:rsidP="00DF5AEE">
      <w:pPr>
        <w:pStyle w:val="Prrafodelista"/>
        <w:numPr>
          <w:ilvl w:val="0"/>
          <w:numId w:val="1"/>
        </w:numPr>
        <w:spacing w:after="120"/>
        <w:ind w:left="142" w:right="-425" w:hanging="284"/>
        <w:jc w:val="both"/>
        <w:rPr>
          <w:b/>
          <w:lang w:val="en-US"/>
        </w:rPr>
      </w:pPr>
      <w:r w:rsidRPr="00DF669C">
        <w:rPr>
          <w:b/>
          <w:lang w:val="en-US"/>
        </w:rPr>
        <w:t xml:space="preserve">During 1H25, the Company recorded a </w:t>
      </w:r>
      <w:r w:rsidRPr="00DF669C">
        <w:rPr>
          <w:b/>
          <w:u w:val="single"/>
          <w:lang w:val="en-US"/>
        </w:rPr>
        <w:t>consolidated</w:t>
      </w:r>
      <w:r w:rsidRPr="00DF669C">
        <w:rPr>
          <w:b/>
          <w:lang w:val="en-US"/>
        </w:rPr>
        <w:t xml:space="preserve"> net loss of P$75,554 million (vs. a profit of P$1,197,930 million in 1H24). This was mainly due to a loss </w:t>
      </w:r>
      <w:r w:rsidR="005F5D8E">
        <w:rPr>
          <w:b/>
          <w:lang w:val="en-US"/>
        </w:rPr>
        <w:t xml:space="preserve">recorded </w:t>
      </w:r>
      <w:r w:rsidRPr="00DF669C">
        <w:rPr>
          <w:b/>
          <w:lang w:val="en-US"/>
        </w:rPr>
        <w:t>in net financial results (vs. a gain in 1H24), partially offset by stronger operating results and a lower income tax loss</w:t>
      </w:r>
      <w:r w:rsidR="0058167C" w:rsidRPr="0058167C">
        <w:rPr>
          <w:b/>
          <w:lang w:val="en-US"/>
        </w:rPr>
        <w:t>.</w:t>
      </w:r>
    </w:p>
    <w:p w14:paraId="05DDC6F7" w14:textId="6AC9C36F" w:rsidR="0040305B" w:rsidRPr="009A401B" w:rsidRDefault="00DF669C" w:rsidP="009A401B">
      <w:pPr>
        <w:pStyle w:val="Prrafodelista"/>
        <w:numPr>
          <w:ilvl w:val="0"/>
          <w:numId w:val="1"/>
        </w:numPr>
        <w:spacing w:after="120"/>
        <w:ind w:left="142" w:right="-425" w:hanging="284"/>
        <w:jc w:val="both"/>
        <w:rPr>
          <w:b/>
          <w:lang w:val="en-US"/>
        </w:rPr>
      </w:pPr>
      <w:r w:rsidRPr="00DF669C">
        <w:rPr>
          <w:b/>
          <w:u w:val="single"/>
          <w:lang w:val="en-US"/>
        </w:rPr>
        <w:t>Consolidated</w:t>
      </w:r>
      <w:r w:rsidRPr="00DF669C">
        <w:rPr>
          <w:b/>
          <w:lang w:val="en-US"/>
        </w:rPr>
        <w:t xml:space="preserve"> CAPEX (excluding additions from rights of use) represented 14.3% of consolidated revenues in 1H25</w:t>
      </w:r>
      <w:r w:rsidR="0040305B" w:rsidRPr="00DF669C">
        <w:rPr>
          <w:b/>
          <w:lang w:val="en-US"/>
        </w:rPr>
        <w:t>.</w:t>
      </w:r>
      <w:r w:rsidR="00290723" w:rsidRPr="00DF669C">
        <w:rPr>
          <w:b/>
          <w:lang w:val="en-US"/>
        </w:rPr>
        <w:t xml:space="preserve"> </w:t>
      </w:r>
    </w:p>
    <w:p w14:paraId="45EF3CD0" w14:textId="3C7DE138" w:rsidR="00DF669C" w:rsidRDefault="00DF669C" w:rsidP="00DF5AEE">
      <w:pPr>
        <w:pStyle w:val="Prrafodelista"/>
        <w:numPr>
          <w:ilvl w:val="0"/>
          <w:numId w:val="1"/>
        </w:numPr>
        <w:spacing w:after="40"/>
        <w:ind w:left="142" w:right="-425" w:hanging="284"/>
        <w:jc w:val="both"/>
        <w:rPr>
          <w:b/>
          <w:lang w:val="en-US"/>
        </w:rPr>
      </w:pPr>
      <w:r w:rsidRPr="00DF669C">
        <w:rPr>
          <w:b/>
          <w:u w:val="single"/>
          <w:lang w:val="en-US"/>
        </w:rPr>
        <w:t>Consolidated</w:t>
      </w:r>
      <w:r w:rsidRPr="00DF669C">
        <w:rPr>
          <w:b/>
          <w:lang w:val="en-US"/>
        </w:rPr>
        <w:t xml:space="preserve"> Net Financial Debt totaled P$4,029,971 million as of June 30, 2025, increasing in real terms (+38.2% in constant currency vs. December 31, 2024). This increase was mainly driven by </w:t>
      </w:r>
      <w:r>
        <w:rPr>
          <w:b/>
          <w:lang w:val="en-US"/>
        </w:rPr>
        <w:t xml:space="preserve">the </w:t>
      </w:r>
      <w:r w:rsidRPr="00DF669C">
        <w:rPr>
          <w:b/>
          <w:lang w:val="en-US"/>
        </w:rPr>
        <w:t>financing obtained for the acquisition of TMA</w:t>
      </w:r>
      <w:r w:rsidR="00C42B85" w:rsidRPr="00240099">
        <w:rPr>
          <w:b/>
          <w:lang w:val="en-US"/>
        </w:rPr>
        <w:t xml:space="preserve">. </w:t>
      </w:r>
    </w:p>
    <w:p w14:paraId="506978FA" w14:textId="49C6A3F0" w:rsidR="007A578E" w:rsidRDefault="007A578E" w:rsidP="007A578E">
      <w:pPr>
        <w:spacing w:after="40"/>
        <w:ind w:right="-425"/>
        <w:jc w:val="both"/>
        <w:rPr>
          <w:b/>
          <w:lang w:val="en-US"/>
        </w:rPr>
      </w:pPr>
      <w:r w:rsidRPr="00D77CA4">
        <w:rPr>
          <w:noProof/>
        </w:rPr>
        <mc:AlternateContent>
          <mc:Choice Requires="wps">
            <w:drawing>
              <wp:anchor distT="0" distB="0" distL="114300" distR="114300" simplePos="0" relativeHeight="251739136" behindDoc="0" locked="0" layoutInCell="1" allowOverlap="1" wp14:anchorId="6524B3D3" wp14:editId="648C18CF">
                <wp:simplePos x="0" y="0"/>
                <wp:positionH relativeFrom="page">
                  <wp:align>right</wp:align>
                </wp:positionH>
                <wp:positionV relativeFrom="paragraph">
                  <wp:posOffset>14605</wp:posOffset>
                </wp:positionV>
                <wp:extent cx="6935470" cy="584200"/>
                <wp:effectExtent l="0" t="0" r="0" b="635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5470" cy="584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D17E26" w14:textId="7162C11D" w:rsidR="00B04F41" w:rsidRPr="006F6953" w:rsidRDefault="002641E9" w:rsidP="00DF669C">
                            <w:pPr>
                              <w:pStyle w:val="Prrafodelista"/>
                              <w:numPr>
                                <w:ilvl w:val="0"/>
                                <w:numId w:val="5"/>
                              </w:numPr>
                              <w:rPr>
                                <w:rFonts w:cs="Calibri"/>
                                <w:color w:val="808080"/>
                                <w:sz w:val="14"/>
                                <w:szCs w:val="14"/>
                                <w:lang w:val="en-US"/>
                              </w:rPr>
                            </w:pPr>
                            <w:r w:rsidRPr="006F6953">
                              <w:rPr>
                                <w:rFonts w:cs="Calibri"/>
                                <w:color w:val="808080"/>
                                <w:sz w:val="14"/>
                                <w:szCs w:val="14"/>
                                <w:lang w:val="en-US"/>
                              </w:rPr>
                              <w:t>M</w:t>
                            </w:r>
                            <w:r w:rsidR="00050310" w:rsidRPr="006F6953">
                              <w:rPr>
                                <w:rFonts w:cs="Calibri"/>
                                <w:color w:val="808080"/>
                                <w:sz w:val="14"/>
                                <w:szCs w:val="14"/>
                                <w:lang w:val="en-US"/>
                              </w:rPr>
                              <w:t xml:space="preserve">arket </w:t>
                            </w:r>
                            <w:r w:rsidR="00F201C9" w:rsidRPr="006F6953">
                              <w:rPr>
                                <w:rFonts w:cs="Calibri"/>
                                <w:color w:val="808080"/>
                                <w:sz w:val="14"/>
                                <w:szCs w:val="14"/>
                                <w:lang w:val="en-US"/>
                              </w:rPr>
                              <w:t xml:space="preserve">capitalization </w:t>
                            </w:r>
                            <w:r w:rsidR="00050310" w:rsidRPr="006F6953">
                              <w:rPr>
                                <w:rFonts w:cs="Calibri"/>
                                <w:color w:val="808080"/>
                                <w:sz w:val="14"/>
                                <w:szCs w:val="14"/>
                                <w:lang w:val="en-US"/>
                              </w:rPr>
                              <w:t xml:space="preserve">as of </w:t>
                            </w:r>
                            <w:r w:rsidR="00B22DC4" w:rsidRPr="006F6953">
                              <w:rPr>
                                <w:rFonts w:cs="Calibri"/>
                                <w:color w:val="808080"/>
                                <w:sz w:val="14"/>
                                <w:szCs w:val="14"/>
                                <w:lang w:val="en-US"/>
                              </w:rPr>
                              <w:t>August 8</w:t>
                            </w:r>
                            <w:r w:rsidR="00050310" w:rsidRPr="006F6953">
                              <w:rPr>
                                <w:rFonts w:cs="Calibri"/>
                                <w:color w:val="808080"/>
                                <w:sz w:val="14"/>
                                <w:szCs w:val="14"/>
                                <w:lang w:val="en-US"/>
                              </w:rPr>
                              <w:t>, 202</w:t>
                            </w:r>
                            <w:r w:rsidR="00E17AE4" w:rsidRPr="006F6953">
                              <w:rPr>
                                <w:rFonts w:cs="Calibri"/>
                                <w:color w:val="808080"/>
                                <w:sz w:val="14"/>
                                <w:szCs w:val="14"/>
                                <w:lang w:val="en-US"/>
                              </w:rPr>
                              <w:t>5</w:t>
                            </w:r>
                          </w:p>
                          <w:p w14:paraId="2971DFA5" w14:textId="77777777" w:rsidR="002641E9" w:rsidRPr="006F6953" w:rsidRDefault="009169F7" w:rsidP="00DF669C">
                            <w:pPr>
                              <w:pStyle w:val="Prrafodelista"/>
                              <w:numPr>
                                <w:ilvl w:val="0"/>
                                <w:numId w:val="5"/>
                              </w:numPr>
                              <w:rPr>
                                <w:rFonts w:cs="Calibri"/>
                                <w:color w:val="808080"/>
                                <w:sz w:val="14"/>
                                <w:szCs w:val="14"/>
                                <w:lang w:val="en-US"/>
                              </w:rPr>
                            </w:pPr>
                            <w:r w:rsidRPr="006F6953">
                              <w:rPr>
                                <w:rFonts w:cs="Calibri"/>
                                <w:color w:val="808080"/>
                                <w:sz w:val="14"/>
                                <w:szCs w:val="14"/>
                                <w:lang w:val="en-US"/>
                              </w:rPr>
                              <w:t>Unaudited non</w:t>
                            </w:r>
                            <w:r w:rsidR="00F201C9" w:rsidRPr="006F6953">
                              <w:rPr>
                                <w:rFonts w:cs="Calibri"/>
                                <w:color w:val="808080"/>
                                <w:sz w:val="14"/>
                                <w:szCs w:val="14"/>
                                <w:lang w:val="en-US"/>
                              </w:rPr>
                              <w:t>-</w:t>
                            </w:r>
                            <w:r w:rsidRPr="006F6953">
                              <w:rPr>
                                <w:rFonts w:cs="Calibri"/>
                                <w:color w:val="808080"/>
                                <w:sz w:val="14"/>
                                <w:szCs w:val="14"/>
                                <w:lang w:val="en-US"/>
                              </w:rPr>
                              <w:t xml:space="preserve">financial </w:t>
                            </w:r>
                            <w:r w:rsidR="00F201C9" w:rsidRPr="006F6953">
                              <w:rPr>
                                <w:rFonts w:cs="Calibri"/>
                                <w:color w:val="808080"/>
                                <w:sz w:val="14"/>
                                <w:szCs w:val="14"/>
                                <w:lang w:val="en-US"/>
                              </w:rPr>
                              <w:t>information</w:t>
                            </w:r>
                          </w:p>
                          <w:p w14:paraId="21CCB996" w14:textId="77777777" w:rsidR="009169F7" w:rsidRPr="006F6953" w:rsidRDefault="009169F7" w:rsidP="00DF669C">
                            <w:pPr>
                              <w:spacing w:after="0"/>
                              <w:rPr>
                                <w:rFonts w:cs="Calibri"/>
                                <w:sz w:val="14"/>
                                <w:szCs w:val="1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4B3D3" id="_x0000_t202" coordsize="21600,21600" o:spt="202" path="m,l,21600r21600,l21600,xe">
                <v:stroke joinstyle="miter"/>
                <v:path gradientshapeok="t" o:connecttype="rect"/>
              </v:shapetype>
              <v:shape id="Cuadro de texto 3" o:spid="_x0000_s1026" type="#_x0000_t202" style="position:absolute;left:0;text-align:left;margin-left:494.9pt;margin-top:1.15pt;width:546.1pt;height:46pt;z-index:2517391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nUv6AEAALYDAAAOAAAAZHJzL2Uyb0RvYy54bWysU9uO0zAQfUfiHyy/07Tddi9R09Wyq0VI&#10;y4K08AGOYycWiceM3Sbl6xk7abfAG+LFsmfsM3POHG9uh65le4XegC34YjbnTFkJlbF1wb99fXx3&#10;zZkPwlaiBasKflCe327fvtn0LldLaKCtFDICsT7vXcGbEFyeZV42qhN+Bk5ZSmrATgQ6Yp1VKHpC&#10;79psOZ9fZj1g5RCk8p6iD2OSbxO+1kqGz1p7FVhbcOotpBXTWsY1225EXqNwjZFTG+IfuuiEsVT0&#10;BPUggmA7NH9BdUYieNBhJqHLQGsjVeJAbBbzP9i8NMKpxIXE8e4kk/9/sPJ5/+K+IAvDexhogImE&#10;d08gv3tm4b4RtlZ3iNA3SlRUeBEly3rn8+lplNrnPoKU/SeoaMhiFyABDRq7qArxZIROAzicRFdD&#10;YJKClzcX69UVpSTl1tcrmmoqIfLja4c+fFDQsbgpONJQE7rYP/kQuxH58UosZuHRtG0abGt/C9DF&#10;MaKSM6bXx/ZHImEoB2aqgl/ELmKuhOpA5BBG85DZadMA/uSsJ+MU3P/YCVSctR8tCXSzWK2i09Jh&#10;tb5a0gHPM+V5RlhJUAUPnI3b+zC6c+fQ1A1VGkdi4Y5E1Sbxfe1qGgWZI8kwGTm67/ycbr1+t+0v&#10;AAAA//8DAFBLAwQUAAYACAAAACEACjpyKNoAAAAGAQAADwAAAGRycy9kb3ducmV2LnhtbEyPzU7D&#10;MBCE70i8g7VI3OiatCASsqkQiCuI8iNxc+NtEhGvo9htwtvjnuhxNKOZb8r17Hp14DF0XgiuFxoU&#10;S+1tJw3Bx/vz1R2oEI1Y03thgl8OsK7Oz0pTWD/JGx82sVGpREJhCNoYhwIx1C07ExZ+YEnezo/O&#10;xCTHBu1oplTuesy0vkVnOkkLrRn4seX6Z7N3BJ8vu++vlX5tntzNMPlZo7gciS4v5od7UJHn+B+G&#10;I35Chyoxbf1ebFA9QToSCbIlqKOp8ywDtSXIV0vAqsRT/OoPAAD//wMAUEsBAi0AFAAGAAgAAAAh&#10;ALaDOJL+AAAA4QEAABMAAAAAAAAAAAAAAAAAAAAAAFtDb250ZW50X1R5cGVzXS54bWxQSwECLQAU&#10;AAYACAAAACEAOP0h/9YAAACUAQAACwAAAAAAAAAAAAAAAAAvAQAAX3JlbHMvLnJlbHNQSwECLQAU&#10;AAYACAAAACEAXoJ1L+gBAAC2AwAADgAAAAAAAAAAAAAAAAAuAgAAZHJzL2Uyb0RvYy54bWxQSwEC&#10;LQAUAAYACAAAACEACjpyKNoAAAAGAQAADwAAAAAAAAAAAAAAAABCBAAAZHJzL2Rvd25yZXYueG1s&#10;UEsFBgAAAAAEAAQA8wAAAEkFAAAAAA==&#10;" filled="f" stroked="f">
                <v:textbox>
                  <w:txbxContent>
                    <w:p w14:paraId="27D17E26" w14:textId="7162C11D" w:rsidR="00B04F41" w:rsidRPr="006F6953" w:rsidRDefault="002641E9" w:rsidP="00DF669C">
                      <w:pPr>
                        <w:pStyle w:val="Prrafodelista"/>
                        <w:numPr>
                          <w:ilvl w:val="0"/>
                          <w:numId w:val="5"/>
                        </w:numPr>
                        <w:rPr>
                          <w:rFonts w:cs="Calibri"/>
                          <w:color w:val="808080"/>
                          <w:sz w:val="14"/>
                          <w:szCs w:val="14"/>
                          <w:lang w:val="en-US"/>
                        </w:rPr>
                      </w:pPr>
                      <w:r w:rsidRPr="006F6953">
                        <w:rPr>
                          <w:rFonts w:cs="Calibri"/>
                          <w:color w:val="808080"/>
                          <w:sz w:val="14"/>
                          <w:szCs w:val="14"/>
                          <w:lang w:val="en-US"/>
                        </w:rPr>
                        <w:t>M</w:t>
                      </w:r>
                      <w:r w:rsidR="00050310" w:rsidRPr="006F6953">
                        <w:rPr>
                          <w:rFonts w:cs="Calibri"/>
                          <w:color w:val="808080"/>
                          <w:sz w:val="14"/>
                          <w:szCs w:val="14"/>
                          <w:lang w:val="en-US"/>
                        </w:rPr>
                        <w:t xml:space="preserve">arket </w:t>
                      </w:r>
                      <w:r w:rsidR="00F201C9" w:rsidRPr="006F6953">
                        <w:rPr>
                          <w:rFonts w:cs="Calibri"/>
                          <w:color w:val="808080"/>
                          <w:sz w:val="14"/>
                          <w:szCs w:val="14"/>
                          <w:lang w:val="en-US"/>
                        </w:rPr>
                        <w:t xml:space="preserve">capitalization </w:t>
                      </w:r>
                      <w:r w:rsidR="00050310" w:rsidRPr="006F6953">
                        <w:rPr>
                          <w:rFonts w:cs="Calibri"/>
                          <w:color w:val="808080"/>
                          <w:sz w:val="14"/>
                          <w:szCs w:val="14"/>
                          <w:lang w:val="en-US"/>
                        </w:rPr>
                        <w:t xml:space="preserve">as of </w:t>
                      </w:r>
                      <w:r w:rsidR="00B22DC4" w:rsidRPr="006F6953">
                        <w:rPr>
                          <w:rFonts w:cs="Calibri"/>
                          <w:color w:val="808080"/>
                          <w:sz w:val="14"/>
                          <w:szCs w:val="14"/>
                          <w:lang w:val="en-US"/>
                        </w:rPr>
                        <w:t>August 8</w:t>
                      </w:r>
                      <w:r w:rsidR="00050310" w:rsidRPr="006F6953">
                        <w:rPr>
                          <w:rFonts w:cs="Calibri"/>
                          <w:color w:val="808080"/>
                          <w:sz w:val="14"/>
                          <w:szCs w:val="14"/>
                          <w:lang w:val="en-US"/>
                        </w:rPr>
                        <w:t>, 202</w:t>
                      </w:r>
                      <w:r w:rsidR="00E17AE4" w:rsidRPr="006F6953">
                        <w:rPr>
                          <w:rFonts w:cs="Calibri"/>
                          <w:color w:val="808080"/>
                          <w:sz w:val="14"/>
                          <w:szCs w:val="14"/>
                          <w:lang w:val="en-US"/>
                        </w:rPr>
                        <w:t>5</w:t>
                      </w:r>
                    </w:p>
                    <w:p w14:paraId="2971DFA5" w14:textId="77777777" w:rsidR="002641E9" w:rsidRPr="006F6953" w:rsidRDefault="009169F7" w:rsidP="00DF669C">
                      <w:pPr>
                        <w:pStyle w:val="Prrafodelista"/>
                        <w:numPr>
                          <w:ilvl w:val="0"/>
                          <w:numId w:val="5"/>
                        </w:numPr>
                        <w:rPr>
                          <w:rFonts w:cs="Calibri"/>
                          <w:color w:val="808080"/>
                          <w:sz w:val="14"/>
                          <w:szCs w:val="14"/>
                          <w:lang w:val="en-US"/>
                        </w:rPr>
                      </w:pPr>
                      <w:r w:rsidRPr="006F6953">
                        <w:rPr>
                          <w:rFonts w:cs="Calibri"/>
                          <w:color w:val="808080"/>
                          <w:sz w:val="14"/>
                          <w:szCs w:val="14"/>
                          <w:lang w:val="en-US"/>
                        </w:rPr>
                        <w:t>Unaudited non</w:t>
                      </w:r>
                      <w:r w:rsidR="00F201C9" w:rsidRPr="006F6953">
                        <w:rPr>
                          <w:rFonts w:cs="Calibri"/>
                          <w:color w:val="808080"/>
                          <w:sz w:val="14"/>
                          <w:szCs w:val="14"/>
                          <w:lang w:val="en-US"/>
                        </w:rPr>
                        <w:t>-</w:t>
                      </w:r>
                      <w:r w:rsidRPr="006F6953">
                        <w:rPr>
                          <w:rFonts w:cs="Calibri"/>
                          <w:color w:val="808080"/>
                          <w:sz w:val="14"/>
                          <w:szCs w:val="14"/>
                          <w:lang w:val="en-US"/>
                        </w:rPr>
                        <w:t xml:space="preserve">financial </w:t>
                      </w:r>
                      <w:r w:rsidR="00F201C9" w:rsidRPr="006F6953">
                        <w:rPr>
                          <w:rFonts w:cs="Calibri"/>
                          <w:color w:val="808080"/>
                          <w:sz w:val="14"/>
                          <w:szCs w:val="14"/>
                          <w:lang w:val="en-US"/>
                        </w:rPr>
                        <w:t>information</w:t>
                      </w:r>
                    </w:p>
                    <w:p w14:paraId="21CCB996" w14:textId="77777777" w:rsidR="009169F7" w:rsidRPr="006F6953" w:rsidRDefault="009169F7" w:rsidP="00DF669C">
                      <w:pPr>
                        <w:spacing w:after="0"/>
                        <w:rPr>
                          <w:rFonts w:cs="Calibri"/>
                          <w:sz w:val="14"/>
                          <w:szCs w:val="14"/>
                          <w:lang w:val="en-US"/>
                        </w:rPr>
                      </w:pPr>
                    </w:p>
                  </w:txbxContent>
                </v:textbox>
                <w10:wrap anchorx="page"/>
              </v:shape>
            </w:pict>
          </mc:Fallback>
        </mc:AlternateContent>
      </w:r>
    </w:p>
    <w:p w14:paraId="1BF13CAD" w14:textId="77777777" w:rsidR="007A578E" w:rsidRDefault="007A578E" w:rsidP="007A578E">
      <w:pPr>
        <w:spacing w:after="40"/>
        <w:ind w:right="-425"/>
        <w:jc w:val="both"/>
        <w:rPr>
          <w:b/>
          <w:lang w:val="en-US"/>
        </w:rPr>
      </w:pPr>
    </w:p>
    <w:p w14:paraId="04869BF2" w14:textId="5629D753" w:rsidR="007A578E" w:rsidRDefault="007A578E" w:rsidP="007A578E">
      <w:pPr>
        <w:spacing w:after="40"/>
        <w:ind w:right="-425"/>
        <w:jc w:val="both"/>
        <w:rPr>
          <w:b/>
          <w:lang w:val="en-US"/>
        </w:rPr>
      </w:pPr>
    </w:p>
    <w:p w14:paraId="52C84658" w14:textId="06F62BA9" w:rsidR="007A578E" w:rsidRDefault="007A578E" w:rsidP="007A578E">
      <w:pPr>
        <w:spacing w:after="40"/>
        <w:ind w:right="-425"/>
        <w:jc w:val="both"/>
        <w:rPr>
          <w:b/>
          <w:lang w:val="en-US"/>
        </w:rPr>
      </w:pPr>
    </w:p>
    <w:p w14:paraId="0700FFF1" w14:textId="77777777" w:rsidR="007A578E" w:rsidRPr="00D77CA4" w:rsidRDefault="007A578E" w:rsidP="007A578E">
      <w:pPr>
        <w:spacing w:after="0"/>
        <w:ind w:right="141"/>
        <w:jc w:val="both"/>
        <w:rPr>
          <w:lang w:val="en-US"/>
        </w:rPr>
      </w:pPr>
      <w:r w:rsidRPr="00D77CA4">
        <w:rPr>
          <w:b/>
          <w:color w:val="B989F9"/>
          <w:lang w:val="en-US"/>
        </w:rPr>
        <w:lastRenderedPageBreak/>
        <w:t xml:space="preserve">Buenos Aires, </w:t>
      </w:r>
      <w:r>
        <w:rPr>
          <w:b/>
          <w:color w:val="B989F9"/>
          <w:lang w:val="en-US"/>
        </w:rPr>
        <w:t>August 11, 2025</w:t>
      </w:r>
      <w:r w:rsidRPr="00D77CA4">
        <w:rPr>
          <w:lang w:val="en-US"/>
        </w:rPr>
        <w:t xml:space="preserve"> - Telecom Argentina S.A. (</w:t>
      </w:r>
      <w:r>
        <w:rPr>
          <w:lang w:val="en-US"/>
        </w:rPr>
        <w:t>“</w:t>
      </w:r>
      <w:r w:rsidRPr="00D77CA4">
        <w:rPr>
          <w:lang w:val="en-US"/>
        </w:rPr>
        <w:t>Telecom Argentina</w:t>
      </w:r>
      <w:r>
        <w:rPr>
          <w:lang w:val="en-US"/>
        </w:rPr>
        <w:t>”,</w:t>
      </w:r>
      <w:r w:rsidRPr="007A1196">
        <w:rPr>
          <w:lang w:val="en-US"/>
        </w:rPr>
        <w:t xml:space="preserve"> “Telecom” or the “Company”</w:t>
      </w:r>
      <w:r w:rsidRPr="00D77CA4">
        <w:rPr>
          <w:lang w:val="en-US"/>
        </w:rPr>
        <w:t xml:space="preserve">) - (NYSE: TEO; BYMA: TECO2), </w:t>
      </w:r>
      <w:r w:rsidRPr="007A36A1">
        <w:rPr>
          <w:lang w:val="en-US"/>
        </w:rPr>
        <w:t xml:space="preserve">announced today a </w:t>
      </w:r>
      <w:r w:rsidRPr="007A36A1">
        <w:rPr>
          <w:u w:val="single"/>
          <w:lang w:val="en-US"/>
        </w:rPr>
        <w:t xml:space="preserve">consolidated </w:t>
      </w:r>
      <w:r w:rsidRPr="007A36A1">
        <w:rPr>
          <w:lang w:val="en-US"/>
        </w:rPr>
        <w:t xml:space="preserve">Net Loss of P$75,554 million for the six-month period ended June 30, 2025. The </w:t>
      </w:r>
      <w:r w:rsidRPr="007A36A1">
        <w:rPr>
          <w:u w:val="single"/>
          <w:lang w:val="en-US"/>
        </w:rPr>
        <w:t xml:space="preserve">consolidated </w:t>
      </w:r>
      <w:r w:rsidRPr="007A36A1">
        <w:rPr>
          <w:lang w:val="en-US"/>
        </w:rPr>
        <w:t>Net Loss attributable to the Controlling Company amounted to P$83,792 million</w:t>
      </w:r>
      <w:r>
        <w:rPr>
          <w:lang w:val="en-US"/>
        </w:rPr>
        <w:t>.</w:t>
      </w:r>
    </w:p>
    <w:p w14:paraId="62B12645" w14:textId="70A374D9" w:rsidR="009B773B" w:rsidRPr="00DF669C" w:rsidRDefault="009B773B" w:rsidP="00DF669C">
      <w:pPr>
        <w:pStyle w:val="Prrafodelista"/>
        <w:spacing w:after="40"/>
        <w:ind w:left="142" w:right="-425"/>
        <w:jc w:val="both"/>
        <w:rPr>
          <w:b/>
          <w:lang w:val="en-US"/>
        </w:rPr>
      </w:pPr>
    </w:p>
    <w:p w14:paraId="069B5C88" w14:textId="6A425042" w:rsidR="009B773B" w:rsidRDefault="00140F62" w:rsidP="002935D9">
      <w:pPr>
        <w:spacing w:after="40"/>
        <w:ind w:left="-142" w:right="284" w:firstLine="426"/>
        <w:rPr>
          <w:rFonts w:ascii="Calibri" w:hAnsi="Calibri" w:cs="Arial"/>
          <w:b/>
          <w:i/>
          <w:noProof/>
          <w:color w:val="4576D6"/>
          <w:sz w:val="24"/>
          <w:lang w:val="en-US"/>
        </w:rPr>
      </w:pPr>
      <w:r>
        <w:rPr>
          <w:rFonts w:ascii="Calibri" w:hAnsi="Calibri" w:cs="Arial"/>
          <w:b/>
          <w:i/>
          <w:noProof/>
          <w:color w:val="4576D6"/>
          <w:sz w:val="24"/>
          <w:lang w:val="en-US"/>
        </w:rPr>
        <w:object w:dxaOrig="17130" w:dyaOrig="12780" w14:anchorId="4AC664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pt;height:339.75pt" o:ole="">
            <v:imagedata r:id="rId8" o:title=""/>
          </v:shape>
          <o:OLEObject Type="Link" ProgID="Excel.Sheet.12" ShapeID="_x0000_i1025" DrawAspect="Content" r:id="rId9" UpdateMode="Always">
            <o:LinkType>EnhancedMetaFile</o:LinkType>
            <o:LockedField>false</o:LockedField>
          </o:OLEObject>
        </w:object>
      </w:r>
    </w:p>
    <w:p w14:paraId="01ABA019" w14:textId="77777777" w:rsidR="002935D9" w:rsidRDefault="002935D9" w:rsidP="009A401B">
      <w:pPr>
        <w:tabs>
          <w:tab w:val="left" w:pos="8222"/>
          <w:tab w:val="left" w:pos="9355"/>
        </w:tabs>
        <w:spacing w:after="0" w:line="240" w:lineRule="auto"/>
        <w:ind w:left="-426" w:right="284"/>
        <w:rPr>
          <w:i/>
          <w:iCs/>
          <w:color w:val="767171" w:themeColor="background2" w:themeShade="80"/>
          <w:sz w:val="15"/>
          <w:lang w:val="en-US"/>
        </w:rPr>
      </w:pPr>
      <w:r w:rsidRPr="002935D9">
        <w:rPr>
          <w:i/>
          <w:iCs/>
          <w:color w:val="767171" w:themeColor="background2" w:themeShade="80"/>
          <w:sz w:val="15"/>
          <w:lang w:val="en-US"/>
        </w:rPr>
        <w:t>* Figures may not add up due to rounding.</w:t>
      </w:r>
      <w:r w:rsidRPr="002935D9">
        <w:rPr>
          <w:i/>
          <w:iCs/>
          <w:color w:val="767171" w:themeColor="background2" w:themeShade="80"/>
          <w:sz w:val="15"/>
          <w:lang w:val="en-US"/>
        </w:rPr>
        <w:br/>
        <w:t>** In constant currency – includes additions from rights of use as of June 30, 2025 for P$92,053 million and as of June 30, 2024 for P$127,366 million.</w:t>
      </w:r>
      <w:r w:rsidRPr="002935D9">
        <w:rPr>
          <w:i/>
          <w:iCs/>
          <w:color w:val="767171" w:themeColor="background2" w:themeShade="80"/>
          <w:sz w:val="15"/>
          <w:lang w:val="en-US"/>
        </w:rPr>
        <w:br/>
        <w:t xml:space="preserve">*** Telecom figures include IP telephony lines, which totaled approximately 2.05 million and 1.69 million as of June 30, 2025 and June 30, 2024, respectively. TMA figures include IP telephony lines, which totaled approximately 1.50 million and 1.35 million as of June 30, </w:t>
      </w:r>
      <w:proofErr w:type="gramStart"/>
      <w:r w:rsidRPr="002935D9">
        <w:rPr>
          <w:i/>
          <w:iCs/>
          <w:color w:val="767171" w:themeColor="background2" w:themeShade="80"/>
          <w:sz w:val="15"/>
          <w:lang w:val="en-US"/>
        </w:rPr>
        <w:t>2025</w:t>
      </w:r>
      <w:proofErr w:type="gramEnd"/>
      <w:r w:rsidRPr="002935D9">
        <w:rPr>
          <w:i/>
          <w:iCs/>
          <w:color w:val="767171" w:themeColor="background2" w:themeShade="80"/>
          <w:sz w:val="15"/>
          <w:lang w:val="en-US"/>
        </w:rPr>
        <w:t xml:space="preserve"> and June 30, 2024, respectively.</w:t>
      </w:r>
    </w:p>
    <w:p w14:paraId="1BA145EA" w14:textId="4C677C6B" w:rsidR="007A578E" w:rsidRPr="007A578E" w:rsidRDefault="002935D9" w:rsidP="007A578E">
      <w:pPr>
        <w:tabs>
          <w:tab w:val="left" w:pos="9355"/>
        </w:tabs>
        <w:spacing w:after="0" w:line="240" w:lineRule="auto"/>
        <w:ind w:right="284" w:hanging="426"/>
        <w:rPr>
          <w:i/>
          <w:iCs/>
          <w:color w:val="767171" w:themeColor="background2" w:themeShade="80"/>
          <w:sz w:val="15"/>
          <w:lang w:val="en-US"/>
        </w:rPr>
      </w:pPr>
      <w:r>
        <w:rPr>
          <w:i/>
          <w:iCs/>
          <w:color w:val="767171" w:themeColor="background2" w:themeShade="80"/>
          <w:sz w:val="15"/>
          <w:lang w:val="en-US"/>
        </w:rPr>
        <w:t>****</w:t>
      </w:r>
      <w:r w:rsidRPr="002935D9">
        <w:rPr>
          <w:i/>
          <w:iCs/>
          <w:color w:val="767171" w:themeColor="background2" w:themeShade="80"/>
          <w:sz w:val="15"/>
          <w:lang w:val="en-US"/>
        </w:rPr>
        <w:t>ARPUs in constant currency as of June 30, 2025, were calculated by applying the corresponding average inflation index to the historical ARPU of each segment.</w:t>
      </w:r>
    </w:p>
    <w:p w14:paraId="122243AE" w14:textId="77777777" w:rsidR="000F4BA0" w:rsidRPr="00D77CA4" w:rsidRDefault="000F4BA0" w:rsidP="0077199A">
      <w:pPr>
        <w:spacing w:after="0"/>
        <w:ind w:right="141"/>
        <w:jc w:val="both"/>
        <w:rPr>
          <w:lang w:val="en-US"/>
        </w:rPr>
      </w:pPr>
    </w:p>
    <w:p w14:paraId="478B1F43" w14:textId="3945C8B6" w:rsidR="000F4BA0" w:rsidRPr="00D77CA4" w:rsidRDefault="007A1196" w:rsidP="0077199A">
      <w:pPr>
        <w:spacing w:after="0"/>
        <w:ind w:right="141"/>
        <w:jc w:val="both"/>
        <w:rPr>
          <w:lang w:val="en-US"/>
        </w:rPr>
      </w:pPr>
      <w:r>
        <w:rPr>
          <w:lang w:val="en-US"/>
        </w:rPr>
        <w:t>C</w:t>
      </w:r>
      <w:r w:rsidR="000F4BA0" w:rsidRPr="00D77CA4">
        <w:rPr>
          <w:lang w:val="en-US"/>
        </w:rPr>
        <w:t xml:space="preserve">omparative figures for the previous fiscal year have been restated </w:t>
      </w:r>
      <w:r w:rsidR="007450B9">
        <w:rPr>
          <w:lang w:val="en-US"/>
        </w:rPr>
        <w:t xml:space="preserve">by inflation </w:t>
      </w:r>
      <w:r w:rsidR="000F4BA0" w:rsidRPr="00D77CA4">
        <w:rPr>
          <w:lang w:val="en-US"/>
        </w:rPr>
        <w:t xml:space="preserve">so that the resulting information is presented in </w:t>
      </w:r>
      <w:r w:rsidR="000F4BA0">
        <w:rPr>
          <w:lang w:val="en-US"/>
        </w:rPr>
        <w:t xml:space="preserve">terms of </w:t>
      </w:r>
      <w:r w:rsidR="000F4BA0" w:rsidRPr="00D77CA4">
        <w:rPr>
          <w:lang w:val="en-US"/>
        </w:rPr>
        <w:t xml:space="preserve">the current measurement unit as of </w:t>
      </w:r>
      <w:r w:rsidR="00B22DC4">
        <w:rPr>
          <w:lang w:val="en-US"/>
        </w:rPr>
        <w:t>June 30</w:t>
      </w:r>
      <w:r w:rsidR="000C3681">
        <w:rPr>
          <w:lang w:val="en-US"/>
        </w:rPr>
        <w:t xml:space="preserve">, </w:t>
      </w:r>
      <w:r w:rsidR="0039328C">
        <w:rPr>
          <w:lang w:val="en-US"/>
        </w:rPr>
        <w:t>2025</w:t>
      </w:r>
      <w:r w:rsidR="000F4BA0" w:rsidRPr="00D77CA4">
        <w:rPr>
          <w:lang w:val="en-US"/>
        </w:rPr>
        <w:t>.</w:t>
      </w:r>
    </w:p>
    <w:p w14:paraId="3F3B17E5" w14:textId="77777777" w:rsidR="000F4BA0" w:rsidRPr="00D77CA4" w:rsidRDefault="000F4BA0" w:rsidP="0077199A">
      <w:pPr>
        <w:spacing w:after="0"/>
        <w:ind w:right="141"/>
        <w:jc w:val="both"/>
        <w:rPr>
          <w:lang w:val="en-US"/>
        </w:rPr>
      </w:pPr>
    </w:p>
    <w:p w14:paraId="6E47495E" w14:textId="1FABCC61" w:rsidR="00D327D2" w:rsidRDefault="003D2BEE" w:rsidP="0077199A">
      <w:pPr>
        <w:spacing w:after="0"/>
        <w:ind w:right="141"/>
        <w:jc w:val="both"/>
        <w:rPr>
          <w:lang w:val="en-US"/>
        </w:rPr>
      </w:pPr>
      <w:r w:rsidRPr="003D2BEE">
        <w:rPr>
          <w:lang w:val="en-US"/>
        </w:rPr>
        <w:t>The following table shows the evolution of the national consumer price index (</w:t>
      </w:r>
      <w:r>
        <w:rPr>
          <w:lang w:val="en-US"/>
        </w:rPr>
        <w:t xml:space="preserve">National </w:t>
      </w:r>
      <w:r w:rsidRPr="003D2BEE">
        <w:rPr>
          <w:lang w:val="en-US"/>
        </w:rPr>
        <w:t xml:space="preserve">CPI - according to </w:t>
      </w:r>
      <w:r w:rsidR="00F201C9">
        <w:rPr>
          <w:lang w:val="en-US"/>
        </w:rPr>
        <w:t>INDEC’s</w:t>
      </w:r>
      <w:r w:rsidR="00F201C9" w:rsidRPr="003D2BEE">
        <w:rPr>
          <w:lang w:val="en-US"/>
        </w:rPr>
        <w:t xml:space="preserve"> </w:t>
      </w:r>
      <w:r w:rsidRPr="003D2BEE">
        <w:rPr>
          <w:lang w:val="en-US"/>
        </w:rPr>
        <w:t>official statistics</w:t>
      </w:r>
      <w:r w:rsidRPr="0024563F">
        <w:rPr>
          <w:lang w:val="en-US"/>
        </w:rPr>
        <w:t>)</w:t>
      </w:r>
      <w:r w:rsidR="0089062C">
        <w:rPr>
          <w:lang w:val="en-US"/>
        </w:rPr>
        <w:t xml:space="preserve"> </w:t>
      </w:r>
      <w:r w:rsidR="005C038A" w:rsidRPr="005C038A">
        <w:rPr>
          <w:lang w:val="en-US"/>
        </w:rPr>
        <w:t xml:space="preserve">as of December 31, 2024, and as of </w:t>
      </w:r>
      <w:r w:rsidR="00B22DC4">
        <w:rPr>
          <w:lang w:val="en-US"/>
        </w:rPr>
        <w:t>June 30</w:t>
      </w:r>
      <w:r w:rsidR="005C038A" w:rsidRPr="005C038A">
        <w:rPr>
          <w:lang w:val="en-US"/>
        </w:rPr>
        <w:t xml:space="preserve">, </w:t>
      </w:r>
      <w:proofErr w:type="gramStart"/>
      <w:r w:rsidR="005C038A" w:rsidRPr="005C038A">
        <w:rPr>
          <w:lang w:val="en-US"/>
        </w:rPr>
        <w:t>2024</w:t>
      </w:r>
      <w:proofErr w:type="gramEnd"/>
      <w:r w:rsidR="005C038A" w:rsidRPr="005C038A">
        <w:rPr>
          <w:lang w:val="en-US"/>
        </w:rPr>
        <w:t xml:space="preserve"> and 2025</w:t>
      </w:r>
      <w:r w:rsidR="00E17AE4">
        <w:rPr>
          <w:lang w:val="en-US"/>
        </w:rPr>
        <w:t>:</w:t>
      </w:r>
    </w:p>
    <w:p w14:paraId="2F85D318" w14:textId="77777777" w:rsidR="003D2BEE" w:rsidRPr="00D77CA4" w:rsidRDefault="003D2BEE" w:rsidP="000F4BA0">
      <w:pPr>
        <w:spacing w:after="0"/>
        <w:jc w:val="both"/>
        <w:rPr>
          <w:rFonts w:ascii="Calibri" w:hAnsi="Calibri" w:cs="Calibri"/>
          <w:color w:val="818181"/>
          <w:lang w:val="en-US"/>
        </w:rPr>
      </w:pPr>
    </w:p>
    <w:tbl>
      <w:tblPr>
        <w:tblW w:w="9466" w:type="dxa"/>
        <w:tblCellMar>
          <w:left w:w="0" w:type="dxa"/>
          <w:right w:w="0" w:type="dxa"/>
        </w:tblCellMar>
        <w:tblLook w:val="04A0" w:firstRow="1" w:lastRow="0" w:firstColumn="1" w:lastColumn="0" w:noHBand="0" w:noVBand="1"/>
      </w:tblPr>
      <w:tblGrid>
        <w:gridCol w:w="2494"/>
        <w:gridCol w:w="2324"/>
        <w:gridCol w:w="2324"/>
        <w:gridCol w:w="2324"/>
      </w:tblGrid>
      <w:tr w:rsidR="00B94931" w:rsidRPr="00D77CA4" w14:paraId="207117D6" w14:textId="77777777" w:rsidTr="0077199A">
        <w:trPr>
          <w:trHeight w:val="737"/>
        </w:trPr>
        <w:tc>
          <w:tcPr>
            <w:tcW w:w="2494" w:type="dxa"/>
            <w:shd w:val="clear" w:color="auto" w:fill="3D00A1"/>
            <w:tcMar>
              <w:top w:w="0" w:type="dxa"/>
              <w:left w:w="108" w:type="dxa"/>
              <w:bottom w:w="0" w:type="dxa"/>
              <w:right w:w="108" w:type="dxa"/>
            </w:tcMar>
            <w:vAlign w:val="center"/>
          </w:tcPr>
          <w:p w14:paraId="6AA9D166" w14:textId="7BA93196" w:rsidR="00B94931" w:rsidRPr="009E2850" w:rsidRDefault="00B94931" w:rsidP="00D471A7">
            <w:pPr>
              <w:spacing w:after="0"/>
              <w:jc w:val="center"/>
              <w:rPr>
                <w:lang w:val="en-US"/>
              </w:rPr>
            </w:pPr>
          </w:p>
        </w:tc>
        <w:tc>
          <w:tcPr>
            <w:tcW w:w="2324" w:type="dxa"/>
            <w:shd w:val="clear" w:color="auto" w:fill="3D00A1"/>
            <w:vAlign w:val="center"/>
          </w:tcPr>
          <w:p w14:paraId="6807DB94" w14:textId="695CB4A8" w:rsidR="0077199A" w:rsidRDefault="00B94931" w:rsidP="00D471A7">
            <w:pPr>
              <w:autoSpaceDE w:val="0"/>
              <w:autoSpaceDN w:val="0"/>
              <w:spacing w:after="0"/>
              <w:jc w:val="center"/>
              <w:rPr>
                <w:rFonts w:cs="Arial"/>
                <w:b/>
                <w:color w:val="FFFFFF" w:themeColor="background1"/>
                <w:lang w:val="en-US"/>
              </w:rPr>
            </w:pPr>
            <w:r w:rsidRPr="00D471A7">
              <w:rPr>
                <w:rFonts w:cs="Arial"/>
                <w:b/>
                <w:color w:val="FFFFFF" w:themeColor="background1"/>
                <w:lang w:val="en-US"/>
              </w:rPr>
              <w:t xml:space="preserve">As of </w:t>
            </w:r>
            <w:r w:rsidR="00B22DC4">
              <w:rPr>
                <w:rFonts w:cs="Arial"/>
                <w:b/>
                <w:color w:val="FFFFFF" w:themeColor="background1"/>
                <w:lang w:val="en-US"/>
              </w:rPr>
              <w:t>June 30</w:t>
            </w:r>
            <w:r w:rsidRPr="00D471A7">
              <w:rPr>
                <w:rFonts w:cs="Arial"/>
                <w:b/>
                <w:color w:val="FFFFFF" w:themeColor="background1"/>
                <w:lang w:val="en-US"/>
              </w:rPr>
              <w:t>,</w:t>
            </w:r>
          </w:p>
          <w:p w14:paraId="09585183" w14:textId="4708B39D" w:rsidR="00B94931" w:rsidRPr="00D471A7" w:rsidRDefault="00B94931" w:rsidP="00D471A7">
            <w:pPr>
              <w:autoSpaceDE w:val="0"/>
              <w:autoSpaceDN w:val="0"/>
              <w:spacing w:after="0"/>
              <w:jc w:val="center"/>
              <w:rPr>
                <w:rFonts w:cs="Arial"/>
                <w:b/>
                <w:color w:val="FFFFFF" w:themeColor="background1"/>
                <w:lang w:val="en-US"/>
              </w:rPr>
            </w:pPr>
            <w:r w:rsidRPr="00D471A7">
              <w:rPr>
                <w:rFonts w:cs="Arial"/>
                <w:b/>
                <w:color w:val="FFFFFF" w:themeColor="background1"/>
                <w:lang w:val="en-US"/>
              </w:rPr>
              <w:t xml:space="preserve"> 202</w:t>
            </w:r>
            <w:r w:rsidR="0039328C">
              <w:rPr>
                <w:rFonts w:cs="Arial"/>
                <w:b/>
                <w:color w:val="FFFFFF" w:themeColor="background1"/>
                <w:lang w:val="en-US"/>
              </w:rPr>
              <w:t>4</w:t>
            </w:r>
          </w:p>
        </w:tc>
        <w:tc>
          <w:tcPr>
            <w:tcW w:w="2324" w:type="dxa"/>
            <w:shd w:val="clear" w:color="auto" w:fill="3D00A1"/>
            <w:vAlign w:val="center"/>
          </w:tcPr>
          <w:p w14:paraId="6F78B205" w14:textId="4D978FBE" w:rsidR="0077199A" w:rsidRDefault="00B94931" w:rsidP="0077199A">
            <w:pPr>
              <w:autoSpaceDE w:val="0"/>
              <w:autoSpaceDN w:val="0"/>
              <w:spacing w:after="0"/>
              <w:jc w:val="center"/>
              <w:rPr>
                <w:rFonts w:cs="Arial"/>
                <w:b/>
                <w:color w:val="FFFFFF" w:themeColor="background1"/>
                <w:lang w:val="en-US"/>
              </w:rPr>
            </w:pPr>
            <w:r w:rsidRPr="00D471A7">
              <w:rPr>
                <w:rFonts w:cs="Arial"/>
                <w:b/>
                <w:color w:val="FFFFFF" w:themeColor="background1"/>
                <w:lang w:val="en-US"/>
              </w:rPr>
              <w:t xml:space="preserve">As of </w:t>
            </w:r>
            <w:r w:rsidR="0039328C">
              <w:rPr>
                <w:rFonts w:cs="Arial"/>
                <w:b/>
                <w:color w:val="FFFFFF" w:themeColor="background1"/>
                <w:lang w:val="en-US"/>
              </w:rPr>
              <w:t>December</w:t>
            </w:r>
            <w:r>
              <w:rPr>
                <w:rFonts w:cs="Arial"/>
                <w:b/>
                <w:color w:val="FFFFFF" w:themeColor="background1"/>
                <w:lang w:val="en-US"/>
              </w:rPr>
              <w:t xml:space="preserve"> 31</w:t>
            </w:r>
            <w:r w:rsidRPr="00D471A7">
              <w:rPr>
                <w:rFonts w:cs="Arial"/>
                <w:b/>
                <w:color w:val="FFFFFF" w:themeColor="background1"/>
                <w:lang w:val="en-US"/>
              </w:rPr>
              <w:t>,</w:t>
            </w:r>
            <w:r w:rsidR="0077199A">
              <w:rPr>
                <w:rFonts w:cs="Arial"/>
                <w:b/>
                <w:color w:val="FFFFFF" w:themeColor="background1"/>
                <w:lang w:val="en-US"/>
              </w:rPr>
              <w:t xml:space="preserve"> </w:t>
            </w:r>
          </w:p>
          <w:p w14:paraId="3089FACC" w14:textId="7B47EB02" w:rsidR="00B94931" w:rsidRPr="00D471A7" w:rsidRDefault="0039328C" w:rsidP="0077199A">
            <w:pPr>
              <w:autoSpaceDE w:val="0"/>
              <w:autoSpaceDN w:val="0"/>
              <w:spacing w:after="0"/>
              <w:jc w:val="center"/>
              <w:rPr>
                <w:rFonts w:cs="Arial"/>
                <w:b/>
                <w:color w:val="FFFFFF" w:themeColor="background1"/>
                <w:lang w:val="en-US"/>
              </w:rPr>
            </w:pPr>
            <w:r>
              <w:rPr>
                <w:rFonts w:cs="Arial"/>
                <w:b/>
                <w:color w:val="FFFFFF" w:themeColor="background1"/>
                <w:lang w:val="en-US"/>
              </w:rPr>
              <w:t>2024</w:t>
            </w:r>
          </w:p>
        </w:tc>
        <w:tc>
          <w:tcPr>
            <w:tcW w:w="2324" w:type="dxa"/>
            <w:shd w:val="clear" w:color="auto" w:fill="3D00A1"/>
            <w:vAlign w:val="center"/>
          </w:tcPr>
          <w:p w14:paraId="0E873305" w14:textId="148413B2" w:rsidR="0077199A" w:rsidRDefault="00B94931" w:rsidP="00D471A7">
            <w:pPr>
              <w:autoSpaceDE w:val="0"/>
              <w:autoSpaceDN w:val="0"/>
              <w:spacing w:after="0"/>
              <w:jc w:val="center"/>
              <w:rPr>
                <w:rFonts w:cs="Arial"/>
                <w:b/>
                <w:color w:val="FFFFFF" w:themeColor="background1"/>
                <w:lang w:val="en-US"/>
              </w:rPr>
            </w:pPr>
            <w:r w:rsidRPr="00D471A7">
              <w:rPr>
                <w:rFonts w:cs="Arial"/>
                <w:b/>
                <w:color w:val="FFFFFF" w:themeColor="background1"/>
                <w:lang w:val="en-US"/>
              </w:rPr>
              <w:t xml:space="preserve">As of </w:t>
            </w:r>
            <w:r w:rsidR="00B22DC4">
              <w:rPr>
                <w:rFonts w:cs="Arial"/>
                <w:b/>
                <w:color w:val="FFFFFF" w:themeColor="background1"/>
                <w:lang w:val="en-US"/>
              </w:rPr>
              <w:t>June 30</w:t>
            </w:r>
            <w:r w:rsidRPr="00D471A7">
              <w:rPr>
                <w:rFonts w:cs="Arial"/>
                <w:b/>
                <w:color w:val="FFFFFF" w:themeColor="background1"/>
                <w:lang w:val="en-US"/>
              </w:rPr>
              <w:t xml:space="preserve">, </w:t>
            </w:r>
          </w:p>
          <w:p w14:paraId="3E7F1618" w14:textId="4FB96996" w:rsidR="00B94931" w:rsidRPr="00D471A7" w:rsidRDefault="0039328C" w:rsidP="00D471A7">
            <w:pPr>
              <w:autoSpaceDE w:val="0"/>
              <w:autoSpaceDN w:val="0"/>
              <w:spacing w:after="0"/>
              <w:jc w:val="center"/>
              <w:rPr>
                <w:rFonts w:cs="Arial"/>
                <w:b/>
                <w:color w:val="FFFFFF" w:themeColor="background1"/>
                <w:lang w:val="en-US"/>
              </w:rPr>
            </w:pPr>
            <w:r>
              <w:rPr>
                <w:rFonts w:cs="Arial"/>
                <w:b/>
                <w:color w:val="FFFFFF" w:themeColor="background1"/>
                <w:lang w:val="en-US"/>
              </w:rPr>
              <w:t>2025</w:t>
            </w:r>
          </w:p>
        </w:tc>
      </w:tr>
      <w:tr w:rsidR="0089062C" w:rsidRPr="00D77CA4" w14:paraId="62062D28" w14:textId="77777777" w:rsidTr="00AE7092">
        <w:trPr>
          <w:trHeight w:val="680"/>
        </w:trPr>
        <w:tc>
          <w:tcPr>
            <w:tcW w:w="2494" w:type="dxa"/>
            <w:shd w:val="clear" w:color="auto" w:fill="F2F2F2"/>
            <w:tcMar>
              <w:top w:w="0" w:type="dxa"/>
              <w:left w:w="108" w:type="dxa"/>
              <w:bottom w:w="0" w:type="dxa"/>
              <w:right w:w="108" w:type="dxa"/>
            </w:tcMar>
            <w:vAlign w:val="center"/>
            <w:hideMark/>
          </w:tcPr>
          <w:p w14:paraId="66F6883B" w14:textId="314C52F2" w:rsidR="0089062C" w:rsidRPr="00200FDC" w:rsidRDefault="0089062C" w:rsidP="0089062C">
            <w:pPr>
              <w:spacing w:after="0"/>
              <w:jc w:val="center"/>
              <w:rPr>
                <w:lang w:val="en-US"/>
              </w:rPr>
            </w:pPr>
            <w:r w:rsidRPr="00200FDC">
              <w:rPr>
                <w:lang w:val="en-US"/>
              </w:rPr>
              <w:t>Annual</w:t>
            </w:r>
          </w:p>
        </w:tc>
        <w:tc>
          <w:tcPr>
            <w:tcW w:w="2324" w:type="dxa"/>
            <w:shd w:val="clear" w:color="auto" w:fill="F2F2F2"/>
            <w:vAlign w:val="bottom"/>
          </w:tcPr>
          <w:p w14:paraId="5CCE28E2" w14:textId="420F1390" w:rsidR="0089062C" w:rsidRPr="00A64DC7" w:rsidRDefault="0039328C" w:rsidP="0089062C">
            <w:pPr>
              <w:jc w:val="center"/>
              <w:rPr>
                <w:lang w:val="en-US"/>
              </w:rPr>
            </w:pPr>
            <w:r w:rsidRPr="00A64DC7">
              <w:rPr>
                <w:lang w:val="en-US"/>
              </w:rPr>
              <w:t>2</w:t>
            </w:r>
            <w:r w:rsidR="00550C8B" w:rsidRPr="00A64DC7">
              <w:rPr>
                <w:lang w:val="en-US"/>
              </w:rPr>
              <w:t>71</w:t>
            </w:r>
            <w:r w:rsidRPr="00A64DC7">
              <w:rPr>
                <w:lang w:val="en-US"/>
              </w:rPr>
              <w:t>.</w:t>
            </w:r>
            <w:r w:rsidR="00550C8B" w:rsidRPr="00A64DC7">
              <w:rPr>
                <w:lang w:val="en-US"/>
              </w:rPr>
              <w:t>5</w:t>
            </w:r>
            <w:r w:rsidR="0089062C" w:rsidRPr="00A64DC7">
              <w:rPr>
                <w:lang w:val="en-US"/>
              </w:rPr>
              <w:t>%</w:t>
            </w:r>
          </w:p>
        </w:tc>
        <w:tc>
          <w:tcPr>
            <w:tcW w:w="2324" w:type="dxa"/>
            <w:shd w:val="clear" w:color="auto" w:fill="F2F2F2"/>
            <w:vAlign w:val="bottom"/>
          </w:tcPr>
          <w:p w14:paraId="691A0378" w14:textId="4A4885EC" w:rsidR="0089062C" w:rsidRPr="00A64DC7" w:rsidRDefault="0039328C" w:rsidP="0089062C">
            <w:pPr>
              <w:jc w:val="center"/>
              <w:rPr>
                <w:lang w:val="en-US"/>
              </w:rPr>
            </w:pPr>
            <w:r w:rsidRPr="00A64DC7">
              <w:rPr>
                <w:lang w:val="en-US"/>
              </w:rPr>
              <w:t>117.8</w:t>
            </w:r>
            <w:r w:rsidR="0089062C" w:rsidRPr="00A64DC7">
              <w:rPr>
                <w:lang w:val="en-US"/>
              </w:rPr>
              <w:t>%</w:t>
            </w:r>
          </w:p>
        </w:tc>
        <w:tc>
          <w:tcPr>
            <w:tcW w:w="2324" w:type="dxa"/>
            <w:shd w:val="clear" w:color="auto" w:fill="F2F2F2"/>
            <w:vAlign w:val="bottom"/>
          </w:tcPr>
          <w:p w14:paraId="5653B438" w14:textId="2B926BF6" w:rsidR="0089062C" w:rsidRPr="00A64DC7" w:rsidRDefault="00550C8B" w:rsidP="0089062C">
            <w:pPr>
              <w:jc w:val="center"/>
              <w:rPr>
                <w:lang w:val="en-US"/>
              </w:rPr>
            </w:pPr>
            <w:r w:rsidRPr="00A64DC7">
              <w:rPr>
                <w:lang w:val="en-US"/>
              </w:rPr>
              <w:t>39</w:t>
            </w:r>
            <w:r w:rsidR="0039328C" w:rsidRPr="00A64DC7">
              <w:rPr>
                <w:lang w:val="en-US"/>
              </w:rPr>
              <w:t>.</w:t>
            </w:r>
            <w:r w:rsidRPr="00A64DC7">
              <w:rPr>
                <w:lang w:val="en-US"/>
              </w:rPr>
              <w:t>4</w:t>
            </w:r>
            <w:r w:rsidR="0089062C" w:rsidRPr="00A64DC7">
              <w:rPr>
                <w:lang w:val="en-US"/>
              </w:rPr>
              <w:t>%</w:t>
            </w:r>
          </w:p>
        </w:tc>
      </w:tr>
      <w:tr w:rsidR="0039328C" w:rsidRPr="00D77CA4" w14:paraId="138010E2" w14:textId="77777777" w:rsidTr="00AE7092">
        <w:trPr>
          <w:trHeight w:val="680"/>
        </w:trPr>
        <w:tc>
          <w:tcPr>
            <w:tcW w:w="2494" w:type="dxa"/>
            <w:shd w:val="clear" w:color="auto" w:fill="F2F2F2"/>
            <w:tcMar>
              <w:top w:w="0" w:type="dxa"/>
              <w:left w:w="108" w:type="dxa"/>
              <w:bottom w:w="0" w:type="dxa"/>
              <w:right w:w="108" w:type="dxa"/>
            </w:tcMar>
            <w:vAlign w:val="center"/>
          </w:tcPr>
          <w:p w14:paraId="4357F618" w14:textId="0DB57C4E" w:rsidR="0039328C" w:rsidRPr="00200FDC" w:rsidRDefault="0039328C" w:rsidP="0089062C">
            <w:pPr>
              <w:spacing w:after="0"/>
              <w:jc w:val="center"/>
              <w:rPr>
                <w:lang w:val="en-US"/>
              </w:rPr>
            </w:pPr>
            <w:r>
              <w:rPr>
                <w:lang w:val="en-US"/>
              </w:rPr>
              <w:t xml:space="preserve">3-month cumulative (since </w:t>
            </w:r>
            <w:r w:rsidR="00B22DC4">
              <w:rPr>
                <w:lang w:val="en-US"/>
              </w:rPr>
              <w:t>M</w:t>
            </w:r>
            <w:proofErr w:type="spellStart"/>
            <w:r w:rsidR="00B22DC4">
              <w:t>arch</w:t>
            </w:r>
            <w:proofErr w:type="spellEnd"/>
            <w:r>
              <w:rPr>
                <w:lang w:val="en-US"/>
              </w:rPr>
              <w:t>)</w:t>
            </w:r>
          </w:p>
        </w:tc>
        <w:tc>
          <w:tcPr>
            <w:tcW w:w="2324" w:type="dxa"/>
            <w:shd w:val="clear" w:color="auto" w:fill="F2F2F2"/>
            <w:vAlign w:val="bottom"/>
          </w:tcPr>
          <w:p w14:paraId="2088C2B3" w14:textId="00A9E216" w:rsidR="0039328C" w:rsidRPr="00A64DC7" w:rsidRDefault="00550C8B" w:rsidP="0089062C">
            <w:pPr>
              <w:jc w:val="center"/>
              <w:rPr>
                <w:lang w:val="en-US"/>
              </w:rPr>
            </w:pPr>
            <w:r w:rsidRPr="00A64DC7">
              <w:rPr>
                <w:lang w:val="en-US"/>
              </w:rPr>
              <w:t>18</w:t>
            </w:r>
            <w:r w:rsidR="0039328C" w:rsidRPr="00A64DC7">
              <w:rPr>
                <w:lang w:val="en-US"/>
              </w:rPr>
              <w:t>.6%</w:t>
            </w:r>
          </w:p>
        </w:tc>
        <w:tc>
          <w:tcPr>
            <w:tcW w:w="2324" w:type="dxa"/>
            <w:shd w:val="clear" w:color="auto" w:fill="F2F2F2"/>
            <w:vAlign w:val="bottom"/>
          </w:tcPr>
          <w:p w14:paraId="39A2078C" w14:textId="228A8CF7" w:rsidR="0039328C" w:rsidRPr="00A64DC7" w:rsidRDefault="0039328C" w:rsidP="0089062C">
            <w:pPr>
              <w:jc w:val="center"/>
              <w:rPr>
                <w:lang w:val="en-US"/>
              </w:rPr>
            </w:pPr>
            <w:r w:rsidRPr="00A64DC7">
              <w:rPr>
                <w:lang w:val="en-US"/>
              </w:rPr>
              <w:t>n/a</w:t>
            </w:r>
          </w:p>
        </w:tc>
        <w:tc>
          <w:tcPr>
            <w:tcW w:w="2324" w:type="dxa"/>
            <w:shd w:val="clear" w:color="auto" w:fill="F2F2F2"/>
            <w:vAlign w:val="bottom"/>
          </w:tcPr>
          <w:p w14:paraId="18085A62" w14:textId="2D727D96" w:rsidR="0039328C" w:rsidRPr="00A64DC7" w:rsidRDefault="0039328C" w:rsidP="0089062C">
            <w:pPr>
              <w:jc w:val="center"/>
              <w:rPr>
                <w:lang w:val="en-US"/>
              </w:rPr>
            </w:pPr>
            <w:r w:rsidRPr="00A64DC7">
              <w:rPr>
                <w:lang w:val="en-US"/>
              </w:rPr>
              <w:t>6</w:t>
            </w:r>
            <w:r w:rsidR="00550C8B" w:rsidRPr="00A64DC7">
              <w:rPr>
                <w:lang w:val="en-US"/>
              </w:rPr>
              <w:t>.0</w:t>
            </w:r>
            <w:r w:rsidRPr="00A64DC7">
              <w:rPr>
                <w:lang w:val="en-US"/>
              </w:rPr>
              <w:t>%</w:t>
            </w:r>
          </w:p>
        </w:tc>
      </w:tr>
    </w:tbl>
    <w:p w14:paraId="7CBAABFB" w14:textId="77777777" w:rsidR="00ED128F" w:rsidRPr="00D77CA4" w:rsidRDefault="00ED128F" w:rsidP="00E2084D">
      <w:pPr>
        <w:tabs>
          <w:tab w:val="left" w:pos="851"/>
          <w:tab w:val="left" w:pos="1440"/>
          <w:tab w:val="left" w:pos="2160"/>
          <w:tab w:val="left" w:pos="2880"/>
          <w:tab w:val="left" w:pos="3600"/>
          <w:tab w:val="left" w:pos="4320"/>
          <w:tab w:val="left" w:pos="5040"/>
          <w:tab w:val="left" w:pos="5760"/>
          <w:tab w:val="left" w:pos="6804"/>
          <w:tab w:val="left" w:pos="7088"/>
          <w:tab w:val="left" w:pos="7920"/>
          <w:tab w:val="left" w:pos="8640"/>
        </w:tabs>
        <w:spacing w:after="0" w:line="280" w:lineRule="atLeast"/>
        <w:ind w:right="141"/>
        <w:jc w:val="both"/>
        <w:rPr>
          <w:rFonts w:ascii="Calibri" w:hAnsi="Calibri" w:cs="Arial"/>
          <w:color w:val="808080"/>
          <w:lang w:val="en-US"/>
        </w:rPr>
      </w:pPr>
    </w:p>
    <w:p w14:paraId="1DC5142C" w14:textId="1E1BE17E" w:rsidR="00C0645C" w:rsidRPr="00C0645C" w:rsidRDefault="00C0645C" w:rsidP="00C0645C">
      <w:pPr>
        <w:tabs>
          <w:tab w:val="left" w:pos="851"/>
          <w:tab w:val="left" w:pos="1440"/>
          <w:tab w:val="left" w:pos="2160"/>
          <w:tab w:val="left" w:pos="2880"/>
          <w:tab w:val="left" w:pos="3600"/>
          <w:tab w:val="left" w:pos="4320"/>
          <w:tab w:val="left" w:pos="5040"/>
          <w:tab w:val="left" w:pos="5760"/>
          <w:tab w:val="left" w:pos="6804"/>
          <w:tab w:val="left" w:pos="7088"/>
          <w:tab w:val="left" w:pos="7920"/>
          <w:tab w:val="left" w:pos="8640"/>
        </w:tabs>
        <w:spacing w:before="120" w:after="240" w:line="280" w:lineRule="atLeast"/>
        <w:ind w:right="142"/>
        <w:jc w:val="both"/>
        <w:rPr>
          <w:lang w:val="en-US"/>
        </w:rPr>
      </w:pPr>
      <w:r w:rsidRPr="00C0645C">
        <w:rPr>
          <w:lang w:val="en-US"/>
        </w:rPr>
        <w:t>During 1H25, consolidated revenues reached P$3,357,004 million, with consolidated service revenues totaling P$3,160,986 million.</w:t>
      </w:r>
    </w:p>
    <w:p w14:paraId="40127760" w14:textId="4E81FAFF" w:rsidR="00C0645C" w:rsidRDefault="00C0645C" w:rsidP="00C0645C">
      <w:pPr>
        <w:tabs>
          <w:tab w:val="left" w:pos="851"/>
          <w:tab w:val="left" w:pos="1440"/>
          <w:tab w:val="left" w:pos="2160"/>
          <w:tab w:val="left" w:pos="2880"/>
          <w:tab w:val="left" w:pos="3600"/>
          <w:tab w:val="left" w:pos="4320"/>
          <w:tab w:val="left" w:pos="5040"/>
          <w:tab w:val="left" w:pos="5760"/>
          <w:tab w:val="left" w:pos="6804"/>
          <w:tab w:val="left" w:pos="7088"/>
          <w:tab w:val="left" w:pos="7920"/>
          <w:tab w:val="left" w:pos="8640"/>
        </w:tabs>
        <w:spacing w:before="120" w:after="240" w:line="280" w:lineRule="atLeast"/>
        <w:ind w:right="142"/>
        <w:jc w:val="both"/>
        <w:rPr>
          <w:lang w:val="en-US"/>
        </w:rPr>
      </w:pPr>
      <w:r w:rsidRPr="00C0645C">
        <w:rPr>
          <w:lang w:val="en-US"/>
        </w:rPr>
        <w:lastRenderedPageBreak/>
        <w:t>In 1H25, consolidated service revenue performance showed an improvement relative to inflation</w:t>
      </w:r>
      <w:r w:rsidR="00170CD9">
        <w:rPr>
          <w:lang w:val="en-US"/>
        </w:rPr>
        <w:t xml:space="preserve">, </w:t>
      </w:r>
      <w:proofErr w:type="gramStart"/>
      <w:r w:rsidR="00170CD9">
        <w:rPr>
          <w:lang w:val="en-US"/>
        </w:rPr>
        <w:t>as  described</w:t>
      </w:r>
      <w:proofErr w:type="gramEnd"/>
      <w:r w:rsidR="00170CD9">
        <w:rPr>
          <w:lang w:val="en-US"/>
        </w:rPr>
        <w:t xml:space="preserve"> as follows:</w:t>
      </w:r>
    </w:p>
    <w:p w14:paraId="153FB0E3" w14:textId="77777777" w:rsidR="00170CD9" w:rsidRPr="00170CD9" w:rsidRDefault="00170CD9" w:rsidP="00170CD9">
      <w:pPr>
        <w:pStyle w:val="Prrafodelista"/>
        <w:numPr>
          <w:ilvl w:val="1"/>
          <w:numId w:val="1"/>
        </w:numPr>
        <w:spacing w:after="60"/>
        <w:ind w:left="709" w:right="141" w:hanging="284"/>
        <w:jc w:val="both"/>
        <w:rPr>
          <w:bCs/>
          <w:lang w:val="en-US"/>
        </w:rPr>
      </w:pPr>
      <w:r w:rsidRPr="00170CD9">
        <w:rPr>
          <w:bCs/>
          <w:u w:val="single"/>
          <w:lang w:val="en-US"/>
        </w:rPr>
        <w:t>Telecom (excluding TMA):</w:t>
      </w:r>
      <w:r w:rsidRPr="00170CD9">
        <w:rPr>
          <w:bCs/>
          <w:lang w:val="en-US"/>
        </w:rPr>
        <w:t xml:space="preserve"> +3.8% vs. 1H24 (vs. -11.7% in real terms in 1H24 vs. 1H23).</w:t>
      </w:r>
    </w:p>
    <w:p w14:paraId="4771BDF8" w14:textId="77777777" w:rsidR="00170CD9" w:rsidRPr="00170CD9" w:rsidRDefault="00170CD9" w:rsidP="00170CD9">
      <w:pPr>
        <w:pStyle w:val="Prrafodelista"/>
        <w:numPr>
          <w:ilvl w:val="1"/>
          <w:numId w:val="1"/>
        </w:numPr>
        <w:spacing w:after="60"/>
        <w:ind w:left="709" w:right="141" w:hanging="284"/>
        <w:jc w:val="both"/>
        <w:rPr>
          <w:bCs/>
          <w:lang w:val="en-US"/>
        </w:rPr>
      </w:pPr>
      <w:r w:rsidRPr="00170CD9">
        <w:rPr>
          <w:bCs/>
          <w:u w:val="single"/>
          <w:lang w:val="en-US"/>
        </w:rPr>
        <w:t>TMA:</w:t>
      </w:r>
      <w:r w:rsidRPr="00170CD9">
        <w:rPr>
          <w:bCs/>
          <w:lang w:val="en-US"/>
        </w:rPr>
        <w:t xml:space="preserve"> +7.5% vs. 1H24. It is worth noting that Telecom does not determine TMA’s commercial or pricing policies.</w:t>
      </w:r>
    </w:p>
    <w:p w14:paraId="7191B433" w14:textId="77777777" w:rsidR="00170CD9" w:rsidRPr="00170CD9" w:rsidRDefault="00170CD9" w:rsidP="00170CD9">
      <w:pPr>
        <w:pStyle w:val="Prrafodelista"/>
        <w:numPr>
          <w:ilvl w:val="1"/>
          <w:numId w:val="1"/>
        </w:numPr>
        <w:spacing w:after="60"/>
        <w:ind w:left="709" w:right="141" w:hanging="284"/>
        <w:jc w:val="both"/>
        <w:rPr>
          <w:bCs/>
          <w:lang w:val="en-US"/>
        </w:rPr>
      </w:pPr>
      <w:r w:rsidRPr="00170CD9">
        <w:rPr>
          <w:bCs/>
          <w:u w:val="single"/>
          <w:lang w:val="en-US"/>
        </w:rPr>
        <w:t>Consolidated:</w:t>
      </w:r>
      <w:r w:rsidRPr="00170CD9">
        <w:rPr>
          <w:bCs/>
          <w:lang w:val="en-US"/>
        </w:rPr>
        <w:t xml:space="preserve"> +44.2% vs. 1H24, including four months of TMA revenues </w:t>
      </w:r>
      <w:proofErr w:type="gramStart"/>
      <w:r w:rsidRPr="00170CD9">
        <w:rPr>
          <w:bCs/>
          <w:lang w:val="en-US"/>
        </w:rPr>
        <w:t>not present</w:t>
      </w:r>
      <w:proofErr w:type="gramEnd"/>
      <w:r w:rsidRPr="00170CD9">
        <w:rPr>
          <w:bCs/>
          <w:lang w:val="en-US"/>
        </w:rPr>
        <w:t xml:space="preserve"> in the comparative consolidated period (1H24).</w:t>
      </w:r>
    </w:p>
    <w:p w14:paraId="6052D21A" w14:textId="26BF2520" w:rsidR="007E757A" w:rsidRPr="00D77CA4" w:rsidRDefault="00F14A66" w:rsidP="005768F7">
      <w:pPr>
        <w:pStyle w:val="Tituloprincipal"/>
        <w:spacing w:after="240"/>
        <w:ind w:left="0" w:right="1984"/>
        <w:jc w:val="left"/>
        <w:rPr>
          <w:u w:val="none"/>
          <w:lang w:val="en-US"/>
        </w:rPr>
      </w:pPr>
      <w:r w:rsidRPr="00D77CA4">
        <w:rPr>
          <w:u w:val="none"/>
          <w:lang w:val="en-US"/>
        </w:rPr>
        <w:t>Consolidated Revenues</w:t>
      </w:r>
    </w:p>
    <w:p w14:paraId="7FE9090C" w14:textId="33B9DE0E" w:rsidR="009E1118" w:rsidRPr="00D77CA4" w:rsidRDefault="00F14A66" w:rsidP="005768F7">
      <w:pPr>
        <w:pStyle w:val="Sinespaciado"/>
        <w:spacing w:after="240"/>
        <w:ind w:right="1985"/>
      </w:pPr>
      <w:r w:rsidRPr="00D77CA4">
        <w:t>Mobile Services</w:t>
      </w:r>
    </w:p>
    <w:p w14:paraId="1D548AA3" w14:textId="5A5C5443" w:rsidR="00C0645C" w:rsidRDefault="00C0645C" w:rsidP="00C0645C">
      <w:pPr>
        <w:pStyle w:val="Sinespaciado"/>
        <w:spacing w:before="240"/>
        <w:ind w:right="1985"/>
        <w:jc w:val="both"/>
        <w:rPr>
          <w:rFonts w:ascii="Roboto" w:eastAsiaTheme="minorHAnsi" w:hAnsi="Roboto"/>
          <w:color w:val="140232"/>
          <w:sz w:val="20"/>
          <w:lang w:eastAsia="en-US"/>
        </w:rPr>
      </w:pPr>
      <w:r w:rsidRPr="00C0645C">
        <w:rPr>
          <w:rFonts w:ascii="Roboto" w:eastAsiaTheme="minorHAnsi" w:hAnsi="Roboto"/>
          <w:color w:val="140232"/>
          <w:sz w:val="20"/>
          <w:lang w:eastAsia="en-US"/>
        </w:rPr>
        <w:t xml:space="preserve">As of June 30, 2025, total subscribers of Telecom </w:t>
      </w:r>
      <w:r w:rsidRPr="00C0645C">
        <w:rPr>
          <w:rFonts w:ascii="Roboto" w:eastAsiaTheme="minorHAnsi" w:hAnsi="Roboto"/>
          <w:color w:val="140232"/>
          <w:sz w:val="20"/>
          <w:u w:val="single"/>
          <w:lang w:eastAsia="en-US"/>
        </w:rPr>
        <w:t>(excluding TMA)</w:t>
      </w:r>
      <w:r w:rsidRPr="00C0645C">
        <w:rPr>
          <w:rFonts w:ascii="Roboto" w:eastAsiaTheme="minorHAnsi" w:hAnsi="Roboto"/>
          <w:color w:val="140232"/>
          <w:sz w:val="20"/>
          <w:lang w:eastAsia="en-US"/>
        </w:rPr>
        <w:t xml:space="preserve"> in Argentina and Paraguay reached 23.6 million, while </w:t>
      </w:r>
      <w:r w:rsidRPr="00C0645C">
        <w:rPr>
          <w:rFonts w:ascii="Roboto" w:eastAsiaTheme="minorHAnsi" w:hAnsi="Roboto"/>
          <w:color w:val="140232"/>
          <w:sz w:val="20"/>
          <w:u w:val="single"/>
          <w:lang w:eastAsia="en-US"/>
        </w:rPr>
        <w:t>TMA</w:t>
      </w:r>
      <w:r w:rsidRPr="00C0645C">
        <w:rPr>
          <w:rFonts w:ascii="Roboto" w:eastAsiaTheme="minorHAnsi" w:hAnsi="Roboto"/>
          <w:color w:val="140232"/>
          <w:sz w:val="20"/>
          <w:lang w:eastAsia="en-US"/>
        </w:rPr>
        <w:t xml:space="preserve"> subscribers totaled 19.3 million.</w:t>
      </w:r>
      <w:r>
        <w:rPr>
          <w:rFonts w:ascii="Roboto" w:eastAsiaTheme="minorHAnsi" w:hAnsi="Roboto"/>
          <w:color w:val="140232"/>
          <w:sz w:val="20"/>
          <w:lang w:eastAsia="en-US"/>
        </w:rPr>
        <w:t xml:space="preserve"> </w:t>
      </w:r>
      <w:r w:rsidRPr="00C0645C">
        <w:rPr>
          <w:rFonts w:ascii="Roboto" w:eastAsiaTheme="minorHAnsi" w:hAnsi="Roboto"/>
          <w:color w:val="140232"/>
          <w:sz w:val="20"/>
          <w:lang w:eastAsia="en-US"/>
        </w:rPr>
        <w:t xml:space="preserve">In 1H25, </w:t>
      </w:r>
      <w:r w:rsidRPr="00C0645C">
        <w:rPr>
          <w:rFonts w:ascii="Roboto" w:eastAsiaTheme="minorHAnsi" w:hAnsi="Roboto"/>
          <w:color w:val="140232"/>
          <w:sz w:val="20"/>
          <w:u w:val="single"/>
          <w:lang w:eastAsia="en-US"/>
        </w:rPr>
        <w:t>consolidated</w:t>
      </w:r>
      <w:r w:rsidRPr="00C0645C">
        <w:rPr>
          <w:rFonts w:ascii="Roboto" w:eastAsiaTheme="minorHAnsi" w:hAnsi="Roboto"/>
          <w:color w:val="140232"/>
          <w:sz w:val="20"/>
          <w:lang w:eastAsia="en-US"/>
        </w:rPr>
        <w:t xml:space="preserve"> mobile service revenues amounted to P$1,604,897 million (+P$667,424 million or +71.2% vs. 1H24), positioning mobile services as the Company’s main business in terms of service revenues (representing 50.8% and 42.8% of service revenues in 1H25 and 1H24, respectively).</w:t>
      </w:r>
      <w:r>
        <w:rPr>
          <w:rFonts w:ascii="Roboto" w:eastAsiaTheme="minorHAnsi" w:hAnsi="Roboto"/>
          <w:color w:val="140232"/>
          <w:sz w:val="20"/>
          <w:lang w:eastAsia="en-US"/>
        </w:rPr>
        <w:t xml:space="preserve"> </w:t>
      </w:r>
      <w:r w:rsidRPr="00C0645C">
        <w:rPr>
          <w:rFonts w:ascii="Roboto" w:eastAsiaTheme="minorHAnsi" w:hAnsi="Roboto"/>
          <w:color w:val="140232"/>
          <w:sz w:val="20"/>
          <w:lang w:eastAsia="en-US"/>
        </w:rPr>
        <w:t>Mobile internet revenues accounted for 98% and 93% of total mobile service revenues in 1H25 and 1H24, respectively.</w:t>
      </w:r>
      <w:r>
        <w:rPr>
          <w:rFonts w:ascii="Roboto" w:eastAsiaTheme="minorHAnsi" w:hAnsi="Roboto"/>
          <w:color w:val="140232"/>
          <w:sz w:val="20"/>
          <w:lang w:eastAsia="en-US"/>
        </w:rPr>
        <w:t xml:space="preserve"> </w:t>
      </w:r>
      <w:r w:rsidRPr="00C0645C">
        <w:rPr>
          <w:rFonts w:ascii="Roboto" w:eastAsiaTheme="minorHAnsi" w:hAnsi="Roboto"/>
          <w:color w:val="140232"/>
          <w:sz w:val="20"/>
          <w:lang w:eastAsia="en-US"/>
        </w:rPr>
        <w:t xml:space="preserve">Excluding the impact of TMA’s consolidation in mobile service revenues, the 10.2% increase for Telecom </w:t>
      </w:r>
      <w:r w:rsidRPr="0086759F">
        <w:rPr>
          <w:rFonts w:ascii="Roboto" w:eastAsiaTheme="minorHAnsi" w:hAnsi="Roboto"/>
          <w:color w:val="140232"/>
          <w:sz w:val="20"/>
          <w:u w:val="single"/>
          <w:lang w:eastAsia="en-US"/>
        </w:rPr>
        <w:t>(excluding TMA)</w:t>
      </w:r>
      <w:r w:rsidRPr="00C0645C">
        <w:rPr>
          <w:rFonts w:ascii="Roboto" w:eastAsiaTheme="minorHAnsi" w:hAnsi="Roboto"/>
          <w:color w:val="140232"/>
          <w:sz w:val="20"/>
          <w:lang w:eastAsia="en-US"/>
        </w:rPr>
        <w:t xml:space="preserve"> was mainly driven by a higher ARPU.</w:t>
      </w:r>
    </w:p>
    <w:p w14:paraId="26CED7D2" w14:textId="44056084" w:rsidR="007E757A" w:rsidRPr="00D77CA4" w:rsidRDefault="00BD7388" w:rsidP="00C0645C">
      <w:pPr>
        <w:pStyle w:val="Sinespaciado"/>
        <w:spacing w:before="240"/>
        <w:ind w:right="1985"/>
      </w:pPr>
      <w:r w:rsidRPr="00D77CA4">
        <w:t>Mobile Services in Argentina</w:t>
      </w:r>
    </w:p>
    <w:p w14:paraId="697E8BD0" w14:textId="0E000E73" w:rsidR="00B8703F" w:rsidRPr="00B8703F" w:rsidRDefault="00B8703F" w:rsidP="00B8703F">
      <w:pPr>
        <w:spacing w:before="240" w:after="0"/>
        <w:ind w:right="1985"/>
        <w:jc w:val="both"/>
        <w:rPr>
          <w:lang w:val="en-US"/>
        </w:rPr>
      </w:pPr>
      <w:r w:rsidRPr="00B8703F">
        <w:rPr>
          <w:lang w:val="en-US"/>
        </w:rPr>
        <w:t xml:space="preserve">As of June 30, 2025, Telecom’s mobile subscribers in Argentina </w:t>
      </w:r>
      <w:r w:rsidRPr="00B8703F">
        <w:rPr>
          <w:u w:val="single"/>
          <w:lang w:val="en-US"/>
        </w:rPr>
        <w:t>(excluding TMA)</w:t>
      </w:r>
      <w:r w:rsidRPr="00B8703F">
        <w:rPr>
          <w:lang w:val="en-US"/>
        </w:rPr>
        <w:t xml:space="preserve"> totaled approximately 20.9 million (-278 thousand or -1.3% vs. 1H24). During 1H25, the full impact of the change in the disconnection policy for prepaid lines due to inactivity—implemented in July 2024—was recorded. This change reduced the number of days without top-ups required for line deactivation and largely explains the 2.8% decline in the prepaid base. Meanwhile, the postpaid base increased by 1.1% vs. 1H24. As of June 30, 2025, postpaid </w:t>
      </w:r>
      <w:proofErr w:type="gramStart"/>
      <w:r w:rsidRPr="00B8703F">
        <w:rPr>
          <w:lang w:val="en-US"/>
        </w:rPr>
        <w:t>accesses</w:t>
      </w:r>
      <w:proofErr w:type="gramEnd"/>
      <w:r w:rsidRPr="00B8703F">
        <w:rPr>
          <w:lang w:val="en-US"/>
        </w:rPr>
        <w:t xml:space="preserve"> represented 39% of total mobile </w:t>
      </w:r>
      <w:proofErr w:type="gramStart"/>
      <w:r w:rsidRPr="00B8703F">
        <w:rPr>
          <w:lang w:val="en-US"/>
        </w:rPr>
        <w:t>accesses</w:t>
      </w:r>
      <w:proofErr w:type="gramEnd"/>
      <w:r w:rsidRPr="00B8703F">
        <w:rPr>
          <w:lang w:val="en-US"/>
        </w:rPr>
        <w:t>.</w:t>
      </w:r>
    </w:p>
    <w:p w14:paraId="36C69A48" w14:textId="77777777" w:rsidR="00B8703F" w:rsidRPr="00B8703F" w:rsidRDefault="00B8703F" w:rsidP="00B8703F">
      <w:pPr>
        <w:spacing w:before="240" w:after="0"/>
        <w:ind w:right="1985"/>
        <w:jc w:val="both"/>
        <w:rPr>
          <w:lang w:val="en-US"/>
        </w:rPr>
      </w:pPr>
      <w:r w:rsidRPr="00B8703F">
        <w:rPr>
          <w:lang w:val="en-US"/>
        </w:rPr>
        <w:t xml:space="preserve">As of June 30, 2025, TMA’s mobile subscribers totaled approximately 19.3 million (+464 thousand or +2.5% vs. 1H24), including M2M-type accesses totaling 2.8 million (+287 thousand or +11.6%). The postpaid base increased by 3.1% vs. 1H24, while the prepaid base grew by 1.9%. As of June 30, 2025, postpaid </w:t>
      </w:r>
      <w:proofErr w:type="gramStart"/>
      <w:r w:rsidRPr="00B8703F">
        <w:rPr>
          <w:lang w:val="en-US"/>
        </w:rPr>
        <w:t>accesses</w:t>
      </w:r>
      <w:proofErr w:type="gramEnd"/>
      <w:r w:rsidRPr="00B8703F">
        <w:rPr>
          <w:lang w:val="en-US"/>
        </w:rPr>
        <w:t xml:space="preserve"> represented 48% of total mobile </w:t>
      </w:r>
      <w:proofErr w:type="gramStart"/>
      <w:r w:rsidRPr="00B8703F">
        <w:rPr>
          <w:lang w:val="en-US"/>
        </w:rPr>
        <w:t>accesses</w:t>
      </w:r>
      <w:proofErr w:type="gramEnd"/>
      <w:r w:rsidRPr="00B8703F">
        <w:rPr>
          <w:lang w:val="en-US"/>
        </w:rPr>
        <w:t>. TMA’s average monthly churn stood at 1.6% in 1H25 (vs. 2.0% average in 1H24).</w:t>
      </w:r>
    </w:p>
    <w:p w14:paraId="02083A99" w14:textId="77777777" w:rsidR="00170CD9" w:rsidRPr="00170CD9" w:rsidRDefault="00170CD9" w:rsidP="00170CD9">
      <w:pPr>
        <w:spacing w:before="240" w:after="0"/>
        <w:ind w:right="1985"/>
        <w:jc w:val="both"/>
        <w:rPr>
          <w:lang w:val="en-US"/>
        </w:rPr>
      </w:pPr>
      <w:r w:rsidRPr="00170CD9">
        <w:rPr>
          <w:lang w:val="en-US"/>
        </w:rPr>
        <w:t xml:space="preserve">In 1H25, </w:t>
      </w:r>
      <w:r w:rsidRPr="00170CD9">
        <w:rPr>
          <w:u w:val="single"/>
          <w:lang w:val="en-US"/>
        </w:rPr>
        <w:t>consolidated</w:t>
      </w:r>
      <w:r w:rsidRPr="00170CD9">
        <w:rPr>
          <w:lang w:val="en-US"/>
        </w:rPr>
        <w:t xml:space="preserve"> mobile service revenues in Argentina reached P$1,532,029 million (+P$684,175 million or +80.7% vs. 1H24). This increase was primarily driven by the consolidation of TMA’s results in 1H25, which totaled P$572,126 million. Excluding the impact of TMA’s consolidation, the growth was mainly attributable to a 12.6% real increase in ARPU.</w:t>
      </w:r>
    </w:p>
    <w:p w14:paraId="10BCA426" w14:textId="77777777" w:rsidR="00170CD9" w:rsidRPr="00170CD9" w:rsidRDefault="00170CD9" w:rsidP="00170CD9">
      <w:pPr>
        <w:spacing w:before="240" w:after="0"/>
        <w:ind w:right="1985"/>
        <w:jc w:val="both"/>
        <w:rPr>
          <w:lang w:val="en-US"/>
        </w:rPr>
      </w:pPr>
      <w:r w:rsidRPr="00170CD9">
        <w:rPr>
          <w:lang w:val="en-US"/>
        </w:rPr>
        <w:t xml:space="preserve">The average monthly revenue per user (“ARPU”) for Telecom </w:t>
      </w:r>
      <w:r w:rsidRPr="00170CD9">
        <w:rPr>
          <w:u w:val="single"/>
          <w:lang w:val="en-US"/>
        </w:rPr>
        <w:t>(excluding TMA)</w:t>
      </w:r>
      <w:r w:rsidRPr="00170CD9">
        <w:rPr>
          <w:lang w:val="en-US"/>
        </w:rPr>
        <w:t xml:space="preserve"> was P$7,444.0 in 1H25 (+12.6% in real terms vs. 1H24). The effect of restatement to the current measuring unit as of June 30, </w:t>
      </w:r>
      <w:proofErr w:type="gramStart"/>
      <w:r w:rsidRPr="00170CD9">
        <w:rPr>
          <w:lang w:val="en-US"/>
        </w:rPr>
        <w:t>2025</w:t>
      </w:r>
      <w:proofErr w:type="gramEnd"/>
      <w:r w:rsidRPr="00170CD9">
        <w:rPr>
          <w:lang w:val="en-US"/>
        </w:rPr>
        <w:t xml:space="preserve"> included in ARPU amounted to P$375.3 and P$2,514.6 in 1H25 and 1H24, respectively. Average monthly churn stood at 2.1% in 1H25 (vs. 1.6% average in 1H24).</w:t>
      </w:r>
    </w:p>
    <w:p w14:paraId="31308A56" w14:textId="7806FA16" w:rsidR="009910BC" w:rsidRPr="00170CD9" w:rsidRDefault="00170CD9" w:rsidP="00170CD9">
      <w:pPr>
        <w:spacing w:before="240" w:after="0"/>
        <w:ind w:right="1985"/>
        <w:jc w:val="both"/>
        <w:rPr>
          <w:lang w:val="en-US"/>
        </w:rPr>
      </w:pPr>
      <w:r w:rsidRPr="00170CD9">
        <w:rPr>
          <w:lang w:val="en-US"/>
        </w:rPr>
        <w:t xml:space="preserve">The average monthly revenue per user (“ARPU”) for TMA was P$7,187.7 in 1H25 (+8.9% in real terms vs. 1H24). The effect of restatement to the current measuring unit as of </w:t>
      </w:r>
      <w:r w:rsidRPr="00170CD9">
        <w:rPr>
          <w:lang w:val="en-US"/>
        </w:rPr>
        <w:lastRenderedPageBreak/>
        <w:t xml:space="preserve">June 30, </w:t>
      </w:r>
      <w:proofErr w:type="gramStart"/>
      <w:r w:rsidRPr="00170CD9">
        <w:rPr>
          <w:lang w:val="en-US"/>
        </w:rPr>
        <w:t>2025</w:t>
      </w:r>
      <w:proofErr w:type="gramEnd"/>
      <w:r w:rsidRPr="00170CD9">
        <w:rPr>
          <w:lang w:val="en-US"/>
        </w:rPr>
        <w:t xml:space="preserve"> included in ARPU amounted to P$367.2 and P$2,551.2 in 1H25 and 1H24, respectively.</w:t>
      </w:r>
    </w:p>
    <w:p w14:paraId="4F6B0305" w14:textId="3BF74437" w:rsidR="00BD7388" w:rsidRPr="0047735F" w:rsidRDefault="001B73D5" w:rsidP="00515A4E">
      <w:pPr>
        <w:spacing w:before="240" w:after="0"/>
        <w:ind w:right="1985"/>
        <w:jc w:val="both"/>
        <w:rPr>
          <w:rFonts w:ascii="Pulso" w:eastAsiaTheme="minorEastAsia" w:hAnsi="Pulso"/>
          <w:color w:val="B989F9"/>
          <w:sz w:val="28"/>
          <w:lang w:val="en-US" w:eastAsia="zh-CN"/>
        </w:rPr>
      </w:pPr>
      <w:r w:rsidRPr="0047735F">
        <w:rPr>
          <w:rFonts w:ascii="Pulso" w:eastAsiaTheme="minorEastAsia" w:hAnsi="Pulso"/>
          <w:color w:val="B989F9"/>
          <w:sz w:val="28"/>
          <w:lang w:val="en-US" w:eastAsia="zh-CN"/>
        </w:rPr>
        <w:t>Personal</w:t>
      </w:r>
      <w:r w:rsidR="00E14AC7" w:rsidRPr="0047735F">
        <w:rPr>
          <w:rFonts w:ascii="Pulso" w:eastAsiaTheme="minorEastAsia" w:hAnsi="Pulso"/>
          <w:color w:val="B989F9"/>
          <w:sz w:val="28"/>
          <w:lang w:val="en-US" w:eastAsia="zh-CN"/>
        </w:rPr>
        <w:t xml:space="preserve"> </w:t>
      </w:r>
      <w:r w:rsidR="00BD7388" w:rsidRPr="0047735F">
        <w:rPr>
          <w:rFonts w:ascii="Pulso" w:eastAsiaTheme="minorEastAsia" w:hAnsi="Pulso"/>
          <w:color w:val="B989F9"/>
          <w:sz w:val="28"/>
          <w:lang w:val="en-US" w:eastAsia="zh-CN"/>
        </w:rPr>
        <w:t>in Paraguay (</w:t>
      </w:r>
      <w:r w:rsidR="00E14AC7" w:rsidRPr="0047735F">
        <w:rPr>
          <w:rFonts w:ascii="Pulso" w:eastAsiaTheme="minorEastAsia" w:hAnsi="Pulso"/>
          <w:color w:val="B989F9"/>
          <w:sz w:val="28"/>
          <w:lang w:val="en-US" w:eastAsia="zh-CN"/>
        </w:rPr>
        <w:t>“</w:t>
      </w:r>
      <w:proofErr w:type="spellStart"/>
      <w:r w:rsidR="00BD7388" w:rsidRPr="0047735F">
        <w:rPr>
          <w:rFonts w:ascii="Pulso" w:eastAsiaTheme="minorEastAsia" w:hAnsi="Pulso"/>
          <w:color w:val="B989F9"/>
          <w:sz w:val="28"/>
          <w:lang w:val="en-US" w:eastAsia="zh-CN"/>
        </w:rPr>
        <w:t>Núcleo</w:t>
      </w:r>
      <w:proofErr w:type="spellEnd"/>
      <w:r w:rsidR="00E14AC7" w:rsidRPr="0047735F">
        <w:rPr>
          <w:rFonts w:ascii="Pulso" w:eastAsiaTheme="minorEastAsia" w:hAnsi="Pulso"/>
          <w:color w:val="B989F9"/>
          <w:sz w:val="28"/>
          <w:lang w:val="en-US" w:eastAsia="zh-CN"/>
        </w:rPr>
        <w:t>”</w:t>
      </w:r>
      <w:r w:rsidR="00BD7388" w:rsidRPr="0047735F">
        <w:rPr>
          <w:rFonts w:ascii="Pulso" w:eastAsiaTheme="minorEastAsia" w:hAnsi="Pulso"/>
          <w:color w:val="B989F9"/>
          <w:sz w:val="28"/>
          <w:lang w:val="en-US" w:eastAsia="zh-CN"/>
        </w:rPr>
        <w:t xml:space="preserve">)  </w:t>
      </w:r>
    </w:p>
    <w:p w14:paraId="01E0737B" w14:textId="11C30239" w:rsidR="009910BC" w:rsidRPr="009910BC" w:rsidRDefault="009910BC" w:rsidP="009910BC">
      <w:pPr>
        <w:pStyle w:val="Sinespaciado"/>
        <w:spacing w:before="240"/>
        <w:ind w:right="1985"/>
        <w:jc w:val="both"/>
        <w:rPr>
          <w:rFonts w:ascii="Roboto" w:eastAsiaTheme="minorHAnsi" w:hAnsi="Roboto"/>
          <w:color w:val="140232"/>
          <w:sz w:val="20"/>
          <w:lang w:eastAsia="en-US"/>
        </w:rPr>
      </w:pPr>
      <w:r w:rsidRPr="009910BC">
        <w:rPr>
          <w:rFonts w:ascii="Roboto" w:eastAsiaTheme="minorHAnsi" w:hAnsi="Roboto"/>
          <w:color w:val="140232"/>
          <w:sz w:val="20"/>
          <w:lang w:eastAsia="en-US"/>
        </w:rPr>
        <w:t xml:space="preserve">As of June 30, 2025, </w:t>
      </w:r>
      <w:proofErr w:type="spellStart"/>
      <w:r w:rsidRPr="009910BC">
        <w:rPr>
          <w:rFonts w:ascii="Roboto" w:eastAsiaTheme="minorHAnsi" w:hAnsi="Roboto"/>
          <w:color w:val="140232"/>
          <w:sz w:val="20"/>
          <w:lang w:eastAsia="en-US"/>
        </w:rPr>
        <w:t>Núcleo’s</w:t>
      </w:r>
      <w:proofErr w:type="spellEnd"/>
      <w:r w:rsidRPr="009910BC">
        <w:rPr>
          <w:rFonts w:ascii="Roboto" w:eastAsiaTheme="minorHAnsi" w:hAnsi="Roboto"/>
          <w:color w:val="140232"/>
          <w:sz w:val="20"/>
          <w:lang w:eastAsia="en-US"/>
        </w:rPr>
        <w:t xml:space="preserve"> subscriber base totaled 2.7 million, increasing 10.1% compared to 1H24. Of the total </w:t>
      </w:r>
      <w:proofErr w:type="gramStart"/>
      <w:r w:rsidRPr="009910BC">
        <w:rPr>
          <w:rFonts w:ascii="Roboto" w:eastAsiaTheme="minorHAnsi" w:hAnsi="Roboto"/>
          <w:color w:val="140232"/>
          <w:sz w:val="20"/>
          <w:lang w:eastAsia="en-US"/>
        </w:rPr>
        <w:t>accesses</w:t>
      </w:r>
      <w:proofErr w:type="gramEnd"/>
      <w:r w:rsidRPr="009910BC">
        <w:rPr>
          <w:rFonts w:ascii="Roboto" w:eastAsiaTheme="minorHAnsi" w:hAnsi="Roboto"/>
          <w:color w:val="140232"/>
          <w:sz w:val="20"/>
          <w:lang w:eastAsia="en-US"/>
        </w:rPr>
        <w:t>, 72% corresponded to the prepaid segment and 28% to the postpaid segment, whereas as of June 30, 2024, prepaid accesses represented 74% and postpaid accesses 26%. Average monthly churn stood at 2.3% in 1H25 vs. 2.6% in 1H24.</w:t>
      </w:r>
    </w:p>
    <w:p w14:paraId="04A6B172" w14:textId="77777777" w:rsidR="009910BC" w:rsidRDefault="009910BC" w:rsidP="009910BC">
      <w:pPr>
        <w:pStyle w:val="Sinespaciado"/>
        <w:spacing w:before="240"/>
        <w:ind w:right="1985"/>
        <w:jc w:val="both"/>
        <w:rPr>
          <w:rFonts w:ascii="Roboto" w:eastAsiaTheme="minorHAnsi" w:hAnsi="Roboto"/>
          <w:color w:val="140232"/>
          <w:sz w:val="20"/>
          <w:lang w:eastAsia="en-US"/>
        </w:rPr>
      </w:pPr>
      <w:r w:rsidRPr="009910BC">
        <w:rPr>
          <w:rFonts w:ascii="Roboto" w:eastAsiaTheme="minorHAnsi" w:hAnsi="Roboto"/>
          <w:color w:val="140232"/>
          <w:sz w:val="20"/>
          <w:lang w:eastAsia="en-US"/>
        </w:rPr>
        <w:t xml:space="preserve">During 1H25, mobile service revenues in Paraguay reached P$72,868 million, decreasing in real terms (-P$16,751 million vs. 1H24). This decline was driven by a reduction in ARPU, measured in constant pesos, partially offset by the appreciation of the </w:t>
      </w:r>
      <w:proofErr w:type="spellStart"/>
      <w:r w:rsidRPr="009910BC">
        <w:rPr>
          <w:rFonts w:ascii="Roboto" w:eastAsiaTheme="minorHAnsi" w:hAnsi="Roboto"/>
          <w:color w:val="140232"/>
          <w:sz w:val="20"/>
          <w:lang w:eastAsia="en-US"/>
        </w:rPr>
        <w:t>guaraní</w:t>
      </w:r>
      <w:proofErr w:type="spellEnd"/>
      <w:r w:rsidRPr="009910BC">
        <w:rPr>
          <w:rFonts w:ascii="Roboto" w:eastAsiaTheme="minorHAnsi" w:hAnsi="Roboto"/>
          <w:color w:val="140232"/>
          <w:sz w:val="20"/>
          <w:lang w:eastAsia="en-US"/>
        </w:rPr>
        <w:t xml:space="preserve"> against the Argentine peso and by growth in the customer base.</w:t>
      </w:r>
    </w:p>
    <w:p w14:paraId="7C152B12" w14:textId="01390CA4" w:rsidR="00496CDE" w:rsidRPr="001D540A" w:rsidRDefault="00496CDE" w:rsidP="009910BC">
      <w:pPr>
        <w:pStyle w:val="Sinespaciado"/>
        <w:spacing w:before="240"/>
        <w:ind w:right="1985"/>
        <w:jc w:val="both"/>
      </w:pPr>
      <w:r w:rsidRPr="00D77CA4">
        <w:t>Internet Services</w:t>
      </w:r>
    </w:p>
    <w:p w14:paraId="36636A94" w14:textId="333712BE" w:rsidR="00844108" w:rsidRPr="00844108" w:rsidRDefault="002D438C" w:rsidP="00844108">
      <w:pPr>
        <w:pStyle w:val="Sinespaciado"/>
        <w:spacing w:before="240"/>
        <w:ind w:right="1985"/>
        <w:jc w:val="both"/>
        <w:rPr>
          <w:rFonts w:ascii="Roboto" w:eastAsiaTheme="minorHAnsi" w:hAnsi="Roboto"/>
          <w:color w:val="140232"/>
          <w:sz w:val="20"/>
          <w:lang w:eastAsia="en-US"/>
        </w:rPr>
      </w:pPr>
      <w:r w:rsidRPr="002D438C">
        <w:rPr>
          <w:rFonts w:ascii="Roboto" w:eastAsiaTheme="minorHAnsi" w:hAnsi="Roboto"/>
          <w:color w:val="140232"/>
          <w:sz w:val="20"/>
          <w:u w:val="single"/>
          <w:lang w:eastAsia="en-US"/>
        </w:rPr>
        <w:t>Consolidated</w:t>
      </w:r>
      <w:r w:rsidRPr="002D438C">
        <w:rPr>
          <w:rFonts w:ascii="Roboto" w:eastAsiaTheme="minorHAnsi" w:hAnsi="Roboto"/>
          <w:color w:val="140232"/>
          <w:sz w:val="20"/>
          <w:lang w:eastAsia="en-US"/>
        </w:rPr>
        <w:t xml:space="preserve"> </w:t>
      </w:r>
      <w:r w:rsidR="00844108" w:rsidRPr="00844108">
        <w:rPr>
          <w:rFonts w:ascii="Roboto" w:eastAsiaTheme="minorHAnsi" w:hAnsi="Roboto"/>
          <w:color w:val="140232"/>
          <w:sz w:val="20"/>
          <w:lang w:eastAsia="en-US"/>
        </w:rPr>
        <w:t xml:space="preserve">internet service revenues reached P$744,556 million in 1H25, growing in real terms (+P$161,678 million or +27.7% vs. 1H24). Telecom’s subscriber base </w:t>
      </w:r>
      <w:r w:rsidR="00844108" w:rsidRPr="00844108">
        <w:rPr>
          <w:rFonts w:ascii="Roboto" w:eastAsiaTheme="minorHAnsi" w:hAnsi="Roboto"/>
          <w:color w:val="140232"/>
          <w:sz w:val="20"/>
          <w:u w:val="single"/>
          <w:lang w:eastAsia="en-US"/>
        </w:rPr>
        <w:t>(excluding TMA)</w:t>
      </w:r>
      <w:r w:rsidR="00844108" w:rsidRPr="00844108">
        <w:rPr>
          <w:rFonts w:ascii="Roboto" w:eastAsiaTheme="minorHAnsi" w:hAnsi="Roboto"/>
          <w:color w:val="140232"/>
          <w:sz w:val="20"/>
          <w:lang w:eastAsia="en-US"/>
        </w:rPr>
        <w:t xml:space="preserve"> reached 4.1 million subscribers (+60 thousand or +1.5% vs. 1H24) during 1H25. The monthly churn rate for internet services stood at 1.2% and 1.9% as of June 30, </w:t>
      </w:r>
      <w:proofErr w:type="gramStart"/>
      <w:r w:rsidR="00844108" w:rsidRPr="00844108">
        <w:rPr>
          <w:rFonts w:ascii="Roboto" w:eastAsiaTheme="minorHAnsi" w:hAnsi="Roboto"/>
          <w:color w:val="140232"/>
          <w:sz w:val="20"/>
          <w:lang w:eastAsia="en-US"/>
        </w:rPr>
        <w:t>2025</w:t>
      </w:r>
      <w:proofErr w:type="gramEnd"/>
      <w:r w:rsidR="00844108" w:rsidRPr="00844108">
        <w:rPr>
          <w:rFonts w:ascii="Roboto" w:eastAsiaTheme="minorHAnsi" w:hAnsi="Roboto"/>
          <w:color w:val="140232"/>
          <w:sz w:val="20"/>
          <w:lang w:eastAsia="en-US"/>
        </w:rPr>
        <w:t xml:space="preserve"> and 2024, respectively.</w:t>
      </w:r>
    </w:p>
    <w:p w14:paraId="59F86850" w14:textId="0C4E27E7" w:rsidR="00844108" w:rsidRPr="00844108" w:rsidRDefault="00844108" w:rsidP="00844108">
      <w:pPr>
        <w:pStyle w:val="Sinespaciado"/>
        <w:spacing w:before="240"/>
        <w:ind w:right="1985"/>
        <w:jc w:val="both"/>
        <w:rPr>
          <w:rFonts w:ascii="Roboto" w:eastAsiaTheme="minorHAnsi" w:hAnsi="Roboto"/>
          <w:color w:val="140232"/>
          <w:sz w:val="20"/>
          <w:lang w:eastAsia="en-US"/>
        </w:rPr>
      </w:pPr>
      <w:r w:rsidRPr="00844108">
        <w:rPr>
          <w:rFonts w:ascii="Roboto" w:eastAsiaTheme="minorHAnsi" w:hAnsi="Roboto"/>
          <w:color w:val="140232"/>
          <w:sz w:val="20"/>
          <w:lang w:eastAsia="en-US"/>
        </w:rPr>
        <w:t xml:space="preserve">The revenue increase was mainly driven by the consolidation of TMA’s results in 1H25, which totaled P$131,955 million. Excluding the impact of TMA’s consolidation, the 5.1% increase for Telecom </w:t>
      </w:r>
      <w:r w:rsidRPr="00844108">
        <w:rPr>
          <w:rFonts w:ascii="Roboto" w:eastAsiaTheme="minorHAnsi" w:hAnsi="Roboto"/>
          <w:color w:val="140232"/>
          <w:sz w:val="20"/>
          <w:u w:val="single"/>
          <w:lang w:eastAsia="en-US"/>
        </w:rPr>
        <w:t>(excluding TMA)</w:t>
      </w:r>
      <w:r w:rsidRPr="00844108">
        <w:rPr>
          <w:rFonts w:ascii="Roboto" w:eastAsiaTheme="minorHAnsi" w:hAnsi="Roboto"/>
          <w:color w:val="140232"/>
          <w:sz w:val="20"/>
          <w:lang w:eastAsia="en-US"/>
        </w:rPr>
        <w:t xml:space="preserve"> was primarily due to higher ARPU and subscriber growth.</w:t>
      </w:r>
    </w:p>
    <w:p w14:paraId="48570136" w14:textId="2D5D6FE2" w:rsidR="00844108" w:rsidRPr="00844108" w:rsidRDefault="00844108" w:rsidP="00844108">
      <w:pPr>
        <w:pStyle w:val="Sinespaciado"/>
        <w:spacing w:before="240"/>
        <w:ind w:right="1985"/>
        <w:jc w:val="both"/>
        <w:rPr>
          <w:rFonts w:ascii="Roboto" w:eastAsiaTheme="minorHAnsi" w:hAnsi="Roboto"/>
          <w:color w:val="140232"/>
          <w:sz w:val="20"/>
          <w:lang w:eastAsia="en-US"/>
        </w:rPr>
      </w:pPr>
      <w:r w:rsidRPr="00844108">
        <w:rPr>
          <w:rFonts w:ascii="Roboto" w:eastAsiaTheme="minorHAnsi" w:hAnsi="Roboto"/>
          <w:color w:val="140232"/>
          <w:sz w:val="20"/>
          <w:lang w:eastAsia="en-US"/>
        </w:rPr>
        <w:t xml:space="preserve">TMA’s subscriber base reached 1.6 million (+90 thousand or +6.0% vs. 1H24) during 1H25. The average monthly churn rate for internet services as of June 30, </w:t>
      </w:r>
      <w:proofErr w:type="gramStart"/>
      <w:r w:rsidRPr="00844108">
        <w:rPr>
          <w:rFonts w:ascii="Roboto" w:eastAsiaTheme="minorHAnsi" w:hAnsi="Roboto"/>
          <w:color w:val="140232"/>
          <w:sz w:val="20"/>
          <w:lang w:eastAsia="en-US"/>
        </w:rPr>
        <w:t>2025</w:t>
      </w:r>
      <w:proofErr w:type="gramEnd"/>
      <w:r w:rsidRPr="00844108">
        <w:rPr>
          <w:rFonts w:ascii="Roboto" w:eastAsiaTheme="minorHAnsi" w:hAnsi="Roboto"/>
          <w:color w:val="140232"/>
          <w:sz w:val="20"/>
          <w:lang w:eastAsia="en-US"/>
        </w:rPr>
        <w:t xml:space="preserve"> was 2.0% (vs. 1.8% in 1H24).</w:t>
      </w:r>
    </w:p>
    <w:p w14:paraId="5752B03B" w14:textId="7499F5F5" w:rsidR="00844108" w:rsidRPr="00844108" w:rsidRDefault="00844108" w:rsidP="00844108">
      <w:pPr>
        <w:pStyle w:val="Sinespaciado"/>
        <w:spacing w:before="240"/>
        <w:ind w:right="1985"/>
        <w:jc w:val="both"/>
        <w:rPr>
          <w:rFonts w:ascii="Roboto" w:eastAsiaTheme="minorHAnsi" w:hAnsi="Roboto"/>
          <w:color w:val="140232"/>
          <w:sz w:val="20"/>
          <w:lang w:eastAsia="en-US"/>
        </w:rPr>
      </w:pPr>
      <w:r w:rsidRPr="00844108">
        <w:rPr>
          <w:rFonts w:ascii="Roboto" w:eastAsiaTheme="minorHAnsi" w:hAnsi="Roboto"/>
          <w:color w:val="140232"/>
          <w:sz w:val="20"/>
          <w:lang w:eastAsia="en-US"/>
        </w:rPr>
        <w:t xml:space="preserve">In 1H25, Telecom’s broadband ARPU </w:t>
      </w:r>
      <w:r w:rsidRPr="00844108">
        <w:rPr>
          <w:rFonts w:ascii="Roboto" w:eastAsiaTheme="minorHAnsi" w:hAnsi="Roboto"/>
          <w:color w:val="140232"/>
          <w:sz w:val="20"/>
          <w:u w:val="single"/>
          <w:lang w:eastAsia="en-US"/>
        </w:rPr>
        <w:t>(excluding TMA),</w:t>
      </w:r>
      <w:r w:rsidRPr="00844108">
        <w:rPr>
          <w:rFonts w:ascii="Roboto" w:eastAsiaTheme="minorHAnsi" w:hAnsi="Roboto"/>
          <w:color w:val="140232"/>
          <w:sz w:val="20"/>
          <w:lang w:eastAsia="en-US"/>
        </w:rPr>
        <w:t xml:space="preserve"> expressed in constant currency as of June 30, 2025, reached P$23,755.4 (+6.3% in real terms vs. 1H24). The effect of restatement to current measurement units as of June 30, </w:t>
      </w:r>
      <w:proofErr w:type="gramStart"/>
      <w:r w:rsidRPr="00844108">
        <w:rPr>
          <w:rFonts w:ascii="Roboto" w:eastAsiaTheme="minorHAnsi" w:hAnsi="Roboto"/>
          <w:color w:val="140232"/>
          <w:sz w:val="20"/>
          <w:lang w:eastAsia="en-US"/>
        </w:rPr>
        <w:t>2025</w:t>
      </w:r>
      <w:proofErr w:type="gramEnd"/>
      <w:r w:rsidRPr="00844108">
        <w:rPr>
          <w:rFonts w:ascii="Roboto" w:eastAsiaTheme="minorHAnsi" w:hAnsi="Roboto"/>
          <w:color w:val="140232"/>
          <w:sz w:val="20"/>
          <w:lang w:eastAsia="en-US"/>
        </w:rPr>
        <w:t xml:space="preserve"> included in ARPU amounted to P$1,216.4 and P$8,483.1 for 1H25 and 1H24, respectively.</w:t>
      </w:r>
    </w:p>
    <w:p w14:paraId="18B88DF9" w14:textId="517DB56F" w:rsidR="00844108" w:rsidRPr="00844108" w:rsidRDefault="00844108" w:rsidP="00844108">
      <w:pPr>
        <w:pStyle w:val="Sinespaciado"/>
        <w:spacing w:before="240"/>
        <w:ind w:right="1985"/>
        <w:jc w:val="both"/>
        <w:rPr>
          <w:rFonts w:ascii="Roboto" w:eastAsiaTheme="minorHAnsi" w:hAnsi="Roboto"/>
          <w:color w:val="140232"/>
          <w:sz w:val="20"/>
          <w:lang w:eastAsia="en-US"/>
        </w:rPr>
      </w:pPr>
      <w:r w:rsidRPr="00844108">
        <w:rPr>
          <w:rFonts w:ascii="Roboto" w:eastAsiaTheme="minorHAnsi" w:hAnsi="Roboto"/>
          <w:color w:val="140232"/>
          <w:sz w:val="20"/>
          <w:lang w:eastAsia="en-US"/>
        </w:rPr>
        <w:t xml:space="preserve">Additionally, in 1H25, TMA’s broadband ARPU, expressed in constant currency as of June 30, 2025, reached P$21,410.5 (+15.6% in real terms vs. 1H24). The effect of restatement to current measurement units as of June 30, </w:t>
      </w:r>
      <w:proofErr w:type="gramStart"/>
      <w:r w:rsidRPr="00844108">
        <w:rPr>
          <w:rFonts w:ascii="Roboto" w:eastAsiaTheme="minorHAnsi" w:hAnsi="Roboto"/>
          <w:color w:val="140232"/>
          <w:sz w:val="20"/>
          <w:lang w:eastAsia="en-US"/>
        </w:rPr>
        <w:t>2025</w:t>
      </w:r>
      <w:proofErr w:type="gramEnd"/>
      <w:r w:rsidRPr="00844108">
        <w:rPr>
          <w:rFonts w:ascii="Roboto" w:eastAsiaTheme="minorHAnsi" w:hAnsi="Roboto"/>
          <w:color w:val="140232"/>
          <w:sz w:val="20"/>
          <w:lang w:eastAsia="en-US"/>
        </w:rPr>
        <w:t xml:space="preserve"> included in ARPU amounted to P$1,093.8 and P$7,158.8 for 1H25 and 1H24, respectively.</w:t>
      </w:r>
    </w:p>
    <w:p w14:paraId="0D83151C" w14:textId="65BC7949" w:rsidR="002D438C" w:rsidRDefault="00844108" w:rsidP="00844108">
      <w:pPr>
        <w:pStyle w:val="Sinespaciado"/>
        <w:spacing w:before="240"/>
        <w:ind w:right="1985"/>
        <w:jc w:val="both"/>
        <w:rPr>
          <w:rFonts w:ascii="Roboto" w:eastAsiaTheme="minorHAnsi" w:hAnsi="Roboto"/>
          <w:color w:val="140232"/>
          <w:sz w:val="20"/>
          <w:lang w:eastAsia="en-US"/>
        </w:rPr>
      </w:pPr>
      <w:r w:rsidRPr="00844108">
        <w:rPr>
          <w:rFonts w:ascii="Roboto" w:eastAsiaTheme="minorHAnsi" w:hAnsi="Roboto"/>
          <w:color w:val="140232"/>
          <w:sz w:val="20"/>
          <w:lang w:eastAsia="en-US"/>
        </w:rPr>
        <w:t xml:space="preserve">As of June 30, 2025, </w:t>
      </w:r>
      <w:proofErr w:type="gramStart"/>
      <w:r w:rsidRPr="00844108">
        <w:rPr>
          <w:rFonts w:ascii="Roboto" w:eastAsiaTheme="minorHAnsi" w:hAnsi="Roboto"/>
          <w:color w:val="140232"/>
          <w:sz w:val="20"/>
          <w:lang w:eastAsia="en-US"/>
        </w:rPr>
        <w:t>accesses</w:t>
      </w:r>
      <w:proofErr w:type="gramEnd"/>
      <w:r w:rsidRPr="00844108">
        <w:rPr>
          <w:rFonts w:ascii="Roboto" w:eastAsiaTheme="minorHAnsi" w:hAnsi="Roboto"/>
          <w:color w:val="140232"/>
          <w:sz w:val="20"/>
          <w:lang w:eastAsia="en-US"/>
        </w:rPr>
        <w:t xml:space="preserve"> with internet speeds of 100 Mbps or higher represented 92% of the total subscriber base (vs. 86% as of June 30, 2024)</w:t>
      </w:r>
      <w:r w:rsidR="002D438C" w:rsidRPr="002D438C">
        <w:rPr>
          <w:rFonts w:ascii="Roboto" w:eastAsiaTheme="minorHAnsi" w:hAnsi="Roboto"/>
          <w:color w:val="140232"/>
          <w:sz w:val="20"/>
          <w:lang w:eastAsia="en-US"/>
        </w:rPr>
        <w:t>.</w:t>
      </w:r>
    </w:p>
    <w:p w14:paraId="0E474D03" w14:textId="01289905" w:rsidR="001F0F32" w:rsidRPr="00D77CA4" w:rsidRDefault="00F6209D" w:rsidP="002D438C">
      <w:pPr>
        <w:pStyle w:val="Sinespaciado"/>
        <w:spacing w:before="240"/>
        <w:ind w:right="1985"/>
      </w:pPr>
      <w:r w:rsidRPr="00D77CA4">
        <w:t>Cable TV Services</w:t>
      </w:r>
    </w:p>
    <w:p w14:paraId="76C89FCB" w14:textId="62D6C901" w:rsidR="00E8009A" w:rsidRPr="00E8009A" w:rsidRDefault="00E8009A" w:rsidP="00844108">
      <w:pPr>
        <w:pStyle w:val="Sinespaciado"/>
        <w:ind w:right="1984"/>
      </w:pPr>
      <w:bookmarkStart w:id="0" w:name="_Hlk71154029"/>
      <w:bookmarkStart w:id="1" w:name="_Hlk117516815"/>
    </w:p>
    <w:p w14:paraId="4C9EAB25" w14:textId="77777777" w:rsidR="00844108" w:rsidRPr="00844108" w:rsidRDefault="00844108" w:rsidP="00844108">
      <w:pPr>
        <w:spacing w:after="120"/>
        <w:ind w:right="1985"/>
        <w:jc w:val="both"/>
        <w:rPr>
          <w:lang w:val="en-US"/>
        </w:rPr>
      </w:pPr>
      <w:r w:rsidRPr="00844108">
        <w:rPr>
          <w:u w:val="single"/>
          <w:lang w:val="en-US"/>
        </w:rPr>
        <w:t>Consolidated</w:t>
      </w:r>
      <w:r w:rsidRPr="00844108">
        <w:rPr>
          <w:lang w:val="en-US"/>
        </w:rPr>
        <w:t xml:space="preserve"> revenues from cable television services reached P$386,699 million in 1H25 (+P$47,827 million or +14.1% vs. 1H24). The number of TV subscribers for Telecom </w:t>
      </w:r>
      <w:r w:rsidRPr="00844108">
        <w:rPr>
          <w:u w:val="single"/>
          <w:lang w:val="en-US"/>
        </w:rPr>
        <w:t>(excluding TMA)</w:t>
      </w:r>
      <w:r w:rsidRPr="00844108">
        <w:rPr>
          <w:lang w:val="en-US"/>
        </w:rPr>
        <w:t>, including Uruguay and Paraguay, totaled 3.4 million (+62 thousand or +1.9% vs. 1H24). TV subscribers for TMA amounted to 0.4 million (-27 thousand or -6.1% vs. 1H24).</w:t>
      </w:r>
    </w:p>
    <w:p w14:paraId="7E188EC4" w14:textId="77777777" w:rsidR="00844108" w:rsidRPr="00844108" w:rsidRDefault="00844108" w:rsidP="00844108">
      <w:pPr>
        <w:spacing w:after="120"/>
        <w:ind w:right="1985"/>
        <w:jc w:val="both"/>
        <w:rPr>
          <w:lang w:val="en-US"/>
        </w:rPr>
      </w:pPr>
      <w:r w:rsidRPr="00844108">
        <w:rPr>
          <w:lang w:val="en-US"/>
        </w:rPr>
        <w:t xml:space="preserve">The positive revenue variation in Argentina was mainly driven by the consolidation of TMA’s results in 1H25, which contributed P$34,110 million. Excluding the impact of </w:t>
      </w:r>
      <w:r w:rsidRPr="00844108">
        <w:rPr>
          <w:lang w:val="en-US"/>
        </w:rPr>
        <w:lastRenderedPageBreak/>
        <w:t xml:space="preserve">TMA’s consolidation, the 4.0% increase for Telecom </w:t>
      </w:r>
      <w:r w:rsidRPr="00844108">
        <w:rPr>
          <w:u w:val="single"/>
          <w:lang w:val="en-US"/>
        </w:rPr>
        <w:t>(excluding TMA)</w:t>
      </w:r>
      <w:r w:rsidRPr="00844108">
        <w:rPr>
          <w:lang w:val="en-US"/>
        </w:rPr>
        <w:t xml:space="preserve"> was primarily due to a 5.3% increase in ARPU and a 1.9% growth in the customer base compared to 1H24.</w:t>
      </w:r>
    </w:p>
    <w:p w14:paraId="0F29FDBA" w14:textId="77777777" w:rsidR="00844108" w:rsidRPr="00844108" w:rsidRDefault="00844108" w:rsidP="00844108">
      <w:pPr>
        <w:spacing w:after="120"/>
        <w:ind w:right="1985"/>
        <w:jc w:val="both"/>
        <w:rPr>
          <w:lang w:val="en-US"/>
        </w:rPr>
      </w:pPr>
      <w:r w:rsidRPr="00844108">
        <w:rPr>
          <w:lang w:val="en-US"/>
        </w:rPr>
        <w:t xml:space="preserve">The subscriber base in Argentina for Telecom </w:t>
      </w:r>
      <w:r w:rsidRPr="00844108">
        <w:rPr>
          <w:u w:val="single"/>
          <w:lang w:val="en-US"/>
        </w:rPr>
        <w:t>(excluding TMA)</w:t>
      </w:r>
      <w:r w:rsidRPr="00844108">
        <w:rPr>
          <w:lang w:val="en-US"/>
        </w:rPr>
        <w:t xml:space="preserve"> reached 3.2 million accesses as of June 30, 2025, reflecting a 2.3% increase vs. 1H24. This growth was supported by Flow Full and Flow Flex products, the latter being fully digital (no decoder or installation required). Of this customer base, 1.6 million were subscribed to Flow, and Premium subscriptions totaled 1.2 million as of 1H25, increasing 2.1% vs. 1H24.</w:t>
      </w:r>
    </w:p>
    <w:p w14:paraId="58F77A3F" w14:textId="3611A927" w:rsidR="00844108" w:rsidRPr="00844108" w:rsidRDefault="00844108" w:rsidP="00844108">
      <w:pPr>
        <w:spacing w:after="120"/>
        <w:ind w:right="1985"/>
        <w:jc w:val="both"/>
        <w:rPr>
          <w:lang w:val="en-US"/>
        </w:rPr>
      </w:pPr>
      <w:r w:rsidRPr="00844108">
        <w:rPr>
          <w:lang w:val="en-US"/>
        </w:rPr>
        <w:t>Flow continues to strengthen its positioning in the entertainment segment, enhancing customer experience through services such as the recent launch of Flow+</w:t>
      </w:r>
      <w:r>
        <w:rPr>
          <w:lang w:val="en-US"/>
        </w:rPr>
        <w:t xml:space="preserve"> (</w:t>
      </w:r>
      <w:r w:rsidRPr="00844108">
        <w:rPr>
          <w:lang w:val="en-US"/>
        </w:rPr>
        <w:t>a flexible entertainment offering that includes two interchangeable subscriptions every 30 days among Pack Fútbol, HBO, Disney+ Premium, and Universal+, all under a single plan</w:t>
      </w:r>
      <w:r>
        <w:rPr>
          <w:lang w:val="en-US"/>
        </w:rPr>
        <w:t>)</w:t>
      </w:r>
      <w:r w:rsidRPr="00844108">
        <w:rPr>
          <w:lang w:val="en-US"/>
        </w:rPr>
        <w:t>.</w:t>
      </w:r>
    </w:p>
    <w:p w14:paraId="2919AD23" w14:textId="77777777" w:rsidR="00844108" w:rsidRPr="00844108" w:rsidRDefault="00844108" w:rsidP="00844108">
      <w:pPr>
        <w:spacing w:after="120"/>
        <w:ind w:right="1985"/>
        <w:jc w:val="both"/>
        <w:rPr>
          <w:lang w:val="en-US"/>
        </w:rPr>
      </w:pPr>
      <w:r w:rsidRPr="00844108">
        <w:rPr>
          <w:lang w:val="en-US"/>
        </w:rPr>
        <w:t xml:space="preserve">The monthly TV ARPU for Telecom </w:t>
      </w:r>
      <w:r w:rsidRPr="00844108">
        <w:rPr>
          <w:u w:val="single"/>
          <w:lang w:val="en-US"/>
        </w:rPr>
        <w:t>(excluding TMA),</w:t>
      </w:r>
      <w:r w:rsidRPr="00844108">
        <w:rPr>
          <w:lang w:val="en-US"/>
        </w:rPr>
        <w:t xml:space="preserve"> expressed in constant currency as of June 30, 2025, reached P$16,297.1 in 1H25 (+5.3% in real terms vs. 1H24). The inflation adjustment effect included in ARPU amounted to P$435.5 and P$5,746.3 for 1H25 and 1H24, respectively.</w:t>
      </w:r>
    </w:p>
    <w:p w14:paraId="5913E0EB" w14:textId="77777777" w:rsidR="00844108" w:rsidRPr="00844108" w:rsidRDefault="00844108" w:rsidP="00844108">
      <w:pPr>
        <w:spacing w:after="120"/>
        <w:ind w:right="1985"/>
        <w:jc w:val="both"/>
        <w:rPr>
          <w:lang w:val="en-US"/>
        </w:rPr>
      </w:pPr>
      <w:r w:rsidRPr="00844108">
        <w:rPr>
          <w:lang w:val="en-US"/>
        </w:rPr>
        <w:t>Meanwhile, the monthly TV ARPU for TMA, expressed in constant currency as of June 30, 2025, reached P$20,421.3 in 1H25 (+27.1% in real terms vs. 1H24). The inflation adjustment effect included in ARPU amounted to P$1,043.2 and P$6,206.2 for 1H25 and 1H24, respectively.</w:t>
      </w:r>
    </w:p>
    <w:p w14:paraId="433261ED" w14:textId="600CB87C" w:rsidR="002E18F4" w:rsidRPr="00844108" w:rsidRDefault="00844108" w:rsidP="00E8009A">
      <w:pPr>
        <w:spacing w:after="120"/>
        <w:ind w:right="1985"/>
        <w:jc w:val="both"/>
        <w:rPr>
          <w:lang w:val="en-US"/>
        </w:rPr>
      </w:pPr>
      <w:r w:rsidRPr="00844108">
        <w:rPr>
          <w:lang w:val="en-US"/>
        </w:rPr>
        <w:t xml:space="preserve">The average monthly churn rate for cable TV was 1.5% for Telecom (excluding TMA) as of June 30, 2025, compared to 1.8% as of June 30, 2024. For TMA, churn stood at 4.0% and 3.3% as of June 30, </w:t>
      </w:r>
      <w:proofErr w:type="gramStart"/>
      <w:r w:rsidRPr="00844108">
        <w:rPr>
          <w:lang w:val="en-US"/>
        </w:rPr>
        <w:t>2025</w:t>
      </w:r>
      <w:proofErr w:type="gramEnd"/>
      <w:r w:rsidRPr="00844108">
        <w:rPr>
          <w:lang w:val="en-US"/>
        </w:rPr>
        <w:t xml:space="preserve"> and 2024, respectively</w:t>
      </w:r>
      <w:r w:rsidR="00E8009A" w:rsidRPr="00E8009A">
        <w:rPr>
          <w:lang w:val="en-US"/>
        </w:rPr>
        <w:t>.</w:t>
      </w:r>
    </w:p>
    <w:bookmarkEnd w:id="0"/>
    <w:p w14:paraId="75C6011C" w14:textId="2D720DF7" w:rsidR="00995BB8" w:rsidRPr="00D77CA4" w:rsidRDefault="00F6209D" w:rsidP="00160C08">
      <w:pPr>
        <w:pStyle w:val="Sinespaciado"/>
        <w:ind w:right="1984"/>
      </w:pPr>
      <w:r w:rsidRPr="00D77CA4">
        <w:t xml:space="preserve">Fixed </w:t>
      </w:r>
      <w:bookmarkEnd w:id="1"/>
      <w:r w:rsidR="00764C28" w:rsidRPr="00D77CA4">
        <w:t>Telephon</w:t>
      </w:r>
      <w:r w:rsidR="008D6CD7">
        <w:t>y</w:t>
      </w:r>
      <w:r w:rsidR="00764C28" w:rsidRPr="00D77CA4">
        <w:t xml:space="preserve"> </w:t>
      </w:r>
      <w:r w:rsidRPr="00D77CA4">
        <w:t>and Data Services</w:t>
      </w:r>
    </w:p>
    <w:p w14:paraId="67DD3ED6" w14:textId="092745B4" w:rsidR="00F6209D" w:rsidRPr="00D77CA4" w:rsidRDefault="00F6209D" w:rsidP="00180B8E">
      <w:pPr>
        <w:pStyle w:val="Sinespaciado"/>
        <w:ind w:right="1984"/>
        <w:rPr>
          <w:rFonts w:eastAsiaTheme="minorHAnsi"/>
          <w:b/>
          <w:color w:val="808080"/>
          <w:sz w:val="22"/>
        </w:rPr>
      </w:pPr>
    </w:p>
    <w:p w14:paraId="66AA7066" w14:textId="64EA1E3A" w:rsidR="004902D1" w:rsidRPr="004902D1" w:rsidRDefault="004902D1" w:rsidP="004902D1">
      <w:pPr>
        <w:spacing w:after="120"/>
        <w:ind w:right="1985"/>
        <w:jc w:val="both"/>
        <w:rPr>
          <w:lang w:val="en-US"/>
        </w:rPr>
      </w:pPr>
      <w:r w:rsidRPr="004902D1">
        <w:rPr>
          <w:u w:val="single"/>
          <w:lang w:val="en-US"/>
        </w:rPr>
        <w:t>Consolidated</w:t>
      </w:r>
      <w:r w:rsidRPr="004902D1">
        <w:rPr>
          <w:lang w:val="en-US"/>
        </w:rPr>
        <w:t xml:space="preserve"> revenues from fixed voice and data services reached P$394,652 million in 1H25 (+P$86,097 million or +27.9% vs. 1H24).</w:t>
      </w:r>
    </w:p>
    <w:p w14:paraId="33A6F4D6" w14:textId="77777777" w:rsidR="004902D1" w:rsidRPr="004902D1" w:rsidRDefault="004902D1" w:rsidP="004902D1">
      <w:pPr>
        <w:spacing w:after="120"/>
        <w:ind w:right="1985"/>
        <w:jc w:val="both"/>
        <w:rPr>
          <w:lang w:val="en-US"/>
        </w:rPr>
      </w:pPr>
      <w:r w:rsidRPr="004902D1">
        <w:rPr>
          <w:lang w:val="en-US"/>
        </w:rPr>
        <w:t>The variation in Argentina is mainly explained by the consolidation of TMA’s results in 1H25, which amounted to P$147,177 million.</w:t>
      </w:r>
    </w:p>
    <w:p w14:paraId="270B9248" w14:textId="1B0DACDB" w:rsidR="004902D1" w:rsidRPr="004902D1" w:rsidRDefault="004902D1" w:rsidP="004902D1">
      <w:pPr>
        <w:spacing w:after="120"/>
        <w:ind w:right="1985"/>
        <w:jc w:val="both"/>
        <w:rPr>
          <w:lang w:val="en-US"/>
        </w:rPr>
      </w:pPr>
      <w:r w:rsidRPr="004902D1">
        <w:rPr>
          <w:lang w:val="en-US"/>
        </w:rPr>
        <w:t xml:space="preserve">The real-term decline of 19.8% in the fixed voice and data segment for Telecom </w:t>
      </w:r>
      <w:r w:rsidRPr="004902D1">
        <w:rPr>
          <w:u w:val="single"/>
          <w:lang w:val="en-US"/>
        </w:rPr>
        <w:t xml:space="preserve">(excluding TMA) </w:t>
      </w:r>
      <w:r w:rsidRPr="004902D1">
        <w:rPr>
          <w:lang w:val="en-US"/>
        </w:rPr>
        <w:t xml:space="preserve">is primarily due to the evolution of the exchange rate lagging behind inflation, in a context where most data segment contracts are indexed to the exchange rate. Additionally, fixed voice </w:t>
      </w:r>
      <w:r>
        <w:rPr>
          <w:lang w:val="en-US"/>
        </w:rPr>
        <w:t>revenues</w:t>
      </w:r>
      <w:r w:rsidRPr="004902D1">
        <w:rPr>
          <w:lang w:val="en-US"/>
        </w:rPr>
        <w:t xml:space="preserve"> </w:t>
      </w:r>
      <w:proofErr w:type="gramStart"/>
      <w:r w:rsidRPr="004902D1">
        <w:rPr>
          <w:lang w:val="en-US"/>
        </w:rPr>
        <w:t>increased</w:t>
      </w:r>
      <w:proofErr w:type="gramEnd"/>
      <w:r w:rsidRPr="004902D1">
        <w:rPr>
          <w:lang w:val="en-US"/>
        </w:rPr>
        <w:t xml:space="preserve"> below inflation, and the segment also experienced a decline in its customer base.</w:t>
      </w:r>
    </w:p>
    <w:p w14:paraId="5E7CD37C" w14:textId="2D8AE8BE" w:rsidR="00B0224D" w:rsidRPr="00B0224D" w:rsidRDefault="004902D1" w:rsidP="004902D1">
      <w:pPr>
        <w:spacing w:after="120"/>
        <w:ind w:right="1985"/>
        <w:jc w:val="both"/>
        <w:rPr>
          <w:lang w:val="en-US"/>
        </w:rPr>
      </w:pPr>
      <w:r w:rsidRPr="004902D1">
        <w:rPr>
          <w:lang w:val="en-US"/>
        </w:rPr>
        <w:t xml:space="preserve">Telecom’s fixed telephony customer base </w:t>
      </w:r>
      <w:r w:rsidRPr="004902D1">
        <w:rPr>
          <w:u w:val="single"/>
          <w:lang w:val="en-US"/>
        </w:rPr>
        <w:t xml:space="preserve">(excluding TMA) </w:t>
      </w:r>
      <w:r w:rsidRPr="004902D1">
        <w:rPr>
          <w:lang w:val="en-US"/>
        </w:rPr>
        <w:t xml:space="preserve">totaled 2.7 million in 1H25, of which 2.0 million correspond to IP line customers. </w:t>
      </w:r>
      <w:r w:rsidRPr="004902D1">
        <w:rPr>
          <w:u w:val="single"/>
          <w:lang w:val="en-US"/>
        </w:rPr>
        <w:t>TMA’s</w:t>
      </w:r>
      <w:r w:rsidRPr="004902D1">
        <w:rPr>
          <w:lang w:val="en-US"/>
        </w:rPr>
        <w:t xml:space="preserve"> telephony customer base reached 2.1 million, with 1.5 million being IP line customers.</w:t>
      </w:r>
    </w:p>
    <w:p w14:paraId="34E9088B" w14:textId="45B12E26" w:rsidR="00A85BE6" w:rsidRPr="00912A83" w:rsidRDefault="00A85BE6" w:rsidP="00A85BE6">
      <w:pPr>
        <w:pStyle w:val="Sinespaciado"/>
        <w:spacing w:after="240"/>
        <w:ind w:right="1985"/>
      </w:pPr>
      <w:r>
        <w:t>Other Service Revenues</w:t>
      </w:r>
    </w:p>
    <w:p w14:paraId="3605FE31" w14:textId="644E1E02" w:rsidR="004902D1" w:rsidRPr="004902D1" w:rsidRDefault="004902D1" w:rsidP="004902D1">
      <w:pPr>
        <w:spacing w:after="120"/>
        <w:ind w:right="1985"/>
        <w:jc w:val="both"/>
        <w:rPr>
          <w:color w:val="000000" w:themeColor="text1"/>
          <w:lang w:val="en-US"/>
        </w:rPr>
      </w:pPr>
      <w:r w:rsidRPr="004902D1">
        <w:rPr>
          <w:color w:val="000000" w:themeColor="text1"/>
          <w:u w:val="single"/>
          <w:lang w:val="en-US"/>
        </w:rPr>
        <w:t xml:space="preserve">Consolidated </w:t>
      </w:r>
      <w:r w:rsidRPr="004902D1">
        <w:rPr>
          <w:color w:val="000000" w:themeColor="text1"/>
          <w:lang w:val="en-US"/>
        </w:rPr>
        <w:t xml:space="preserve">revenues from other service </w:t>
      </w:r>
      <w:r>
        <w:rPr>
          <w:color w:val="000000" w:themeColor="text1"/>
          <w:lang w:val="en-US"/>
        </w:rPr>
        <w:t xml:space="preserve">revenues, </w:t>
      </w:r>
      <w:r w:rsidRPr="004902D1">
        <w:rPr>
          <w:color w:val="000000" w:themeColor="text1"/>
          <w:lang w:val="en-US"/>
        </w:rPr>
        <w:t>which primarily include revenues related to fintech services, billing and collection services on behalf of third parties, administrative fees, and advertising space sales, among others</w:t>
      </w:r>
      <w:r>
        <w:rPr>
          <w:color w:val="000000" w:themeColor="text1"/>
          <w:lang w:val="en-US"/>
        </w:rPr>
        <w:t xml:space="preserve">, </w:t>
      </w:r>
      <w:r w:rsidRPr="004902D1">
        <w:rPr>
          <w:color w:val="000000" w:themeColor="text1"/>
          <w:lang w:val="en-US"/>
        </w:rPr>
        <w:t>reached P$30,182 million (+P$5,448 million or +22.0% vs. 1H24).</w:t>
      </w:r>
    </w:p>
    <w:p w14:paraId="4671640B" w14:textId="21DAD669" w:rsidR="00A85BE6" w:rsidRPr="004902D1" w:rsidRDefault="004902D1" w:rsidP="00E8009A">
      <w:pPr>
        <w:spacing w:after="120"/>
        <w:ind w:right="1985"/>
        <w:jc w:val="both"/>
        <w:rPr>
          <w:color w:val="000000" w:themeColor="text1"/>
          <w:lang w:val="en-US"/>
        </w:rPr>
      </w:pPr>
      <w:r w:rsidRPr="004902D1">
        <w:rPr>
          <w:color w:val="000000" w:themeColor="text1"/>
          <w:lang w:val="en-US"/>
        </w:rPr>
        <w:t>The main variation was driven by the increase in fintech services in Argentina, primarily due to the growth in usage of the Personal Pay digital wallet and the rise in the number of users, which reached 4.2 million in 1H25 vs. 2.9 million in 1H24.</w:t>
      </w:r>
    </w:p>
    <w:p w14:paraId="75BA5319" w14:textId="1A7946D1" w:rsidR="00A50DE2" w:rsidRPr="00D77CA4" w:rsidRDefault="00A50DE2" w:rsidP="0064091E">
      <w:pPr>
        <w:spacing w:after="120"/>
        <w:ind w:right="1985"/>
        <w:jc w:val="both"/>
        <w:rPr>
          <w:rFonts w:ascii="Pulso" w:eastAsiaTheme="minorEastAsia" w:hAnsi="Pulso"/>
          <w:color w:val="B989F9"/>
          <w:sz w:val="28"/>
          <w:lang w:val="en-US" w:eastAsia="zh-CN"/>
        </w:rPr>
      </w:pPr>
      <w:r w:rsidRPr="00D77CA4">
        <w:rPr>
          <w:rFonts w:ascii="Pulso" w:eastAsiaTheme="minorEastAsia" w:hAnsi="Pulso"/>
          <w:color w:val="B989F9"/>
          <w:sz w:val="28"/>
          <w:lang w:val="en-US" w:eastAsia="zh-CN"/>
        </w:rPr>
        <w:t>Revenues from equipment sales</w:t>
      </w:r>
    </w:p>
    <w:p w14:paraId="383180CC" w14:textId="3EB52610" w:rsidR="004902D1" w:rsidRPr="004902D1" w:rsidRDefault="004902D1" w:rsidP="0054467A">
      <w:pPr>
        <w:pStyle w:val="Tituloprincipal"/>
        <w:spacing w:before="120" w:after="240"/>
        <w:ind w:left="0" w:right="1984"/>
        <w:jc w:val="left"/>
        <w:rPr>
          <w:rFonts w:ascii="Roboto" w:hAnsi="Roboto" w:cstheme="minorBidi"/>
          <w:b w:val="0"/>
          <w:color w:val="140232"/>
          <w:sz w:val="20"/>
          <w:szCs w:val="22"/>
          <w:u w:val="none"/>
          <w:lang w:val="en-US"/>
        </w:rPr>
      </w:pPr>
      <w:r w:rsidRPr="004902D1">
        <w:rPr>
          <w:rFonts w:ascii="Roboto" w:hAnsi="Roboto" w:cstheme="minorBidi"/>
          <w:b w:val="0"/>
          <w:color w:val="140232"/>
          <w:sz w:val="20"/>
          <w:szCs w:val="22"/>
          <w:lang w:val="en-US"/>
        </w:rPr>
        <w:t>Consolidated</w:t>
      </w:r>
      <w:r w:rsidRPr="004902D1">
        <w:rPr>
          <w:rFonts w:ascii="Roboto" w:hAnsi="Roboto" w:cstheme="minorBidi"/>
          <w:b w:val="0"/>
          <w:color w:val="140232"/>
          <w:sz w:val="20"/>
          <w:szCs w:val="22"/>
          <w:u w:val="none"/>
          <w:lang w:val="en-US"/>
        </w:rPr>
        <w:t xml:space="preserve"> equipment sales revenues totaled P$196,018 million (+P$64,426 million or +49.0% vs. 1H24). This variation was mainly driven by the consolidation of TMA’s </w:t>
      </w:r>
      <w:r w:rsidRPr="004902D1">
        <w:rPr>
          <w:rFonts w:ascii="Roboto" w:hAnsi="Roboto" w:cstheme="minorBidi"/>
          <w:b w:val="0"/>
          <w:color w:val="140232"/>
          <w:sz w:val="20"/>
          <w:szCs w:val="22"/>
          <w:u w:val="none"/>
          <w:lang w:val="en-US"/>
        </w:rPr>
        <w:lastRenderedPageBreak/>
        <w:t xml:space="preserve">results in 1H25, which amounted to P$72,266 million, while equipment sales for Telecom </w:t>
      </w:r>
      <w:r w:rsidRPr="004902D1">
        <w:rPr>
          <w:rFonts w:ascii="Roboto" w:hAnsi="Roboto" w:cstheme="minorBidi"/>
          <w:b w:val="0"/>
          <w:color w:val="140232"/>
          <w:sz w:val="20"/>
          <w:szCs w:val="22"/>
          <w:lang w:val="en-US"/>
        </w:rPr>
        <w:t>(excluding TMA)</w:t>
      </w:r>
      <w:r w:rsidRPr="004902D1">
        <w:rPr>
          <w:rFonts w:ascii="Roboto" w:hAnsi="Roboto" w:cstheme="minorBidi"/>
          <w:b w:val="0"/>
          <w:color w:val="140232"/>
          <w:sz w:val="20"/>
          <w:szCs w:val="22"/>
          <w:u w:val="none"/>
          <w:lang w:val="en-US"/>
        </w:rPr>
        <w:t xml:space="preserve"> declined by 6.0% in real terms.</w:t>
      </w:r>
    </w:p>
    <w:p w14:paraId="7083A593" w14:textId="28B2B5AA" w:rsidR="00921822" w:rsidRPr="00D77CA4" w:rsidRDefault="00921822" w:rsidP="0054467A">
      <w:pPr>
        <w:pStyle w:val="Tituloprincipal"/>
        <w:spacing w:before="120" w:after="240"/>
        <w:ind w:left="0" w:right="1984"/>
        <w:jc w:val="left"/>
        <w:rPr>
          <w:u w:val="none"/>
          <w:lang w:val="en-US"/>
        </w:rPr>
      </w:pPr>
      <w:r w:rsidRPr="00D77CA4">
        <w:rPr>
          <w:u w:val="none"/>
          <w:lang w:val="en-US"/>
        </w:rPr>
        <w:t>Consolidated Operating Costs</w:t>
      </w:r>
    </w:p>
    <w:p w14:paraId="6290EF84" w14:textId="1D758C29" w:rsidR="004902D1" w:rsidRPr="004902D1" w:rsidRDefault="005A2E3C" w:rsidP="004902D1">
      <w:pPr>
        <w:ind w:right="1984"/>
        <w:jc w:val="both"/>
        <w:rPr>
          <w:lang w:val="en-US"/>
        </w:rPr>
      </w:pPr>
      <w:r w:rsidRPr="003D0833">
        <w:rPr>
          <w:u w:val="single"/>
          <w:lang w:val="en-US"/>
        </w:rPr>
        <w:t>Consolidated</w:t>
      </w:r>
      <w:r w:rsidRPr="005A2E3C">
        <w:rPr>
          <w:lang w:val="en-US"/>
        </w:rPr>
        <w:t xml:space="preserve"> </w:t>
      </w:r>
      <w:r w:rsidR="004902D1" w:rsidRPr="004902D1">
        <w:rPr>
          <w:lang w:val="en-US"/>
        </w:rPr>
        <w:t>Operating Costs including Depreciation, Amortization and Impairment of Fixed Assets amounted to P$3,180,977 million in 1H25 (+P$770,298 million or +32.0% vs. 1H24).</w:t>
      </w:r>
    </w:p>
    <w:p w14:paraId="4E1D77E9" w14:textId="2966AA5C" w:rsidR="005A2E3C" w:rsidRPr="004902D1" w:rsidRDefault="004902D1" w:rsidP="005A2E3C">
      <w:pPr>
        <w:spacing w:before="120"/>
        <w:ind w:right="1984"/>
        <w:jc w:val="both"/>
        <w:rPr>
          <w:lang w:val="en-US"/>
        </w:rPr>
      </w:pPr>
      <w:r w:rsidRPr="004902D1">
        <w:rPr>
          <w:lang w:val="en-US"/>
        </w:rPr>
        <w:t xml:space="preserve">Excluding Depreciation, Amortization and Impairment of Fixed Assets, </w:t>
      </w:r>
      <w:r w:rsidRPr="004902D1">
        <w:rPr>
          <w:u w:val="single"/>
          <w:lang w:val="en-US"/>
        </w:rPr>
        <w:t xml:space="preserve">consolidated </w:t>
      </w:r>
      <w:r w:rsidRPr="004902D1">
        <w:rPr>
          <w:lang w:val="en-US"/>
        </w:rPr>
        <w:t>operating costs increased by P$716,005 million or 43.8% in real terms during the same period. Operating costs for 1H25 include P$730,835 million, corresponding to the consolidation of TMA</w:t>
      </w:r>
      <w:r w:rsidR="00001BB5">
        <w:rPr>
          <w:lang w:val="en-US"/>
        </w:rPr>
        <w:t>.</w:t>
      </w:r>
    </w:p>
    <w:p w14:paraId="20B8DD00" w14:textId="009A8210" w:rsidR="00E929B9" w:rsidRPr="00D77CA4" w:rsidRDefault="00D5659F" w:rsidP="0054467A">
      <w:pPr>
        <w:spacing w:before="120"/>
        <w:ind w:right="1984"/>
        <w:jc w:val="both"/>
        <w:rPr>
          <w:b/>
          <w:color w:val="B989F9"/>
          <w:lang w:val="en-US"/>
        </w:rPr>
      </w:pPr>
      <w:r>
        <w:rPr>
          <w:b/>
          <w:color w:val="B989F9"/>
          <w:lang w:val="en-US"/>
        </w:rPr>
        <w:t>The</w:t>
      </w:r>
      <w:r w:rsidRPr="00D77CA4">
        <w:rPr>
          <w:b/>
          <w:color w:val="B989F9"/>
          <w:lang w:val="en-US"/>
        </w:rPr>
        <w:t xml:space="preserve"> </w:t>
      </w:r>
      <w:r w:rsidR="00921822" w:rsidRPr="00D77CA4">
        <w:rPr>
          <w:b/>
          <w:color w:val="B989F9"/>
          <w:lang w:val="en-US"/>
        </w:rPr>
        <w:t>cost breakdown was as follows</w:t>
      </w:r>
      <w:r w:rsidR="00E929B9" w:rsidRPr="00D77CA4">
        <w:rPr>
          <w:b/>
          <w:color w:val="B989F9"/>
          <w:lang w:val="en-US"/>
        </w:rPr>
        <w:t xml:space="preserve">: </w:t>
      </w:r>
    </w:p>
    <w:p w14:paraId="230231E2" w14:textId="77777777" w:rsidR="004902D1" w:rsidRPr="004902D1" w:rsidRDefault="004902D1" w:rsidP="004902D1">
      <w:pPr>
        <w:pStyle w:val="Prrafodelista"/>
        <w:numPr>
          <w:ilvl w:val="0"/>
          <w:numId w:val="2"/>
        </w:numPr>
        <w:spacing w:before="120" w:after="120"/>
        <w:ind w:right="1985"/>
        <w:jc w:val="both"/>
        <w:rPr>
          <w:lang w:val="en-US"/>
        </w:rPr>
      </w:pPr>
      <w:r w:rsidRPr="004902D1">
        <w:rPr>
          <w:lang w:val="en-US"/>
        </w:rPr>
        <w:t>Labor costs and severance payments totaled P$803,339 million in 1H25 (+P$253,405 million or +46.1% vs. 1H24). The increase was mainly driven by the consolidation of TMA’s results in 1H25, which contributed P$252,997 million. Total headcount reached 19,469 employees as of June 30, 2025.</w:t>
      </w:r>
    </w:p>
    <w:p w14:paraId="26407ECC" w14:textId="6694F3AB" w:rsidR="004902D1" w:rsidRPr="004902D1" w:rsidRDefault="004902D1" w:rsidP="004902D1">
      <w:pPr>
        <w:pStyle w:val="Prrafodelista"/>
        <w:numPr>
          <w:ilvl w:val="0"/>
          <w:numId w:val="2"/>
        </w:numPr>
        <w:spacing w:before="120" w:after="120"/>
        <w:ind w:right="1985"/>
        <w:jc w:val="both"/>
        <w:rPr>
          <w:lang w:val="en-US"/>
        </w:rPr>
      </w:pPr>
      <w:r w:rsidRPr="004902D1">
        <w:rPr>
          <w:lang w:val="en-US"/>
        </w:rPr>
        <w:t>Interconnection and transmission costs</w:t>
      </w:r>
      <w:r>
        <w:rPr>
          <w:lang w:val="en-US"/>
        </w:rPr>
        <w:t xml:space="preserve">, </w:t>
      </w:r>
      <w:r w:rsidRPr="004902D1">
        <w:rPr>
          <w:lang w:val="en-US"/>
        </w:rPr>
        <w:t>which also include roaming, correspondent services, and line and circuit rentals</w:t>
      </w:r>
      <w:r>
        <w:rPr>
          <w:lang w:val="en-US"/>
        </w:rPr>
        <w:t xml:space="preserve">, </w:t>
      </w:r>
      <w:r w:rsidRPr="004902D1">
        <w:rPr>
          <w:lang w:val="en-US"/>
        </w:rPr>
        <w:t>amounted to P$94,450 million in 1H25 (+P$20,065 million or +27.0% vs. 1H24). The increase was mainly driven by the consolidation of TMA’s results in 1H25, which contributed P$52,568 million. Excluding the impact of TMA’s consolidation, the decrease was primarily due to optimization in the use of links and sites and lower traffic volumes.</w:t>
      </w:r>
    </w:p>
    <w:p w14:paraId="134D2DD5" w14:textId="77777777" w:rsidR="004902D1" w:rsidRPr="004902D1" w:rsidRDefault="004902D1" w:rsidP="004902D1">
      <w:pPr>
        <w:pStyle w:val="Prrafodelista"/>
        <w:numPr>
          <w:ilvl w:val="0"/>
          <w:numId w:val="2"/>
        </w:numPr>
        <w:spacing w:before="120" w:after="120"/>
        <w:ind w:right="1985"/>
        <w:jc w:val="both"/>
        <w:rPr>
          <w:lang w:val="en-US"/>
        </w:rPr>
      </w:pPr>
      <w:r w:rsidRPr="004902D1">
        <w:rPr>
          <w:lang w:val="en-US"/>
        </w:rPr>
        <w:t xml:space="preserve">Fees for services, maintenance, and materials: P$425,083 million in 1H25 (+P$105,849 million or +33.2% vs. 1H24). The increase was mainly driven by the consolidation of TMA’s results in 1H25, which contributed P$121,613 million. Excluding the impact of TMA’s consolidation, the decrease was mainly due to improved </w:t>
      </w:r>
      <w:proofErr w:type="gramStart"/>
      <w:r w:rsidRPr="004902D1">
        <w:rPr>
          <w:lang w:val="en-US"/>
        </w:rPr>
        <w:t>efficiencies</w:t>
      </w:r>
      <w:proofErr w:type="gramEnd"/>
      <w:r w:rsidRPr="004902D1">
        <w:rPr>
          <w:lang w:val="en-US"/>
        </w:rPr>
        <w:t>, with lower maintenance and material costs and reduced service fees compared to 1H24.</w:t>
      </w:r>
    </w:p>
    <w:p w14:paraId="12E3F011" w14:textId="77777777" w:rsidR="004902D1" w:rsidRPr="004902D1" w:rsidRDefault="004902D1" w:rsidP="004902D1">
      <w:pPr>
        <w:pStyle w:val="Prrafodelista"/>
        <w:numPr>
          <w:ilvl w:val="0"/>
          <w:numId w:val="2"/>
        </w:numPr>
        <w:spacing w:before="120" w:after="120"/>
        <w:ind w:right="1985"/>
        <w:jc w:val="both"/>
        <w:rPr>
          <w:lang w:val="en-US"/>
        </w:rPr>
      </w:pPr>
      <w:r w:rsidRPr="004902D1">
        <w:rPr>
          <w:lang w:val="en-US"/>
        </w:rPr>
        <w:t>Taxes, fees, and regulatory charges: P$289,138 million (+P$108,836 million or +60.4% vs. 1H24). Regulatory costs in 1H25 include P$92,523 million corresponding to TMA.</w:t>
      </w:r>
    </w:p>
    <w:p w14:paraId="4D7D6BAE" w14:textId="77777777" w:rsidR="004902D1" w:rsidRPr="004902D1" w:rsidRDefault="004902D1" w:rsidP="004902D1">
      <w:pPr>
        <w:pStyle w:val="Prrafodelista"/>
        <w:numPr>
          <w:ilvl w:val="0"/>
          <w:numId w:val="2"/>
        </w:numPr>
        <w:spacing w:before="120" w:after="120"/>
        <w:ind w:right="1985"/>
        <w:jc w:val="both"/>
        <w:rPr>
          <w:lang w:val="en-US"/>
        </w:rPr>
      </w:pPr>
      <w:r w:rsidRPr="004902D1">
        <w:rPr>
          <w:lang w:val="en-US"/>
        </w:rPr>
        <w:t>Commissions and advertising (agents, collection commissions, and other fees): Charges totaled P$182,714 million in 1H25 (+P$61,886 million or +51.2% vs. 1H24). The increase was mainly driven by the consolidation of TMA’s results in 1H25, which contributed P$58,241 million.</w:t>
      </w:r>
    </w:p>
    <w:p w14:paraId="5F98D231" w14:textId="77777777" w:rsidR="004902D1" w:rsidRPr="004902D1" w:rsidRDefault="004902D1" w:rsidP="004902D1">
      <w:pPr>
        <w:pStyle w:val="Prrafodelista"/>
        <w:numPr>
          <w:ilvl w:val="0"/>
          <w:numId w:val="2"/>
        </w:numPr>
        <w:spacing w:before="120" w:after="120"/>
        <w:ind w:right="1985"/>
        <w:jc w:val="both"/>
        <w:rPr>
          <w:lang w:val="en-US"/>
        </w:rPr>
      </w:pPr>
      <w:r w:rsidRPr="004902D1">
        <w:rPr>
          <w:lang w:val="en-US"/>
        </w:rPr>
        <w:t>Cost of equipment sold totaled P$147,926 million in 1H25 (+P$44,968 million or +43.7% vs. 1H24). This variation was mainly driven by the consolidation of TMA’s results in 1H25, which contributed P$53,751 million.</w:t>
      </w:r>
    </w:p>
    <w:p w14:paraId="04C495CB" w14:textId="77777777" w:rsidR="004902D1" w:rsidRPr="004902D1" w:rsidRDefault="004902D1" w:rsidP="004902D1">
      <w:pPr>
        <w:pStyle w:val="Prrafodelista"/>
        <w:numPr>
          <w:ilvl w:val="0"/>
          <w:numId w:val="2"/>
        </w:numPr>
        <w:spacing w:before="120" w:after="120"/>
        <w:ind w:right="1985"/>
        <w:jc w:val="both"/>
        <w:rPr>
          <w:lang w:val="en-US"/>
        </w:rPr>
      </w:pPr>
      <w:r w:rsidRPr="004902D1">
        <w:rPr>
          <w:lang w:val="en-US"/>
        </w:rPr>
        <w:t>Programming and content costs: P$163,277 million (+P$33,077 million or +25.4% vs. 1H24). Programming and content costs in 1H25 include P$18,243 million corresponding to TMA.</w:t>
      </w:r>
    </w:p>
    <w:p w14:paraId="54C10F06" w14:textId="77777777" w:rsidR="00F42B03" w:rsidRDefault="004902D1" w:rsidP="004902D1">
      <w:pPr>
        <w:pStyle w:val="Prrafodelista"/>
        <w:numPr>
          <w:ilvl w:val="0"/>
          <w:numId w:val="2"/>
        </w:numPr>
        <w:spacing w:before="120" w:after="120"/>
        <w:ind w:right="1985"/>
        <w:jc w:val="both"/>
        <w:rPr>
          <w:lang w:val="en-US"/>
        </w:rPr>
      </w:pPr>
      <w:r w:rsidRPr="004902D1">
        <w:rPr>
          <w:lang w:val="en-US"/>
        </w:rPr>
        <w:t xml:space="preserve">Other costs totaled P$243,924 million (+P$87,919 million or +56.4% vs. 1H24), including bad debt expenses which amounted to P$66,223 million (+P$17,031 million or +34.6% vs. 1H24). </w:t>
      </w:r>
    </w:p>
    <w:p w14:paraId="04B3471F" w14:textId="3CA6596A" w:rsidR="004902D1" w:rsidRPr="004902D1" w:rsidRDefault="004902D1" w:rsidP="00F42B03">
      <w:pPr>
        <w:pStyle w:val="Prrafodelista"/>
        <w:numPr>
          <w:ilvl w:val="1"/>
          <w:numId w:val="2"/>
        </w:numPr>
        <w:spacing w:before="120" w:after="120"/>
        <w:ind w:right="1985"/>
        <w:jc w:val="both"/>
        <w:rPr>
          <w:lang w:val="en-US"/>
        </w:rPr>
      </w:pPr>
      <w:r w:rsidRPr="004902D1">
        <w:rPr>
          <w:lang w:val="en-US"/>
        </w:rPr>
        <w:t>Bad debt expenses in 1H25 include P$20,924 million corresponding to TMA. The charge for bad debt continued to show a favorable trend: it represented 2.0% of total revenues as of June 30, 2025 (vs. 2.1% in 1H24).</w:t>
      </w:r>
    </w:p>
    <w:p w14:paraId="6CBC107A" w14:textId="28B9ABC7" w:rsidR="004902D1" w:rsidRPr="004902D1" w:rsidRDefault="004902D1" w:rsidP="00F42B03">
      <w:pPr>
        <w:pStyle w:val="Prrafodelista"/>
        <w:numPr>
          <w:ilvl w:val="1"/>
          <w:numId w:val="2"/>
        </w:numPr>
        <w:spacing w:before="120" w:after="120"/>
        <w:ind w:right="1985"/>
        <w:jc w:val="both"/>
        <w:rPr>
          <w:lang w:val="en-US"/>
        </w:rPr>
      </w:pPr>
      <w:r w:rsidRPr="004902D1">
        <w:rPr>
          <w:lang w:val="en-US"/>
        </w:rPr>
        <w:t>Other operating costs</w:t>
      </w:r>
      <w:r w:rsidR="00F42B03">
        <w:rPr>
          <w:lang w:val="en-US"/>
        </w:rPr>
        <w:t xml:space="preserve">, </w:t>
      </w:r>
      <w:r w:rsidRPr="004902D1">
        <w:rPr>
          <w:lang w:val="en-US"/>
        </w:rPr>
        <w:t xml:space="preserve">which include litigation and contingency charges, energy and other utilities, insurance, rentals, and internet capacity, among </w:t>
      </w:r>
      <w:r w:rsidRPr="004902D1">
        <w:rPr>
          <w:lang w:val="en-US"/>
        </w:rPr>
        <w:lastRenderedPageBreak/>
        <w:t>others</w:t>
      </w:r>
      <w:r w:rsidR="00F42B03">
        <w:rPr>
          <w:lang w:val="en-US"/>
        </w:rPr>
        <w:t xml:space="preserve">, </w:t>
      </w:r>
      <w:r w:rsidRPr="004902D1">
        <w:rPr>
          <w:lang w:val="en-US"/>
        </w:rPr>
        <w:t>amounted to P$177,701 million (+P$70,888 million or +66.4% vs. 1H24). TMA’s contribution to 1H25 totaled P$59,975 million.</w:t>
      </w:r>
    </w:p>
    <w:p w14:paraId="626744C7" w14:textId="6C14503A" w:rsidR="00B64A92" w:rsidRDefault="004902D1" w:rsidP="004902D1">
      <w:pPr>
        <w:pStyle w:val="Prrafodelista"/>
        <w:numPr>
          <w:ilvl w:val="0"/>
          <w:numId w:val="2"/>
        </w:numPr>
        <w:spacing w:before="120" w:after="120"/>
        <w:ind w:right="1985"/>
        <w:jc w:val="both"/>
        <w:rPr>
          <w:lang w:val="en-US"/>
        </w:rPr>
      </w:pPr>
      <w:r w:rsidRPr="004902D1">
        <w:rPr>
          <w:lang w:val="en-US"/>
        </w:rPr>
        <w:t>Depreciation, amortization, and impairment of fixed assets: totaled P$831,126 million (+P$54,293 million or +7.0% vs. 1H24). The charge for the period includes P$196,700 million corresponding to the consolidation of TMA and reflects the impact of amortizations from additions after June 30, 2024, partially offset by the effect of assets that reached the end of their useful life after that date.</w:t>
      </w:r>
    </w:p>
    <w:p w14:paraId="05839AA8" w14:textId="77777777" w:rsidR="006F6953" w:rsidRPr="004902D1" w:rsidRDefault="006F6953" w:rsidP="006F6953">
      <w:pPr>
        <w:pStyle w:val="Prrafodelista"/>
        <w:spacing w:before="120" w:after="120"/>
        <w:ind w:right="1985"/>
        <w:jc w:val="both"/>
        <w:rPr>
          <w:lang w:val="en-US"/>
        </w:rPr>
      </w:pPr>
    </w:p>
    <w:p w14:paraId="5D04ACE9" w14:textId="578ECABA" w:rsidR="009E1118" w:rsidRPr="005937D8" w:rsidRDefault="00921822" w:rsidP="0054467A">
      <w:pPr>
        <w:pStyle w:val="Tituloprincipal"/>
        <w:spacing w:before="160" w:after="120"/>
        <w:ind w:left="0" w:right="1985"/>
        <w:jc w:val="left"/>
        <w:rPr>
          <w:u w:val="none"/>
          <w:lang w:val="en-US"/>
        </w:rPr>
      </w:pPr>
      <w:r w:rsidRPr="005937D8">
        <w:rPr>
          <w:u w:val="none"/>
          <w:lang w:val="en-US"/>
        </w:rPr>
        <w:t>Net F</w:t>
      </w:r>
      <w:r w:rsidR="005A1DD8" w:rsidRPr="005937D8">
        <w:rPr>
          <w:u w:val="none"/>
          <w:lang w:val="en-US"/>
        </w:rPr>
        <w:t>i</w:t>
      </w:r>
      <w:r w:rsidRPr="005937D8">
        <w:rPr>
          <w:u w:val="none"/>
          <w:lang w:val="en-US"/>
        </w:rPr>
        <w:t>nancial Results</w:t>
      </w:r>
    </w:p>
    <w:p w14:paraId="63826444" w14:textId="4552E9E5" w:rsidR="00921822" w:rsidRPr="005937D8" w:rsidRDefault="002C32B2" w:rsidP="0054467A">
      <w:pPr>
        <w:tabs>
          <w:tab w:val="left" w:pos="6804"/>
          <w:tab w:val="left" w:pos="7230"/>
          <w:tab w:val="left" w:pos="7513"/>
        </w:tabs>
        <w:spacing w:before="160" w:after="120" w:line="280" w:lineRule="atLeast"/>
        <w:ind w:right="1985"/>
        <w:jc w:val="both"/>
        <w:rPr>
          <w:lang w:val="en-US"/>
        </w:rPr>
      </w:pPr>
      <w:r>
        <w:rPr>
          <w:lang w:val="en-US"/>
        </w:rPr>
        <w:t>N</w:t>
      </w:r>
      <w:r w:rsidRPr="002C32B2">
        <w:rPr>
          <w:lang w:val="en-US"/>
        </w:rPr>
        <w:t xml:space="preserve">et financial results (including financial debt costs and other net financial results) showed a </w:t>
      </w:r>
      <w:r w:rsidRPr="002C32B2">
        <w:rPr>
          <w:u w:val="single"/>
          <w:lang w:val="en-US"/>
        </w:rPr>
        <w:t>consolidated</w:t>
      </w:r>
      <w:r w:rsidRPr="002C32B2">
        <w:rPr>
          <w:lang w:val="en-US"/>
        </w:rPr>
        <w:t xml:space="preserve"> loss of P$215,364 million in 1H25 (vs. a gain of P$1,792,664 million in 1H24). This variation was mainly driven by</w:t>
      </w:r>
      <w:r w:rsidR="00921822" w:rsidRPr="005937D8">
        <w:rPr>
          <w:lang w:val="en-US"/>
        </w:rPr>
        <w:t>:</w:t>
      </w:r>
    </w:p>
    <w:p w14:paraId="27CD4523" w14:textId="49DF5F5F" w:rsidR="008F2E63" w:rsidRDefault="00140F62" w:rsidP="004A523E">
      <w:pPr>
        <w:tabs>
          <w:tab w:val="left" w:pos="6804"/>
          <w:tab w:val="left" w:pos="7230"/>
          <w:tab w:val="left" w:pos="7513"/>
        </w:tabs>
        <w:spacing w:after="0" w:line="280" w:lineRule="atLeast"/>
        <w:ind w:right="1985"/>
        <w:jc w:val="both"/>
        <w:rPr>
          <w:noProof/>
          <w:lang w:eastAsia="es-AR"/>
        </w:rPr>
      </w:pPr>
      <w:r>
        <w:rPr>
          <w:noProof/>
          <w:lang w:eastAsia="es-AR"/>
        </w:rPr>
        <w:object w:dxaOrig="8730" w:dyaOrig="2730" w14:anchorId="738673D3">
          <v:shape id="_x0000_i1027" type="#_x0000_t75" style="width:371.25pt;height:116.25pt" o:ole="">
            <v:imagedata r:id="rId10" o:title=""/>
          </v:shape>
          <o:OLEObject Type="Link" ProgID="Excel.Sheet.12" ShapeID="_x0000_i1027" DrawAspect="Content" r:id="rId11" UpdateMode="Always">
            <o:LinkType>EnhancedMetaFile</o:LinkType>
            <o:LockedField>false</o:LockedField>
          </o:OLEObject>
        </w:object>
      </w:r>
    </w:p>
    <w:p w14:paraId="3E28349A" w14:textId="210D6FBF" w:rsidR="003F761A" w:rsidRPr="00B70B9C" w:rsidRDefault="004A523E" w:rsidP="004A523E">
      <w:pPr>
        <w:tabs>
          <w:tab w:val="left" w:pos="6804"/>
          <w:tab w:val="left" w:pos="7230"/>
          <w:tab w:val="left" w:pos="7513"/>
        </w:tabs>
        <w:spacing w:after="0" w:line="280" w:lineRule="atLeast"/>
        <w:ind w:right="1985"/>
        <w:jc w:val="both"/>
        <w:rPr>
          <w:rFonts w:ascii="Arial" w:hAnsi="Arial" w:cs="Arial"/>
          <w:sz w:val="14"/>
          <w:szCs w:val="14"/>
          <w:lang w:val="en-US"/>
        </w:rPr>
      </w:pPr>
      <w:r>
        <w:rPr>
          <w:rFonts w:ascii="Arial" w:hAnsi="Arial" w:cs="Arial"/>
          <w:sz w:val="14"/>
          <w:szCs w:val="14"/>
          <w:lang w:val="en-US"/>
        </w:rPr>
        <w:t>*</w:t>
      </w:r>
      <w:r w:rsidRPr="00E63851">
        <w:rPr>
          <w:rFonts w:ascii="Arial" w:hAnsi="Arial" w:cs="Arial"/>
          <w:sz w:val="14"/>
          <w:szCs w:val="14"/>
          <w:lang w:val="en-US"/>
        </w:rPr>
        <w:t>Related to Notes issued in UVA</w:t>
      </w:r>
    </w:p>
    <w:p w14:paraId="3173F610" w14:textId="78994E21" w:rsidR="005A2E3C" w:rsidRPr="002C32B2" w:rsidRDefault="002C32B2" w:rsidP="002C32B2">
      <w:pPr>
        <w:pStyle w:val="Tituloprincipal"/>
        <w:spacing w:before="240" w:after="240"/>
        <w:ind w:left="0" w:right="1984"/>
        <w:jc w:val="both"/>
        <w:rPr>
          <w:rFonts w:ascii="Roboto" w:hAnsi="Roboto" w:cstheme="minorBidi"/>
          <w:b w:val="0"/>
          <w:color w:val="140232"/>
          <w:sz w:val="20"/>
          <w:szCs w:val="22"/>
          <w:u w:val="none"/>
          <w:lang w:val="en-US"/>
        </w:rPr>
      </w:pPr>
      <w:r w:rsidRPr="002C32B2">
        <w:rPr>
          <w:rFonts w:ascii="Roboto" w:hAnsi="Roboto" w:cstheme="minorBidi"/>
          <w:b w:val="0"/>
          <w:color w:val="140232"/>
          <w:sz w:val="20"/>
          <w:szCs w:val="22"/>
          <w:u w:val="none"/>
          <w:lang w:val="en-US"/>
        </w:rPr>
        <w:t xml:space="preserve">The variation in </w:t>
      </w:r>
      <w:r w:rsidRPr="002C32B2">
        <w:rPr>
          <w:rFonts w:ascii="Roboto" w:hAnsi="Roboto" w:cstheme="minorBidi"/>
          <w:b w:val="0"/>
          <w:color w:val="140232"/>
          <w:sz w:val="20"/>
          <w:szCs w:val="22"/>
          <w:lang w:val="en-US"/>
        </w:rPr>
        <w:t>consolidated</w:t>
      </w:r>
      <w:r w:rsidRPr="002C32B2">
        <w:rPr>
          <w:rFonts w:ascii="Roboto" w:hAnsi="Roboto" w:cstheme="minorBidi"/>
          <w:b w:val="0"/>
          <w:color w:val="140232"/>
          <w:sz w:val="20"/>
          <w:szCs w:val="22"/>
          <w:u w:val="none"/>
          <w:lang w:val="en-US"/>
        </w:rPr>
        <w:t xml:space="preserve"> net financial results in 1H25 was mainly explained by a higher loss from foreign exchange differences, measured in real terms, of P$2,024,452 million. This was driven by inflation of 15.1% versus a 16.8% appreciation of the U.S. dollar against the Argentine peso (vs. inflation of 79.8% and a 12.8% appreciation of the U.S. dollar in 1H24). Additionally, there were higher financial debt interest expenses of P$56,856 million due to increased borrowing, partially offset by higher gain</w:t>
      </w:r>
      <w:r w:rsidR="0037040C">
        <w:rPr>
          <w:rFonts w:ascii="Roboto" w:hAnsi="Roboto" w:cstheme="minorBidi"/>
          <w:b w:val="0"/>
          <w:color w:val="140232"/>
          <w:sz w:val="20"/>
          <w:szCs w:val="22"/>
          <w:u w:val="none"/>
          <w:lang w:val="en-US"/>
        </w:rPr>
        <w:t>s</w:t>
      </w:r>
      <w:r w:rsidRPr="002C32B2">
        <w:rPr>
          <w:rFonts w:ascii="Roboto" w:hAnsi="Roboto" w:cstheme="minorBidi"/>
          <w:b w:val="0"/>
          <w:color w:val="140232"/>
          <w:sz w:val="20"/>
          <w:szCs w:val="22"/>
          <w:u w:val="none"/>
          <w:lang w:val="en-US"/>
        </w:rPr>
        <w:t xml:space="preserve"> from loan adjustments of P$104,722 million, resulting from the maturity of UVA-denominated notes, which reduced the outstanding principal </w:t>
      </w:r>
      <w:r w:rsidR="0037040C">
        <w:rPr>
          <w:rFonts w:ascii="Roboto" w:hAnsi="Roboto" w:cstheme="minorBidi"/>
          <w:b w:val="0"/>
          <w:color w:val="140232"/>
          <w:sz w:val="20"/>
          <w:szCs w:val="22"/>
          <w:u w:val="none"/>
          <w:lang w:val="en-US"/>
        </w:rPr>
        <w:t xml:space="preserve">balance </w:t>
      </w:r>
      <w:r w:rsidRPr="002C32B2">
        <w:rPr>
          <w:rFonts w:ascii="Roboto" w:hAnsi="Roboto" w:cstheme="minorBidi"/>
          <w:b w:val="0"/>
          <w:color w:val="140232"/>
          <w:sz w:val="20"/>
          <w:szCs w:val="22"/>
          <w:u w:val="none"/>
          <w:lang w:val="en-US"/>
        </w:rPr>
        <w:t>and, consequently, the associated financial charges.</w:t>
      </w:r>
    </w:p>
    <w:p w14:paraId="6395E8CB" w14:textId="03A6CF86" w:rsidR="009E1118" w:rsidRPr="005937D8" w:rsidRDefault="009F5DA3" w:rsidP="00915E8E">
      <w:pPr>
        <w:pStyle w:val="Tituloprincipal"/>
        <w:spacing w:before="240" w:after="240"/>
        <w:ind w:left="0" w:right="1985"/>
        <w:jc w:val="left"/>
        <w:rPr>
          <w:u w:val="none"/>
          <w:lang w:val="en-US"/>
        </w:rPr>
      </w:pPr>
      <w:r w:rsidRPr="005937D8">
        <w:rPr>
          <w:u w:val="none"/>
          <w:lang w:val="en-US"/>
        </w:rPr>
        <w:t>Income Tax</w:t>
      </w:r>
    </w:p>
    <w:p w14:paraId="6A05230F" w14:textId="7DFFEBF6" w:rsidR="001B2ADA" w:rsidRPr="005937D8" w:rsidRDefault="005937D8" w:rsidP="00915E8E">
      <w:pPr>
        <w:spacing w:after="240"/>
        <w:ind w:right="1985"/>
        <w:jc w:val="both"/>
        <w:rPr>
          <w:lang w:val="en-US"/>
        </w:rPr>
      </w:pPr>
      <w:r w:rsidRPr="005937D8">
        <w:rPr>
          <w:lang w:val="en-US"/>
        </w:rPr>
        <w:t>Telecom’s</w:t>
      </w:r>
      <w:r w:rsidR="009F5DA3" w:rsidRPr="005937D8">
        <w:rPr>
          <w:lang w:val="en-US"/>
        </w:rPr>
        <w:t xml:space="preserve"> income tax includes the following effects</w:t>
      </w:r>
      <w:r w:rsidR="00767CD8" w:rsidRPr="005937D8">
        <w:rPr>
          <w:lang w:val="en-US"/>
        </w:rPr>
        <w:t xml:space="preserve">: </w:t>
      </w:r>
    </w:p>
    <w:p w14:paraId="5ED04441" w14:textId="2296F82F" w:rsidR="005937D8" w:rsidRDefault="005937D8" w:rsidP="00A4691E">
      <w:pPr>
        <w:pStyle w:val="Prrafodelista"/>
        <w:numPr>
          <w:ilvl w:val="0"/>
          <w:numId w:val="4"/>
        </w:numPr>
        <w:spacing w:after="120"/>
        <w:ind w:left="714" w:right="1985" w:hanging="357"/>
        <w:jc w:val="both"/>
        <w:rPr>
          <w:lang w:val="en-US"/>
        </w:rPr>
      </w:pPr>
      <w:r w:rsidRPr="005937D8">
        <w:rPr>
          <w:lang w:val="en-US"/>
        </w:rPr>
        <w:t>the current income tax, determined based on the current tax legislation applicable to Telecom</w:t>
      </w:r>
      <w:r>
        <w:rPr>
          <w:lang w:val="en-US"/>
        </w:rPr>
        <w:t>,</w:t>
      </w:r>
    </w:p>
    <w:p w14:paraId="29F51BA5" w14:textId="09569CDE" w:rsidR="005937D8" w:rsidRDefault="009F5DA3" w:rsidP="00A4691E">
      <w:pPr>
        <w:pStyle w:val="Prrafodelista"/>
        <w:numPr>
          <w:ilvl w:val="0"/>
          <w:numId w:val="4"/>
        </w:numPr>
        <w:spacing w:after="120"/>
        <w:ind w:left="714" w:right="1985" w:hanging="357"/>
        <w:jc w:val="both"/>
        <w:rPr>
          <w:lang w:val="en-US"/>
        </w:rPr>
      </w:pPr>
      <w:r w:rsidRPr="005937D8">
        <w:rPr>
          <w:lang w:val="en-US"/>
        </w:rPr>
        <w:t xml:space="preserve">the effect of applying the deferred tax method </w:t>
      </w:r>
      <w:r w:rsidR="00782840">
        <w:rPr>
          <w:lang w:val="en-US"/>
        </w:rPr>
        <w:t>with respect to</w:t>
      </w:r>
      <w:r w:rsidR="00782840" w:rsidRPr="005937D8">
        <w:rPr>
          <w:lang w:val="en-US"/>
        </w:rPr>
        <w:t xml:space="preserve"> </w:t>
      </w:r>
      <w:r w:rsidRPr="005937D8">
        <w:rPr>
          <w:lang w:val="en-US"/>
        </w:rPr>
        <w:t xml:space="preserve">temporary differences </w:t>
      </w:r>
      <w:r w:rsidR="00782840">
        <w:rPr>
          <w:lang w:val="en-US"/>
        </w:rPr>
        <w:t>determined by</w:t>
      </w:r>
      <w:r w:rsidRPr="005937D8">
        <w:rPr>
          <w:lang w:val="en-US"/>
        </w:rPr>
        <w:t xml:space="preserve"> comparing our asset and liability valuation according to tax and financial accounting criteria which includes the effect of the income tax inflation adjustment</w:t>
      </w:r>
      <w:r w:rsidR="00383C45">
        <w:rPr>
          <w:lang w:val="en-US"/>
        </w:rPr>
        <w:t>.</w:t>
      </w:r>
    </w:p>
    <w:p w14:paraId="0ADC0471" w14:textId="48ED6D9B" w:rsidR="00767CD8" w:rsidRDefault="002C32B2" w:rsidP="005937D8">
      <w:pPr>
        <w:spacing w:after="120"/>
        <w:ind w:left="357" w:right="1985"/>
        <w:jc w:val="both"/>
        <w:rPr>
          <w:lang w:val="en-US"/>
        </w:rPr>
      </w:pPr>
      <w:r w:rsidRPr="002C32B2">
        <w:rPr>
          <w:u w:val="single"/>
          <w:lang w:val="en-US"/>
        </w:rPr>
        <w:t>Consolidated</w:t>
      </w:r>
      <w:r w:rsidRPr="002C32B2">
        <w:rPr>
          <w:lang w:val="en-US"/>
        </w:rPr>
        <w:t xml:space="preserve"> income tax resulted in a loss of P$34,473 million in 1H25 (vs. a loss of P$504,015 million in 1H24). Current income tax losses amounted to P$223,343 million in 1H25 (vs. a loss of P$7,721 million in 1H24), while the effect of deferred income tax in 1H25 was a gain of P$188,870 million (vs. a loss of P$496,294 million in 1H24)</w:t>
      </w:r>
      <w:r>
        <w:rPr>
          <w:lang w:val="en-US"/>
        </w:rPr>
        <w:t>.</w:t>
      </w:r>
    </w:p>
    <w:p w14:paraId="1D142E30" w14:textId="77777777" w:rsidR="007A578E" w:rsidRPr="005937D8" w:rsidRDefault="007A578E" w:rsidP="005937D8">
      <w:pPr>
        <w:spacing w:after="120"/>
        <w:ind w:left="357" w:right="1985"/>
        <w:jc w:val="both"/>
        <w:rPr>
          <w:lang w:val="en-US"/>
        </w:rPr>
      </w:pPr>
    </w:p>
    <w:p w14:paraId="041BBD3F" w14:textId="3737BE4E" w:rsidR="009F5DA3" w:rsidRPr="00D77CA4" w:rsidRDefault="009F5DA3" w:rsidP="009F5DA3">
      <w:pPr>
        <w:spacing w:after="240"/>
        <w:ind w:right="1985"/>
        <w:jc w:val="both"/>
        <w:rPr>
          <w:rFonts w:ascii="Pulso" w:hAnsi="Pulso" w:cs="Arial"/>
          <w:b/>
          <w:color w:val="3C009F"/>
          <w:sz w:val="34"/>
          <w:szCs w:val="34"/>
          <w:lang w:val="en-US"/>
        </w:rPr>
      </w:pPr>
      <w:r w:rsidRPr="00D77CA4">
        <w:rPr>
          <w:rFonts w:ascii="Pulso" w:hAnsi="Pulso" w:cs="Arial"/>
          <w:b/>
          <w:color w:val="3C009F"/>
          <w:sz w:val="34"/>
          <w:szCs w:val="34"/>
          <w:lang w:val="en-US"/>
        </w:rPr>
        <w:lastRenderedPageBreak/>
        <w:t>Consolidated Net Financial Debt</w:t>
      </w:r>
    </w:p>
    <w:p w14:paraId="36C281EA" w14:textId="2C574006" w:rsidR="009E1118" w:rsidRPr="008972E3" w:rsidRDefault="009F5DA3" w:rsidP="00785FED">
      <w:pPr>
        <w:spacing w:before="60" w:after="0"/>
        <w:ind w:right="1985"/>
        <w:jc w:val="both"/>
        <w:rPr>
          <w:lang w:val="en-US"/>
        </w:rPr>
      </w:pPr>
      <w:r w:rsidRPr="00D77CA4">
        <w:rPr>
          <w:lang w:val="en-US"/>
        </w:rPr>
        <w:t xml:space="preserve">As of </w:t>
      </w:r>
      <w:r w:rsidR="00B22DC4">
        <w:rPr>
          <w:lang w:val="en-US"/>
        </w:rPr>
        <w:t>June 30</w:t>
      </w:r>
      <w:r w:rsidR="000C3681">
        <w:rPr>
          <w:lang w:val="en-US"/>
        </w:rPr>
        <w:t xml:space="preserve">, </w:t>
      </w:r>
      <w:r w:rsidR="0039328C">
        <w:rPr>
          <w:lang w:val="en-US"/>
        </w:rPr>
        <w:t>2025</w:t>
      </w:r>
      <w:r w:rsidRPr="00D77CA4">
        <w:rPr>
          <w:lang w:val="en-US"/>
        </w:rPr>
        <w:t>, our net financial debt (cash, cash equivalents</w:t>
      </w:r>
      <w:r w:rsidR="003570CA">
        <w:rPr>
          <w:lang w:val="en-US"/>
        </w:rPr>
        <w:t xml:space="preserve"> – net of Client Funds -</w:t>
      </w:r>
      <w:r w:rsidRPr="00D77CA4">
        <w:rPr>
          <w:lang w:val="en-US"/>
        </w:rPr>
        <w:t xml:space="preserve"> plus financial investments and financial NDF</w:t>
      </w:r>
      <w:r w:rsidR="00A0477A">
        <w:rPr>
          <w:lang w:val="en-US"/>
        </w:rPr>
        <w:t>*</w:t>
      </w:r>
      <w:r w:rsidRPr="00D77CA4">
        <w:rPr>
          <w:lang w:val="en-US"/>
        </w:rPr>
        <w:t xml:space="preserve"> </w:t>
      </w:r>
      <w:r w:rsidR="007A3633">
        <w:rPr>
          <w:lang w:val="en-US"/>
        </w:rPr>
        <w:t xml:space="preserve">minus loans) </w:t>
      </w:r>
      <w:r w:rsidR="003570CA">
        <w:rPr>
          <w:lang w:val="en-US"/>
        </w:rPr>
        <w:t xml:space="preserve">is </w:t>
      </w:r>
      <w:r w:rsidR="0037040C">
        <w:rPr>
          <w:lang w:val="en-US"/>
        </w:rPr>
        <w:t xml:space="preserve">negative </w:t>
      </w:r>
      <w:r w:rsidR="003570CA">
        <w:rPr>
          <w:lang w:val="en-US"/>
        </w:rPr>
        <w:t>and a</w:t>
      </w:r>
      <w:r w:rsidR="007A3633">
        <w:rPr>
          <w:lang w:val="en-US"/>
        </w:rPr>
        <w:t>mounted to P$</w:t>
      </w:r>
      <w:r w:rsidR="002C32B2">
        <w:rPr>
          <w:lang w:val="en-US"/>
        </w:rPr>
        <w:t>4,029,971</w:t>
      </w:r>
      <w:r w:rsidR="008972E3">
        <w:rPr>
          <w:lang w:val="en-US"/>
        </w:rPr>
        <w:t xml:space="preserve"> </w:t>
      </w:r>
      <w:r w:rsidR="007A3633">
        <w:rPr>
          <w:lang w:val="en-US"/>
        </w:rPr>
        <w:t xml:space="preserve">million, </w:t>
      </w:r>
      <w:r w:rsidR="004D611D">
        <w:rPr>
          <w:lang w:val="en-US"/>
        </w:rPr>
        <w:t xml:space="preserve">which represents </w:t>
      </w:r>
      <w:r w:rsidR="008972E3">
        <w:rPr>
          <w:lang w:val="en-US"/>
        </w:rPr>
        <w:t>an increase</w:t>
      </w:r>
      <w:r w:rsidR="004D611D">
        <w:rPr>
          <w:lang w:val="en-US"/>
        </w:rPr>
        <w:t xml:space="preserve"> of</w:t>
      </w:r>
      <w:r w:rsidR="007A3633">
        <w:rPr>
          <w:lang w:val="en-US"/>
        </w:rPr>
        <w:t xml:space="preserve"> P$</w:t>
      </w:r>
      <w:r w:rsidR="002C32B2">
        <w:rPr>
          <w:lang w:val="en-US"/>
        </w:rPr>
        <w:t>1,113,767</w:t>
      </w:r>
      <w:r w:rsidR="007A3633">
        <w:rPr>
          <w:lang w:val="en-US"/>
        </w:rPr>
        <w:t xml:space="preserve"> </w:t>
      </w:r>
      <w:r w:rsidR="004D611D">
        <w:rPr>
          <w:lang w:val="en-US"/>
        </w:rPr>
        <w:t xml:space="preserve">when </w:t>
      </w:r>
      <w:r w:rsidRPr="00D77CA4">
        <w:rPr>
          <w:lang w:val="en-US"/>
        </w:rPr>
        <w:t xml:space="preserve">compared to the net financial debt as of </w:t>
      </w:r>
      <w:r w:rsidR="008972E3">
        <w:rPr>
          <w:lang w:val="en-US"/>
        </w:rPr>
        <w:t>December</w:t>
      </w:r>
      <w:r w:rsidR="000C3681">
        <w:rPr>
          <w:lang w:val="en-US"/>
        </w:rPr>
        <w:t xml:space="preserve"> 31, </w:t>
      </w:r>
      <w:r w:rsidR="0039328C">
        <w:rPr>
          <w:lang w:val="en-US"/>
        </w:rPr>
        <w:t>2024</w:t>
      </w:r>
      <w:r w:rsidR="00343F94">
        <w:rPr>
          <w:lang w:val="en-US"/>
        </w:rPr>
        <w:t>,</w:t>
      </w:r>
      <w:r w:rsidRPr="00D77CA4">
        <w:rPr>
          <w:lang w:val="en-US"/>
        </w:rPr>
        <w:t xml:space="preserve"> </w:t>
      </w:r>
      <w:r w:rsidR="00A62868">
        <w:rPr>
          <w:lang w:val="en-US"/>
        </w:rPr>
        <w:t>restated</w:t>
      </w:r>
      <w:r w:rsidRPr="00D77CA4">
        <w:rPr>
          <w:lang w:val="en-US"/>
        </w:rPr>
        <w:t xml:space="preserve"> by inflation</w:t>
      </w:r>
      <w:r w:rsidR="002E6668" w:rsidRPr="00D77CA4">
        <w:rPr>
          <w:lang w:val="en-US"/>
        </w:rPr>
        <w:t>.</w:t>
      </w:r>
      <w:r w:rsidR="007F581F">
        <w:rPr>
          <w:lang w:val="en-US"/>
        </w:rPr>
        <w:t xml:space="preserve"> </w:t>
      </w:r>
      <w:r w:rsidR="002C32B2" w:rsidRPr="002C32B2">
        <w:rPr>
          <w:lang w:val="en-US"/>
        </w:rPr>
        <w:t>This increase was mainly driven by the financing obtained for the acquisition of TMA</w:t>
      </w:r>
      <w:r w:rsidR="00001BB5">
        <w:rPr>
          <w:lang w:val="en-US"/>
        </w:rPr>
        <w:t>.</w:t>
      </w:r>
    </w:p>
    <w:p w14:paraId="7F499DE6" w14:textId="399754F8" w:rsidR="00785FED" w:rsidRPr="00785FED" w:rsidRDefault="00A0477A" w:rsidP="00785FED">
      <w:pPr>
        <w:spacing w:before="60" w:after="0"/>
        <w:ind w:right="1985"/>
        <w:jc w:val="both"/>
        <w:rPr>
          <w:i/>
          <w:iCs/>
          <w:sz w:val="15"/>
          <w:lang w:val="en-US"/>
        </w:rPr>
      </w:pPr>
      <w:r w:rsidRPr="00E2473D">
        <w:rPr>
          <w:rStyle w:val="nfasissutil"/>
          <w:color w:val="140232"/>
          <w:lang w:val="en-US"/>
        </w:rPr>
        <w:t>* Contemplates rate swaps and NDF (non-delivery forwards) agreements.</w:t>
      </w:r>
    </w:p>
    <w:p w14:paraId="176B3089" w14:textId="77777777" w:rsidR="00F72382" w:rsidRDefault="009F5DA3" w:rsidP="00785FED">
      <w:pPr>
        <w:spacing w:before="240" w:after="120"/>
        <w:ind w:right="1985"/>
        <w:jc w:val="both"/>
        <w:rPr>
          <w:rFonts w:ascii="Pulso" w:hAnsi="Pulso" w:cs="Arial"/>
          <w:b/>
          <w:color w:val="3C009F"/>
          <w:sz w:val="34"/>
          <w:szCs w:val="34"/>
          <w:lang w:val="en-US"/>
        </w:rPr>
      </w:pPr>
      <w:r w:rsidRPr="00D77CA4">
        <w:rPr>
          <w:rFonts w:ascii="Pulso" w:hAnsi="Pulso" w:cs="Arial"/>
          <w:b/>
          <w:color w:val="3C009F"/>
          <w:sz w:val="34"/>
          <w:szCs w:val="34"/>
          <w:lang w:val="en-US"/>
        </w:rPr>
        <w:t>Investments in PP&amp;E, intangible assets and rights of use assets</w:t>
      </w:r>
    </w:p>
    <w:p w14:paraId="12E78DDA" w14:textId="6A570B25" w:rsidR="004F17D0" w:rsidRPr="00181296" w:rsidRDefault="002C32B2" w:rsidP="00915E8E">
      <w:pPr>
        <w:spacing w:after="120"/>
        <w:ind w:right="1985"/>
        <w:jc w:val="both"/>
        <w:rPr>
          <w:lang w:val="en-US"/>
        </w:rPr>
      </w:pPr>
      <w:r w:rsidRPr="002C32B2">
        <w:rPr>
          <w:lang w:val="en-US"/>
        </w:rPr>
        <w:t xml:space="preserve">As of June 30, 2025, </w:t>
      </w:r>
      <w:r w:rsidRPr="002C32B2">
        <w:rPr>
          <w:u w:val="single"/>
          <w:lang w:val="en-US"/>
        </w:rPr>
        <w:t>consolidated</w:t>
      </w:r>
      <w:r w:rsidRPr="002C32B2">
        <w:rPr>
          <w:lang w:val="en-US"/>
        </w:rPr>
        <w:t xml:space="preserve"> CAPEX (additions of PP&amp;E and intangible assets) totaled P$481,189 million (+53.7% vs. 1H24). Including additions from rights of use, total investments amounted to P$573,242 million, of which P$132,492 million correspond to TMA</w:t>
      </w:r>
      <w:r w:rsidR="00544DD3" w:rsidRPr="00544DD3">
        <w:rPr>
          <w:lang w:val="en-US"/>
        </w:rPr>
        <w:t>.</w:t>
      </w:r>
      <w:r w:rsidR="008972E3">
        <w:rPr>
          <w:lang w:val="en-US"/>
        </w:rPr>
        <w:t xml:space="preserve"> </w:t>
      </w:r>
    </w:p>
    <w:p w14:paraId="2860A2F4" w14:textId="773AAE24" w:rsidR="00A0477A" w:rsidRPr="00370375" w:rsidRDefault="00A0477A" w:rsidP="00915E8E">
      <w:pPr>
        <w:spacing w:after="120"/>
        <w:ind w:right="1985"/>
        <w:jc w:val="both"/>
        <w:rPr>
          <w:rFonts w:ascii="Pulso" w:eastAsiaTheme="minorEastAsia" w:hAnsi="Pulso"/>
          <w:color w:val="B989F9"/>
          <w:szCs w:val="16"/>
          <w:lang w:val="en-US" w:eastAsia="zh-CN"/>
        </w:rPr>
      </w:pPr>
      <w:r w:rsidRPr="00370375">
        <w:rPr>
          <w:rFonts w:ascii="Pulso" w:eastAsiaTheme="minorEastAsia" w:hAnsi="Pulso"/>
          <w:color w:val="B989F9"/>
          <w:szCs w:val="16"/>
          <w:lang w:val="en-US" w:eastAsia="zh-CN"/>
        </w:rPr>
        <w:t>The i</w:t>
      </w:r>
      <w:r w:rsidR="008A0CC2" w:rsidRPr="00370375">
        <w:rPr>
          <w:rFonts w:ascii="Pulso" w:eastAsiaTheme="minorEastAsia" w:hAnsi="Pulso"/>
          <w:color w:val="B989F9"/>
          <w:szCs w:val="16"/>
          <w:lang w:val="en-US" w:eastAsia="zh-CN"/>
        </w:rPr>
        <w:t>n</w:t>
      </w:r>
      <w:r w:rsidRPr="00370375">
        <w:rPr>
          <w:rFonts w:ascii="Pulso" w:eastAsiaTheme="minorEastAsia" w:hAnsi="Pulso"/>
          <w:color w:val="B989F9"/>
          <w:szCs w:val="16"/>
          <w:lang w:val="en-US" w:eastAsia="zh-CN"/>
        </w:rPr>
        <w:t>vestments were focused on</w:t>
      </w:r>
      <w:r w:rsidR="00F72382">
        <w:rPr>
          <w:rFonts w:ascii="Pulso" w:eastAsiaTheme="minorEastAsia" w:hAnsi="Pulso"/>
          <w:color w:val="B989F9"/>
          <w:szCs w:val="16"/>
          <w:lang w:val="en-US" w:eastAsia="zh-CN"/>
        </w:rPr>
        <w:t>:</w:t>
      </w:r>
    </w:p>
    <w:p w14:paraId="3F0E76A4" w14:textId="4B6DE937" w:rsidR="002C32B2" w:rsidRPr="002C32B2" w:rsidRDefault="002C32B2" w:rsidP="002C32B2">
      <w:pPr>
        <w:pStyle w:val="Prrafodelista"/>
        <w:numPr>
          <w:ilvl w:val="0"/>
          <w:numId w:val="3"/>
        </w:numPr>
        <w:spacing w:after="120"/>
        <w:ind w:left="714" w:right="1985" w:hanging="357"/>
        <w:jc w:val="both"/>
        <w:rPr>
          <w:lang w:val="en-US"/>
        </w:rPr>
      </w:pPr>
      <w:r w:rsidRPr="002C32B2">
        <w:rPr>
          <w:lang w:val="en-US"/>
        </w:rPr>
        <w:t>Expansion of both fixed and mobile data services to improve transmission and access speed offered to customers, the deployment of 4G coverage and capacity, and continued expansion of 5G to support mobile internet growth and enhance service quality.</w:t>
      </w:r>
    </w:p>
    <w:p w14:paraId="28EA4473" w14:textId="2A3FFFB8" w:rsidR="002C32B2" w:rsidRPr="002C32B2" w:rsidRDefault="002C32B2" w:rsidP="002C32B2">
      <w:pPr>
        <w:pStyle w:val="Prrafodelista"/>
        <w:numPr>
          <w:ilvl w:val="0"/>
          <w:numId w:val="3"/>
        </w:numPr>
        <w:spacing w:after="120"/>
        <w:ind w:left="714" w:right="1985" w:hanging="357"/>
        <w:jc w:val="both"/>
        <w:rPr>
          <w:lang w:val="en-US"/>
        </w:rPr>
      </w:pPr>
      <w:r w:rsidRPr="002C32B2">
        <w:rPr>
          <w:lang w:val="en-US"/>
        </w:rPr>
        <w:t xml:space="preserve">Deployment and modernization of 4G mobile access sites to improve coverage and increase mobile network capacity. The 4G/LTE rollout reached 98% population coverage. According to the latest benchmark conducted by </w:t>
      </w:r>
      <w:proofErr w:type="spellStart"/>
      <w:r w:rsidRPr="002C32B2">
        <w:rPr>
          <w:lang w:val="en-US"/>
        </w:rPr>
        <w:t>Ookla</w:t>
      </w:r>
      <w:proofErr w:type="spellEnd"/>
      <w:r w:rsidRPr="002C32B2">
        <w:rPr>
          <w:lang w:val="en-US"/>
        </w:rPr>
        <w:t xml:space="preserve"> in June 2025, our mobile network customers with access to our 4G network experienced improved service quality, reaching average speeds of 86 Mbps, compared to 55 Mbps in the same period </w:t>
      </w:r>
      <w:r w:rsidR="0037040C">
        <w:rPr>
          <w:lang w:val="en-US"/>
        </w:rPr>
        <w:t>in</w:t>
      </w:r>
      <w:r w:rsidR="0037040C" w:rsidRPr="002C32B2">
        <w:rPr>
          <w:lang w:val="en-US"/>
        </w:rPr>
        <w:t xml:space="preserve"> </w:t>
      </w:r>
      <w:r w:rsidRPr="002C32B2">
        <w:rPr>
          <w:lang w:val="en-US"/>
        </w:rPr>
        <w:t>2024.</w:t>
      </w:r>
    </w:p>
    <w:p w14:paraId="3E50C592" w14:textId="5893A9EE" w:rsidR="002C32B2" w:rsidRPr="002C32B2" w:rsidRDefault="002C32B2" w:rsidP="002C32B2">
      <w:pPr>
        <w:pStyle w:val="Prrafodelista"/>
        <w:numPr>
          <w:ilvl w:val="0"/>
          <w:numId w:val="3"/>
        </w:numPr>
        <w:spacing w:after="120"/>
        <w:ind w:left="714" w:right="1985" w:hanging="357"/>
        <w:jc w:val="both"/>
        <w:rPr>
          <w:lang w:val="en-US"/>
        </w:rPr>
      </w:pPr>
      <w:r w:rsidRPr="002C32B2">
        <w:rPr>
          <w:lang w:val="en-US"/>
        </w:rPr>
        <w:t>During the first months of 2025, we continued expanding our 5G network with the addition of 218 sites.</w:t>
      </w:r>
    </w:p>
    <w:p w14:paraId="5CEF58D1" w14:textId="60868FAB" w:rsidR="00925203" w:rsidRPr="006F6953" w:rsidRDefault="002C32B2" w:rsidP="006F6953">
      <w:pPr>
        <w:pStyle w:val="Prrafodelista"/>
        <w:numPr>
          <w:ilvl w:val="0"/>
          <w:numId w:val="3"/>
        </w:numPr>
        <w:spacing w:after="120"/>
        <w:ind w:left="714" w:right="1985" w:hanging="357"/>
        <w:jc w:val="both"/>
        <w:rPr>
          <w:lang w:val="en-US"/>
        </w:rPr>
      </w:pPr>
      <w:r w:rsidRPr="002C32B2">
        <w:rPr>
          <w:lang w:val="en-US"/>
        </w:rPr>
        <w:t>Additionally, we continued deploying mobile site connectivity to improve quality and capacity by replacing radio links with high-capacity fiber optic connections.</w:t>
      </w:r>
    </w:p>
    <w:p w14:paraId="26D5E922" w14:textId="41B8B7D7" w:rsidR="004D611D" w:rsidRPr="00946182" w:rsidRDefault="004D611D" w:rsidP="0054467A">
      <w:pPr>
        <w:pStyle w:val="Sinespaciado"/>
        <w:spacing w:before="120"/>
        <w:ind w:right="1985"/>
        <w:rPr>
          <w:rFonts w:eastAsiaTheme="minorHAnsi" w:cs="Arial"/>
          <w:b/>
          <w:color w:val="3C009F"/>
          <w:sz w:val="34"/>
          <w:szCs w:val="34"/>
          <w:lang w:eastAsia="en-US"/>
        </w:rPr>
      </w:pPr>
      <w:r w:rsidRPr="00946182">
        <w:rPr>
          <w:rFonts w:eastAsiaTheme="minorHAnsi" w:cs="Arial"/>
          <w:b/>
          <w:color w:val="3C009F"/>
          <w:sz w:val="34"/>
          <w:szCs w:val="34"/>
          <w:lang w:eastAsia="en-US"/>
        </w:rPr>
        <w:t xml:space="preserve">Relevant </w:t>
      </w:r>
      <w:r>
        <w:rPr>
          <w:rFonts w:eastAsiaTheme="minorHAnsi" w:cs="Arial"/>
          <w:b/>
          <w:color w:val="3C009F"/>
          <w:sz w:val="34"/>
          <w:szCs w:val="34"/>
          <w:lang w:eastAsia="en-US"/>
        </w:rPr>
        <w:t>financial events of the period</w:t>
      </w:r>
    </w:p>
    <w:p w14:paraId="296F26A1" w14:textId="4412B902" w:rsidR="002A7BD1" w:rsidRPr="002A7BD1" w:rsidRDefault="002A7BD1" w:rsidP="002A7BD1">
      <w:pPr>
        <w:pStyle w:val="Prrafodelista"/>
        <w:tabs>
          <w:tab w:val="left" w:pos="720"/>
          <w:tab w:val="left" w:pos="1440"/>
          <w:tab w:val="left" w:pos="2160"/>
          <w:tab w:val="left" w:pos="2880"/>
          <w:tab w:val="left" w:pos="3600"/>
          <w:tab w:val="left" w:pos="5760"/>
          <w:tab w:val="left" w:pos="6804"/>
          <w:tab w:val="left" w:pos="7290"/>
          <w:tab w:val="left" w:pos="7513"/>
          <w:tab w:val="left" w:pos="7830"/>
          <w:tab w:val="left" w:pos="7920"/>
          <w:tab w:val="left" w:pos="8280"/>
          <w:tab w:val="left" w:pos="8640"/>
        </w:tabs>
        <w:spacing w:before="240" w:after="120" w:line="280" w:lineRule="atLeast"/>
        <w:ind w:left="426" w:right="1984"/>
        <w:rPr>
          <w:rFonts w:ascii="Pulso" w:eastAsiaTheme="minorEastAsia" w:hAnsi="Pulso"/>
          <w:b/>
          <w:bCs/>
          <w:color w:val="B989F9"/>
          <w:sz w:val="28"/>
          <w:lang w:val="en-US" w:eastAsia="zh-CN"/>
        </w:rPr>
      </w:pPr>
      <w:r w:rsidRPr="002A7BD1">
        <w:rPr>
          <w:rFonts w:ascii="Pulso" w:eastAsiaTheme="minorEastAsia" w:hAnsi="Pulso"/>
          <w:b/>
          <w:bCs/>
          <w:color w:val="B989F9"/>
          <w:sz w:val="28"/>
          <w:lang w:val="en-US" w:eastAsia="zh-CN"/>
        </w:rPr>
        <w:t>TAX Matters - TMA</w:t>
      </w:r>
    </w:p>
    <w:p w14:paraId="2829B7B2" w14:textId="663325EF" w:rsidR="002A7BD1" w:rsidRPr="002A7BD1" w:rsidRDefault="002A7BD1" w:rsidP="002A7BD1">
      <w:pPr>
        <w:pStyle w:val="Prrafodelista"/>
        <w:tabs>
          <w:tab w:val="left" w:pos="720"/>
          <w:tab w:val="left" w:pos="1440"/>
          <w:tab w:val="left" w:pos="2160"/>
          <w:tab w:val="left" w:pos="2880"/>
          <w:tab w:val="left" w:pos="3600"/>
          <w:tab w:val="left" w:pos="4320"/>
          <w:tab w:val="left" w:pos="5040"/>
          <w:tab w:val="left" w:pos="5760"/>
          <w:tab w:val="left" w:pos="6804"/>
          <w:tab w:val="left" w:pos="7290"/>
          <w:tab w:val="left" w:pos="7513"/>
          <w:tab w:val="left" w:pos="7830"/>
          <w:tab w:val="left" w:pos="7920"/>
          <w:tab w:val="left" w:pos="8280"/>
          <w:tab w:val="left" w:pos="8640"/>
        </w:tabs>
        <w:spacing w:before="240" w:after="120" w:line="280" w:lineRule="atLeast"/>
        <w:ind w:left="426" w:right="1984"/>
        <w:jc w:val="both"/>
        <w:rPr>
          <w:lang w:val="en-US"/>
        </w:rPr>
      </w:pPr>
      <w:r w:rsidRPr="002A7BD1">
        <w:rPr>
          <w:lang w:val="en-US"/>
        </w:rPr>
        <w:t xml:space="preserve">On May 15, 2025, our subsidiary Telefónica </w:t>
      </w:r>
      <w:proofErr w:type="spellStart"/>
      <w:r w:rsidRPr="002A7BD1">
        <w:rPr>
          <w:lang w:val="en-US"/>
        </w:rPr>
        <w:t>Móviles</w:t>
      </w:r>
      <w:proofErr w:type="spellEnd"/>
      <w:r w:rsidRPr="002A7BD1">
        <w:rPr>
          <w:lang w:val="en-US"/>
        </w:rPr>
        <w:t xml:space="preserve"> Argentina S.A. (TMA) paid P$83,070,480,057 to the tax authorities in respect of taxes and compensatory interest arising from its acquisition by Telecom Argentina on February 24, 2025. This payment was made because the two-year period required by tax regulations for the merger by absorption of Telefónica Argentina S.A. (TASA) into TMA to be considered tax-free had not yet elapsed. </w:t>
      </w:r>
    </w:p>
    <w:p w14:paraId="6378ECE5" w14:textId="3C3263AF" w:rsidR="002A7BD1" w:rsidRPr="002A7BD1" w:rsidRDefault="002A7BD1" w:rsidP="002A7BD1">
      <w:pPr>
        <w:pStyle w:val="Prrafodelista"/>
        <w:tabs>
          <w:tab w:val="left" w:pos="720"/>
          <w:tab w:val="left" w:pos="1440"/>
          <w:tab w:val="left" w:pos="2160"/>
          <w:tab w:val="left" w:pos="2880"/>
          <w:tab w:val="left" w:pos="3600"/>
          <w:tab w:val="left" w:pos="5760"/>
          <w:tab w:val="left" w:pos="6804"/>
          <w:tab w:val="left" w:pos="7290"/>
          <w:tab w:val="left" w:pos="7513"/>
          <w:tab w:val="left" w:pos="7830"/>
          <w:tab w:val="left" w:pos="7920"/>
          <w:tab w:val="left" w:pos="8280"/>
          <w:tab w:val="left" w:pos="8640"/>
        </w:tabs>
        <w:spacing w:before="240" w:after="120" w:line="280" w:lineRule="atLeast"/>
        <w:ind w:left="426" w:right="1984"/>
        <w:rPr>
          <w:rFonts w:ascii="Pulso" w:eastAsiaTheme="minorEastAsia" w:hAnsi="Pulso"/>
          <w:b/>
          <w:bCs/>
          <w:color w:val="B989F9"/>
          <w:sz w:val="28"/>
          <w:lang w:val="en-US" w:eastAsia="zh-CN"/>
        </w:rPr>
      </w:pPr>
      <w:r w:rsidRPr="002A7BD1">
        <w:rPr>
          <w:rFonts w:ascii="Pulso" w:eastAsiaTheme="minorEastAsia" w:hAnsi="Pulso"/>
          <w:b/>
          <w:bCs/>
          <w:color w:val="B989F9"/>
          <w:sz w:val="28"/>
          <w:lang w:val="en-US" w:eastAsia="zh-CN"/>
        </w:rPr>
        <w:t>International Notes Issuance - Clase 24</w:t>
      </w:r>
    </w:p>
    <w:p w14:paraId="7EF8533C" w14:textId="36ABDC19" w:rsidR="002A7BD1" w:rsidRPr="006F6953" w:rsidRDefault="002A7BD1" w:rsidP="006F6953">
      <w:pPr>
        <w:pStyle w:val="Prrafodelista"/>
        <w:tabs>
          <w:tab w:val="left" w:pos="720"/>
          <w:tab w:val="left" w:pos="1440"/>
          <w:tab w:val="left" w:pos="2160"/>
          <w:tab w:val="left" w:pos="2880"/>
          <w:tab w:val="left" w:pos="3600"/>
          <w:tab w:val="left" w:pos="5760"/>
          <w:tab w:val="left" w:pos="6804"/>
          <w:tab w:val="left" w:pos="7290"/>
          <w:tab w:val="left" w:pos="7513"/>
          <w:tab w:val="left" w:pos="7830"/>
          <w:tab w:val="left" w:pos="7920"/>
          <w:tab w:val="left" w:pos="8280"/>
          <w:tab w:val="left" w:pos="8640"/>
        </w:tabs>
        <w:spacing w:before="360" w:after="240" w:line="280" w:lineRule="atLeast"/>
        <w:ind w:left="425" w:right="1985"/>
        <w:jc w:val="both"/>
        <w:rPr>
          <w:lang w:val="en-US"/>
        </w:rPr>
      </w:pPr>
      <w:r w:rsidRPr="002A7BD1">
        <w:rPr>
          <w:lang w:val="en-US"/>
        </w:rPr>
        <w:t xml:space="preserve">A key milestone in the first half of the year was the successful international issuance of Class 24 Notes by </w:t>
      </w:r>
      <w:r w:rsidR="007470B7">
        <w:rPr>
          <w:lang w:val="en-US"/>
        </w:rPr>
        <w:t>the Company</w:t>
      </w:r>
      <w:r w:rsidRPr="002A7BD1">
        <w:rPr>
          <w:lang w:val="en-US"/>
        </w:rPr>
        <w:t xml:space="preserve"> in May, totaling US$800 million. </w:t>
      </w:r>
      <w:r w:rsidRPr="007470B7">
        <w:rPr>
          <w:lang w:val="en-US"/>
        </w:rPr>
        <w:t>Details are as follows:</w:t>
      </w:r>
    </w:p>
    <w:tbl>
      <w:tblPr>
        <w:tblW w:w="8208" w:type="dxa"/>
        <w:tblInd w:w="-23" w:type="dxa"/>
        <w:tblCellMar>
          <w:left w:w="70" w:type="dxa"/>
          <w:right w:w="70" w:type="dxa"/>
        </w:tblCellMar>
        <w:tblLook w:val="04A0" w:firstRow="1" w:lastRow="0" w:firstColumn="1" w:lastColumn="0" w:noHBand="0" w:noVBand="1"/>
      </w:tblPr>
      <w:tblGrid>
        <w:gridCol w:w="567"/>
        <w:gridCol w:w="843"/>
        <w:gridCol w:w="1213"/>
        <w:gridCol w:w="978"/>
        <w:gridCol w:w="1065"/>
        <w:gridCol w:w="1546"/>
        <w:gridCol w:w="1011"/>
        <w:gridCol w:w="985"/>
      </w:tblGrid>
      <w:tr w:rsidR="002A7BD1" w:rsidRPr="008A3981" w14:paraId="5CC352FE" w14:textId="77777777" w:rsidTr="00B44B30">
        <w:trPr>
          <w:trHeight w:val="199"/>
        </w:trPr>
        <w:tc>
          <w:tcPr>
            <w:tcW w:w="0" w:type="auto"/>
            <w:vMerge w:val="restart"/>
            <w:tcBorders>
              <w:top w:val="double" w:sz="6" w:space="0" w:color="auto"/>
              <w:left w:val="double" w:sz="6" w:space="0" w:color="auto"/>
              <w:bottom w:val="single" w:sz="4" w:space="0" w:color="auto"/>
              <w:right w:val="single" w:sz="4" w:space="0" w:color="auto"/>
            </w:tcBorders>
            <w:vAlign w:val="center"/>
            <w:hideMark/>
          </w:tcPr>
          <w:p w14:paraId="748E3839" w14:textId="63DD131F" w:rsidR="002A7BD1" w:rsidRPr="008A3981" w:rsidRDefault="002A7BD1" w:rsidP="00B44B30">
            <w:pPr>
              <w:jc w:val="center"/>
              <w:rPr>
                <w:rFonts w:ascii="Arial" w:hAnsi="Arial" w:cs="Arial"/>
                <w:b/>
                <w:bCs/>
                <w:sz w:val="16"/>
                <w:szCs w:val="16"/>
                <w:lang w:eastAsia="es-AR"/>
              </w:rPr>
            </w:pPr>
            <w:proofErr w:type="spellStart"/>
            <w:r w:rsidRPr="008A3981">
              <w:rPr>
                <w:rFonts w:ascii="Arial" w:hAnsi="Arial" w:cs="Arial"/>
                <w:b/>
                <w:bCs/>
                <w:sz w:val="16"/>
                <w:szCs w:val="16"/>
                <w:lang w:eastAsia="es-AR"/>
              </w:rPr>
              <w:lastRenderedPageBreak/>
              <w:t>Clas</w:t>
            </w:r>
            <w:r>
              <w:rPr>
                <w:rFonts w:ascii="Arial" w:hAnsi="Arial" w:cs="Arial"/>
                <w:b/>
                <w:bCs/>
                <w:sz w:val="16"/>
                <w:szCs w:val="16"/>
                <w:lang w:eastAsia="es-AR"/>
              </w:rPr>
              <w:t>s</w:t>
            </w:r>
            <w:proofErr w:type="spellEnd"/>
          </w:p>
        </w:tc>
        <w:tc>
          <w:tcPr>
            <w:tcW w:w="0" w:type="auto"/>
            <w:vMerge w:val="restart"/>
            <w:tcBorders>
              <w:top w:val="double" w:sz="6" w:space="0" w:color="auto"/>
              <w:left w:val="single" w:sz="4" w:space="0" w:color="auto"/>
              <w:bottom w:val="single" w:sz="4" w:space="0" w:color="auto"/>
              <w:right w:val="single" w:sz="4" w:space="0" w:color="auto"/>
            </w:tcBorders>
            <w:vAlign w:val="center"/>
            <w:hideMark/>
          </w:tcPr>
          <w:p w14:paraId="0F0FE35D" w14:textId="6919B4BD" w:rsidR="002A7BD1" w:rsidRPr="008A3981" w:rsidRDefault="002A7BD1" w:rsidP="00B44B30">
            <w:pPr>
              <w:jc w:val="center"/>
              <w:rPr>
                <w:rFonts w:ascii="Arial" w:hAnsi="Arial" w:cs="Arial"/>
                <w:b/>
                <w:bCs/>
                <w:sz w:val="16"/>
                <w:szCs w:val="16"/>
                <w:lang w:eastAsia="es-AR"/>
              </w:rPr>
            </w:pPr>
            <w:proofErr w:type="spellStart"/>
            <w:r>
              <w:rPr>
                <w:rFonts w:ascii="Arial" w:hAnsi="Arial" w:cs="Arial"/>
                <w:b/>
                <w:bCs/>
                <w:sz w:val="16"/>
                <w:szCs w:val="16"/>
                <w:lang w:eastAsia="es-AR"/>
              </w:rPr>
              <w:t>Currency</w:t>
            </w:r>
            <w:proofErr w:type="spellEnd"/>
          </w:p>
        </w:tc>
        <w:tc>
          <w:tcPr>
            <w:tcW w:w="1227" w:type="dxa"/>
            <w:tcBorders>
              <w:top w:val="double" w:sz="6" w:space="0" w:color="auto"/>
              <w:left w:val="nil"/>
              <w:bottom w:val="nil"/>
              <w:right w:val="single" w:sz="4" w:space="0" w:color="auto"/>
            </w:tcBorders>
            <w:vAlign w:val="center"/>
            <w:hideMark/>
          </w:tcPr>
          <w:p w14:paraId="6F92159D" w14:textId="679FB678" w:rsidR="002A7BD1" w:rsidRPr="008A3981" w:rsidRDefault="007470B7" w:rsidP="00B44B30">
            <w:pPr>
              <w:jc w:val="center"/>
              <w:rPr>
                <w:rFonts w:ascii="Arial" w:hAnsi="Arial" w:cs="Arial"/>
                <w:b/>
                <w:bCs/>
                <w:sz w:val="16"/>
                <w:szCs w:val="16"/>
                <w:lang w:eastAsia="es-AR"/>
              </w:rPr>
            </w:pPr>
            <w:r>
              <w:rPr>
                <w:rFonts w:ascii="Arial" w:hAnsi="Arial" w:cs="Arial"/>
                <w:b/>
                <w:bCs/>
                <w:sz w:val="16"/>
                <w:szCs w:val="16"/>
                <w:lang w:eastAsia="es-AR"/>
              </w:rPr>
              <w:t xml:space="preserve">Principal Nominal </w:t>
            </w:r>
            <w:proofErr w:type="spellStart"/>
            <w:r>
              <w:rPr>
                <w:rFonts w:ascii="Arial" w:hAnsi="Arial" w:cs="Arial"/>
                <w:b/>
                <w:bCs/>
                <w:sz w:val="16"/>
                <w:szCs w:val="16"/>
                <w:lang w:eastAsia="es-AR"/>
              </w:rPr>
              <w:t>Amount</w:t>
            </w:r>
            <w:proofErr w:type="spellEnd"/>
          </w:p>
        </w:tc>
        <w:tc>
          <w:tcPr>
            <w:tcW w:w="991" w:type="dxa"/>
            <w:vMerge w:val="restart"/>
            <w:tcBorders>
              <w:top w:val="double" w:sz="6" w:space="0" w:color="auto"/>
              <w:left w:val="single" w:sz="4" w:space="0" w:color="auto"/>
              <w:right w:val="single" w:sz="4" w:space="0" w:color="auto"/>
            </w:tcBorders>
            <w:vAlign w:val="center"/>
          </w:tcPr>
          <w:p w14:paraId="52541607" w14:textId="748C6A08" w:rsidR="002A7BD1" w:rsidRPr="008A3981" w:rsidRDefault="002A7BD1" w:rsidP="00B44B30">
            <w:pPr>
              <w:jc w:val="center"/>
              <w:rPr>
                <w:rFonts w:ascii="Arial" w:hAnsi="Arial" w:cs="Arial"/>
                <w:b/>
                <w:bCs/>
                <w:sz w:val="16"/>
                <w:szCs w:val="16"/>
                <w:lang w:eastAsia="es-AR"/>
              </w:rPr>
            </w:pPr>
            <w:proofErr w:type="spellStart"/>
            <w:r>
              <w:rPr>
                <w:rFonts w:ascii="Arial" w:hAnsi="Arial" w:cs="Arial"/>
                <w:b/>
                <w:bCs/>
                <w:sz w:val="16"/>
                <w:szCs w:val="16"/>
                <w:lang w:eastAsia="es-AR"/>
              </w:rPr>
              <w:t>Issue</w:t>
            </w:r>
            <w:proofErr w:type="spellEnd"/>
            <w:r>
              <w:rPr>
                <w:rFonts w:ascii="Arial" w:hAnsi="Arial" w:cs="Arial"/>
                <w:b/>
                <w:bCs/>
                <w:sz w:val="16"/>
                <w:szCs w:val="16"/>
                <w:lang w:eastAsia="es-AR"/>
              </w:rPr>
              <w:t xml:space="preserve"> Date</w:t>
            </w:r>
          </w:p>
        </w:tc>
        <w:tc>
          <w:tcPr>
            <w:tcW w:w="1074" w:type="dxa"/>
            <w:vMerge w:val="restart"/>
            <w:tcBorders>
              <w:top w:val="double" w:sz="6" w:space="0" w:color="auto"/>
              <w:left w:val="single" w:sz="4" w:space="0" w:color="auto"/>
              <w:bottom w:val="single" w:sz="4" w:space="0" w:color="auto"/>
              <w:right w:val="single" w:sz="4" w:space="0" w:color="auto"/>
            </w:tcBorders>
            <w:vAlign w:val="center"/>
            <w:hideMark/>
          </w:tcPr>
          <w:p w14:paraId="7EDDFD41" w14:textId="09727A76" w:rsidR="002A7BD1" w:rsidRPr="008A3981" w:rsidRDefault="002A7BD1" w:rsidP="00B44B30">
            <w:pPr>
              <w:jc w:val="center"/>
              <w:rPr>
                <w:rFonts w:ascii="Arial" w:hAnsi="Arial" w:cs="Arial"/>
                <w:b/>
                <w:bCs/>
                <w:sz w:val="16"/>
                <w:szCs w:val="16"/>
                <w:lang w:eastAsia="es-AR"/>
              </w:rPr>
            </w:pPr>
            <w:proofErr w:type="spellStart"/>
            <w:r>
              <w:rPr>
                <w:rFonts w:ascii="Arial" w:hAnsi="Arial" w:cs="Arial"/>
                <w:b/>
                <w:bCs/>
                <w:sz w:val="16"/>
                <w:szCs w:val="16"/>
                <w:lang w:eastAsia="es-AR"/>
              </w:rPr>
              <w:t>Maturity</w:t>
            </w:r>
            <w:proofErr w:type="spellEnd"/>
            <w:r>
              <w:rPr>
                <w:rFonts w:ascii="Arial" w:hAnsi="Arial" w:cs="Arial"/>
                <w:b/>
                <w:bCs/>
                <w:sz w:val="16"/>
                <w:szCs w:val="16"/>
                <w:lang w:eastAsia="es-AR"/>
              </w:rPr>
              <w:t xml:space="preserve"> Date</w:t>
            </w:r>
          </w:p>
        </w:tc>
        <w:tc>
          <w:tcPr>
            <w:tcW w:w="1559" w:type="dxa"/>
            <w:vMerge w:val="restart"/>
            <w:tcBorders>
              <w:top w:val="double" w:sz="6" w:space="0" w:color="auto"/>
              <w:left w:val="single" w:sz="4" w:space="0" w:color="auto"/>
              <w:bottom w:val="single" w:sz="4" w:space="0" w:color="auto"/>
              <w:right w:val="single" w:sz="4" w:space="0" w:color="auto"/>
            </w:tcBorders>
            <w:vAlign w:val="center"/>
            <w:hideMark/>
          </w:tcPr>
          <w:p w14:paraId="2549AA57" w14:textId="6E6ECC8B" w:rsidR="002A7BD1" w:rsidRPr="008A3981" w:rsidRDefault="002A7BD1" w:rsidP="00B44B30">
            <w:pPr>
              <w:jc w:val="center"/>
              <w:rPr>
                <w:rFonts w:ascii="Arial" w:hAnsi="Arial" w:cs="Arial"/>
                <w:b/>
                <w:bCs/>
                <w:sz w:val="16"/>
                <w:szCs w:val="16"/>
                <w:lang w:eastAsia="es-AR"/>
              </w:rPr>
            </w:pPr>
            <w:r>
              <w:rPr>
                <w:rFonts w:ascii="Arial" w:hAnsi="Arial" w:cs="Arial"/>
                <w:b/>
                <w:bCs/>
                <w:sz w:val="16"/>
                <w:szCs w:val="16"/>
                <w:lang w:eastAsia="es-AR"/>
              </w:rPr>
              <w:t xml:space="preserve">Principal </w:t>
            </w:r>
            <w:proofErr w:type="spellStart"/>
            <w:r>
              <w:rPr>
                <w:rFonts w:ascii="Arial" w:hAnsi="Arial" w:cs="Arial"/>
                <w:b/>
                <w:bCs/>
                <w:sz w:val="16"/>
                <w:szCs w:val="16"/>
                <w:lang w:eastAsia="es-AR"/>
              </w:rPr>
              <w:t>Amortization</w:t>
            </w:r>
            <w:proofErr w:type="spellEnd"/>
          </w:p>
        </w:tc>
        <w:tc>
          <w:tcPr>
            <w:tcW w:w="1020" w:type="dxa"/>
            <w:vMerge w:val="restart"/>
            <w:tcBorders>
              <w:top w:val="double" w:sz="6" w:space="0" w:color="auto"/>
              <w:left w:val="single" w:sz="4" w:space="0" w:color="auto"/>
              <w:bottom w:val="single" w:sz="4" w:space="0" w:color="auto"/>
              <w:right w:val="single" w:sz="4" w:space="0" w:color="auto"/>
            </w:tcBorders>
            <w:vAlign w:val="center"/>
            <w:hideMark/>
          </w:tcPr>
          <w:p w14:paraId="16188BAC" w14:textId="36AEF749" w:rsidR="002A7BD1" w:rsidRPr="008A3981" w:rsidRDefault="002A7BD1" w:rsidP="00B44B30">
            <w:pPr>
              <w:jc w:val="center"/>
              <w:rPr>
                <w:rFonts w:ascii="Arial" w:hAnsi="Arial" w:cs="Arial"/>
                <w:b/>
                <w:bCs/>
                <w:sz w:val="16"/>
                <w:szCs w:val="16"/>
                <w:lang w:eastAsia="es-AR"/>
              </w:rPr>
            </w:pPr>
            <w:proofErr w:type="spellStart"/>
            <w:r>
              <w:rPr>
                <w:rFonts w:ascii="Arial" w:hAnsi="Arial" w:cs="Arial"/>
                <w:b/>
                <w:bCs/>
                <w:sz w:val="16"/>
                <w:szCs w:val="16"/>
                <w:lang w:eastAsia="es-AR"/>
              </w:rPr>
              <w:t>Interest</w:t>
            </w:r>
            <w:proofErr w:type="spellEnd"/>
            <w:r>
              <w:rPr>
                <w:rFonts w:ascii="Arial" w:hAnsi="Arial" w:cs="Arial"/>
                <w:b/>
                <w:bCs/>
                <w:sz w:val="16"/>
                <w:szCs w:val="16"/>
                <w:lang w:eastAsia="es-AR"/>
              </w:rPr>
              <w:t xml:space="preserve"> </w:t>
            </w:r>
            <w:proofErr w:type="spellStart"/>
            <w:r>
              <w:rPr>
                <w:rFonts w:ascii="Arial" w:hAnsi="Arial" w:cs="Arial"/>
                <w:b/>
                <w:bCs/>
                <w:sz w:val="16"/>
                <w:szCs w:val="16"/>
                <w:lang w:eastAsia="es-AR"/>
              </w:rPr>
              <w:t>Rate</w:t>
            </w:r>
            <w:proofErr w:type="spellEnd"/>
          </w:p>
        </w:tc>
        <w:tc>
          <w:tcPr>
            <w:tcW w:w="0" w:type="auto"/>
            <w:vMerge w:val="restart"/>
            <w:tcBorders>
              <w:top w:val="double" w:sz="6" w:space="0" w:color="auto"/>
              <w:left w:val="single" w:sz="4" w:space="0" w:color="auto"/>
              <w:bottom w:val="single" w:sz="4" w:space="0" w:color="auto"/>
              <w:right w:val="double" w:sz="6" w:space="0" w:color="auto"/>
            </w:tcBorders>
            <w:vAlign w:val="center"/>
            <w:hideMark/>
          </w:tcPr>
          <w:p w14:paraId="46B30493" w14:textId="34184A82" w:rsidR="002A7BD1" w:rsidRPr="008A3981" w:rsidRDefault="002A7BD1" w:rsidP="00B44B30">
            <w:pPr>
              <w:jc w:val="center"/>
              <w:rPr>
                <w:rFonts w:ascii="Arial" w:hAnsi="Arial" w:cs="Arial"/>
                <w:b/>
                <w:bCs/>
                <w:sz w:val="16"/>
                <w:szCs w:val="16"/>
                <w:lang w:eastAsia="es-AR"/>
              </w:rPr>
            </w:pPr>
            <w:proofErr w:type="spellStart"/>
            <w:r>
              <w:rPr>
                <w:rFonts w:ascii="Arial" w:hAnsi="Arial" w:cs="Arial"/>
                <w:b/>
                <w:bCs/>
                <w:sz w:val="16"/>
                <w:szCs w:val="16"/>
                <w:lang w:eastAsia="es-AR"/>
              </w:rPr>
              <w:t>Interest</w:t>
            </w:r>
            <w:proofErr w:type="spellEnd"/>
            <w:r>
              <w:rPr>
                <w:rFonts w:ascii="Arial" w:hAnsi="Arial" w:cs="Arial"/>
                <w:b/>
                <w:bCs/>
                <w:sz w:val="16"/>
                <w:szCs w:val="16"/>
                <w:lang w:eastAsia="es-AR"/>
              </w:rPr>
              <w:t xml:space="preserve"> </w:t>
            </w:r>
            <w:proofErr w:type="spellStart"/>
            <w:r>
              <w:rPr>
                <w:rFonts w:ascii="Arial" w:hAnsi="Arial" w:cs="Arial"/>
                <w:b/>
                <w:bCs/>
                <w:sz w:val="16"/>
                <w:szCs w:val="16"/>
                <w:lang w:eastAsia="es-AR"/>
              </w:rPr>
              <w:t>Payment</w:t>
            </w:r>
            <w:proofErr w:type="spellEnd"/>
          </w:p>
        </w:tc>
      </w:tr>
      <w:tr w:rsidR="002A7BD1" w:rsidRPr="008A3981" w14:paraId="2683CDC4" w14:textId="77777777" w:rsidTr="002A7BD1">
        <w:trPr>
          <w:trHeight w:val="494"/>
        </w:trPr>
        <w:tc>
          <w:tcPr>
            <w:tcW w:w="0" w:type="auto"/>
            <w:vMerge/>
            <w:tcBorders>
              <w:top w:val="double" w:sz="6" w:space="0" w:color="auto"/>
              <w:left w:val="double" w:sz="6" w:space="0" w:color="auto"/>
              <w:bottom w:val="single" w:sz="4" w:space="0" w:color="auto"/>
              <w:right w:val="single" w:sz="4" w:space="0" w:color="auto"/>
            </w:tcBorders>
            <w:vAlign w:val="center"/>
            <w:hideMark/>
          </w:tcPr>
          <w:p w14:paraId="4C53C113" w14:textId="77777777" w:rsidR="002A7BD1" w:rsidRPr="008A3981" w:rsidRDefault="002A7BD1" w:rsidP="00B44B30">
            <w:pPr>
              <w:rPr>
                <w:rFonts w:ascii="Arial" w:hAnsi="Arial" w:cs="Arial"/>
                <w:b/>
                <w:bCs/>
                <w:sz w:val="16"/>
                <w:szCs w:val="16"/>
                <w:lang w:eastAsia="es-AR"/>
              </w:rPr>
            </w:pPr>
          </w:p>
        </w:tc>
        <w:tc>
          <w:tcPr>
            <w:tcW w:w="0" w:type="auto"/>
            <w:vMerge/>
            <w:tcBorders>
              <w:top w:val="double" w:sz="6" w:space="0" w:color="auto"/>
              <w:left w:val="single" w:sz="4" w:space="0" w:color="auto"/>
              <w:bottom w:val="single" w:sz="4" w:space="0" w:color="auto"/>
              <w:right w:val="single" w:sz="4" w:space="0" w:color="auto"/>
            </w:tcBorders>
            <w:vAlign w:val="center"/>
            <w:hideMark/>
          </w:tcPr>
          <w:p w14:paraId="4422D7D5" w14:textId="77777777" w:rsidR="002A7BD1" w:rsidRPr="008A3981" w:rsidRDefault="002A7BD1" w:rsidP="00B44B30">
            <w:pPr>
              <w:rPr>
                <w:rFonts w:ascii="Arial" w:hAnsi="Arial" w:cs="Arial"/>
                <w:b/>
                <w:bCs/>
                <w:sz w:val="16"/>
                <w:szCs w:val="16"/>
                <w:lang w:eastAsia="es-AR"/>
              </w:rPr>
            </w:pPr>
          </w:p>
        </w:tc>
        <w:tc>
          <w:tcPr>
            <w:tcW w:w="1227" w:type="dxa"/>
            <w:tcBorders>
              <w:top w:val="nil"/>
              <w:left w:val="single" w:sz="4" w:space="0" w:color="auto"/>
              <w:bottom w:val="single" w:sz="4" w:space="0" w:color="auto"/>
              <w:right w:val="single" w:sz="4" w:space="0" w:color="auto"/>
            </w:tcBorders>
            <w:vAlign w:val="center"/>
            <w:hideMark/>
          </w:tcPr>
          <w:p w14:paraId="07BEEFBB" w14:textId="048A5528" w:rsidR="002A7BD1" w:rsidRPr="008A3981" w:rsidRDefault="002A7BD1" w:rsidP="00B44B30">
            <w:pPr>
              <w:jc w:val="center"/>
              <w:rPr>
                <w:rFonts w:ascii="Arial" w:hAnsi="Arial" w:cs="Arial"/>
                <w:b/>
                <w:bCs/>
                <w:sz w:val="16"/>
                <w:szCs w:val="16"/>
                <w:lang w:eastAsia="es-AR"/>
              </w:rPr>
            </w:pPr>
            <w:r w:rsidRPr="008A3981">
              <w:rPr>
                <w:rFonts w:ascii="Arial" w:hAnsi="Arial" w:cs="Arial"/>
                <w:b/>
                <w:bCs/>
                <w:sz w:val="16"/>
                <w:szCs w:val="16"/>
                <w:lang w:eastAsia="es-AR"/>
              </w:rPr>
              <w:t>(</w:t>
            </w:r>
            <w:r>
              <w:rPr>
                <w:rFonts w:ascii="Arial" w:hAnsi="Arial" w:cs="Arial"/>
                <w:b/>
                <w:bCs/>
                <w:sz w:val="16"/>
                <w:szCs w:val="16"/>
                <w:lang w:eastAsia="es-AR"/>
              </w:rPr>
              <w:t xml:space="preserve">in </w:t>
            </w:r>
            <w:proofErr w:type="spellStart"/>
            <w:r>
              <w:rPr>
                <w:rFonts w:ascii="Arial" w:hAnsi="Arial" w:cs="Arial"/>
                <w:b/>
                <w:bCs/>
                <w:sz w:val="16"/>
                <w:szCs w:val="16"/>
                <w:lang w:eastAsia="es-AR"/>
              </w:rPr>
              <w:t>million</w:t>
            </w:r>
            <w:r w:rsidR="0037040C">
              <w:rPr>
                <w:rFonts w:ascii="Arial" w:hAnsi="Arial" w:cs="Arial"/>
                <w:b/>
                <w:bCs/>
                <w:sz w:val="16"/>
                <w:szCs w:val="16"/>
                <w:lang w:eastAsia="es-AR"/>
              </w:rPr>
              <w:t>s</w:t>
            </w:r>
            <w:proofErr w:type="spellEnd"/>
            <w:r w:rsidRPr="008A3981">
              <w:rPr>
                <w:rFonts w:ascii="Arial" w:hAnsi="Arial" w:cs="Arial"/>
                <w:b/>
                <w:bCs/>
                <w:sz w:val="16"/>
                <w:szCs w:val="16"/>
                <w:lang w:eastAsia="es-AR"/>
              </w:rPr>
              <w:t>)</w:t>
            </w:r>
          </w:p>
        </w:tc>
        <w:tc>
          <w:tcPr>
            <w:tcW w:w="991" w:type="dxa"/>
            <w:vMerge/>
            <w:tcBorders>
              <w:left w:val="single" w:sz="4" w:space="0" w:color="auto"/>
              <w:bottom w:val="single" w:sz="4" w:space="0" w:color="auto"/>
              <w:right w:val="single" w:sz="4" w:space="0" w:color="auto"/>
            </w:tcBorders>
            <w:vAlign w:val="center"/>
          </w:tcPr>
          <w:p w14:paraId="42FF9B3F" w14:textId="77777777" w:rsidR="002A7BD1" w:rsidRPr="008A3981" w:rsidRDefault="002A7BD1" w:rsidP="00B44B30">
            <w:pPr>
              <w:rPr>
                <w:rFonts w:ascii="Arial" w:hAnsi="Arial" w:cs="Arial"/>
                <w:b/>
                <w:bCs/>
                <w:sz w:val="16"/>
                <w:szCs w:val="16"/>
                <w:lang w:eastAsia="es-AR"/>
              </w:rPr>
            </w:pPr>
          </w:p>
        </w:tc>
        <w:tc>
          <w:tcPr>
            <w:tcW w:w="1074" w:type="dxa"/>
            <w:vMerge/>
            <w:tcBorders>
              <w:top w:val="double" w:sz="6" w:space="0" w:color="auto"/>
              <w:left w:val="single" w:sz="4" w:space="0" w:color="auto"/>
              <w:bottom w:val="single" w:sz="4" w:space="0" w:color="auto"/>
              <w:right w:val="single" w:sz="4" w:space="0" w:color="auto"/>
            </w:tcBorders>
            <w:vAlign w:val="center"/>
            <w:hideMark/>
          </w:tcPr>
          <w:p w14:paraId="62F39035" w14:textId="77777777" w:rsidR="002A7BD1" w:rsidRPr="008A3981" w:rsidRDefault="002A7BD1" w:rsidP="00B44B30">
            <w:pPr>
              <w:rPr>
                <w:rFonts w:ascii="Arial" w:hAnsi="Arial" w:cs="Arial"/>
                <w:b/>
                <w:bCs/>
                <w:sz w:val="16"/>
                <w:szCs w:val="16"/>
                <w:lang w:eastAsia="es-AR"/>
              </w:rPr>
            </w:pPr>
          </w:p>
        </w:tc>
        <w:tc>
          <w:tcPr>
            <w:tcW w:w="1559" w:type="dxa"/>
            <w:vMerge/>
            <w:tcBorders>
              <w:top w:val="double" w:sz="6" w:space="0" w:color="auto"/>
              <w:left w:val="single" w:sz="4" w:space="0" w:color="auto"/>
              <w:bottom w:val="single" w:sz="4" w:space="0" w:color="auto"/>
              <w:right w:val="single" w:sz="4" w:space="0" w:color="auto"/>
            </w:tcBorders>
            <w:vAlign w:val="center"/>
            <w:hideMark/>
          </w:tcPr>
          <w:p w14:paraId="34F036AB" w14:textId="77777777" w:rsidR="002A7BD1" w:rsidRPr="008A3981" w:rsidRDefault="002A7BD1" w:rsidP="00B44B30">
            <w:pPr>
              <w:rPr>
                <w:rFonts w:ascii="Arial" w:hAnsi="Arial" w:cs="Arial"/>
                <w:b/>
                <w:bCs/>
                <w:sz w:val="16"/>
                <w:szCs w:val="16"/>
                <w:lang w:eastAsia="es-AR"/>
              </w:rPr>
            </w:pPr>
          </w:p>
        </w:tc>
        <w:tc>
          <w:tcPr>
            <w:tcW w:w="1020" w:type="dxa"/>
            <w:vMerge/>
            <w:tcBorders>
              <w:top w:val="double" w:sz="6" w:space="0" w:color="auto"/>
              <w:left w:val="single" w:sz="4" w:space="0" w:color="auto"/>
              <w:bottom w:val="single" w:sz="4" w:space="0" w:color="auto"/>
              <w:right w:val="single" w:sz="4" w:space="0" w:color="auto"/>
            </w:tcBorders>
            <w:vAlign w:val="center"/>
            <w:hideMark/>
          </w:tcPr>
          <w:p w14:paraId="7E6E09CC" w14:textId="77777777" w:rsidR="002A7BD1" w:rsidRPr="008A3981" w:rsidRDefault="002A7BD1" w:rsidP="00B44B30">
            <w:pPr>
              <w:rPr>
                <w:rFonts w:ascii="Arial" w:hAnsi="Arial" w:cs="Arial"/>
                <w:b/>
                <w:bCs/>
                <w:sz w:val="16"/>
                <w:szCs w:val="16"/>
                <w:lang w:eastAsia="es-AR"/>
              </w:rPr>
            </w:pPr>
          </w:p>
        </w:tc>
        <w:tc>
          <w:tcPr>
            <w:tcW w:w="0" w:type="auto"/>
            <w:vMerge/>
            <w:tcBorders>
              <w:top w:val="double" w:sz="6" w:space="0" w:color="auto"/>
              <w:left w:val="single" w:sz="4" w:space="0" w:color="auto"/>
              <w:bottom w:val="single" w:sz="4" w:space="0" w:color="auto"/>
              <w:right w:val="double" w:sz="6" w:space="0" w:color="auto"/>
            </w:tcBorders>
            <w:vAlign w:val="center"/>
            <w:hideMark/>
          </w:tcPr>
          <w:p w14:paraId="5E7AC27B" w14:textId="77777777" w:rsidR="002A7BD1" w:rsidRPr="008A3981" w:rsidRDefault="002A7BD1" w:rsidP="00B44B30">
            <w:pPr>
              <w:rPr>
                <w:rFonts w:ascii="Arial" w:hAnsi="Arial" w:cs="Arial"/>
                <w:b/>
                <w:bCs/>
                <w:sz w:val="16"/>
                <w:szCs w:val="16"/>
                <w:lang w:eastAsia="es-AR"/>
              </w:rPr>
            </w:pPr>
          </w:p>
        </w:tc>
      </w:tr>
      <w:tr w:rsidR="002A7BD1" w:rsidRPr="008A3981" w14:paraId="34BF8F9F" w14:textId="77777777" w:rsidTr="002A7BD1">
        <w:trPr>
          <w:trHeight w:val="975"/>
        </w:trPr>
        <w:tc>
          <w:tcPr>
            <w:tcW w:w="0" w:type="auto"/>
            <w:tcBorders>
              <w:top w:val="nil"/>
              <w:left w:val="double" w:sz="6" w:space="0" w:color="auto"/>
              <w:bottom w:val="double" w:sz="6" w:space="0" w:color="auto"/>
              <w:right w:val="single" w:sz="4" w:space="0" w:color="auto"/>
            </w:tcBorders>
            <w:vAlign w:val="center"/>
          </w:tcPr>
          <w:p w14:paraId="29798CF4" w14:textId="77777777" w:rsidR="002A7BD1" w:rsidRPr="008A3981" w:rsidRDefault="002A7BD1" w:rsidP="00B44B30">
            <w:pPr>
              <w:jc w:val="center"/>
              <w:rPr>
                <w:rFonts w:ascii="Arial" w:hAnsi="Arial" w:cs="Arial"/>
                <w:sz w:val="16"/>
                <w:szCs w:val="16"/>
                <w:lang w:val="en-US" w:eastAsia="es-AR"/>
              </w:rPr>
            </w:pPr>
            <w:r w:rsidRPr="008A3981">
              <w:rPr>
                <w:rFonts w:ascii="Arial" w:hAnsi="Arial" w:cs="Arial"/>
                <w:sz w:val="16"/>
                <w:szCs w:val="16"/>
                <w:lang w:val="en-US" w:eastAsia="es-AR"/>
              </w:rPr>
              <w:t>24</w:t>
            </w:r>
          </w:p>
        </w:tc>
        <w:tc>
          <w:tcPr>
            <w:tcW w:w="0" w:type="auto"/>
            <w:tcBorders>
              <w:top w:val="nil"/>
              <w:left w:val="nil"/>
              <w:bottom w:val="double" w:sz="6" w:space="0" w:color="auto"/>
              <w:right w:val="single" w:sz="4" w:space="0" w:color="auto"/>
            </w:tcBorders>
            <w:noWrap/>
            <w:vAlign w:val="center"/>
          </w:tcPr>
          <w:p w14:paraId="372141AF" w14:textId="77777777" w:rsidR="002A7BD1" w:rsidRPr="008A3981" w:rsidRDefault="002A7BD1" w:rsidP="00B44B30">
            <w:pPr>
              <w:jc w:val="center"/>
              <w:rPr>
                <w:rFonts w:ascii="Arial" w:hAnsi="Arial" w:cs="Arial"/>
                <w:sz w:val="16"/>
                <w:szCs w:val="16"/>
                <w:lang w:eastAsia="es-AR"/>
              </w:rPr>
            </w:pPr>
            <w:r w:rsidRPr="008A3981">
              <w:rPr>
                <w:rFonts w:ascii="Arial" w:hAnsi="Arial" w:cs="Arial"/>
                <w:sz w:val="16"/>
                <w:szCs w:val="16"/>
                <w:lang w:eastAsia="es-AR"/>
              </w:rPr>
              <w:t>US$</w:t>
            </w:r>
          </w:p>
        </w:tc>
        <w:tc>
          <w:tcPr>
            <w:tcW w:w="1227" w:type="dxa"/>
            <w:tcBorders>
              <w:top w:val="nil"/>
              <w:left w:val="nil"/>
              <w:bottom w:val="double" w:sz="6" w:space="0" w:color="auto"/>
              <w:right w:val="single" w:sz="4" w:space="0" w:color="auto"/>
            </w:tcBorders>
            <w:vAlign w:val="center"/>
          </w:tcPr>
          <w:p w14:paraId="11E1B6A3" w14:textId="77777777" w:rsidR="002A7BD1" w:rsidRPr="008A3981" w:rsidRDefault="002A7BD1" w:rsidP="00B44B30">
            <w:pPr>
              <w:jc w:val="center"/>
              <w:rPr>
                <w:rFonts w:ascii="Arial" w:hAnsi="Arial" w:cs="Arial"/>
                <w:sz w:val="16"/>
                <w:szCs w:val="16"/>
                <w:lang w:eastAsia="es-AR"/>
              </w:rPr>
            </w:pPr>
            <w:r w:rsidRPr="008A3981">
              <w:rPr>
                <w:rFonts w:ascii="Arial" w:hAnsi="Arial" w:cs="Arial"/>
                <w:sz w:val="16"/>
                <w:szCs w:val="16"/>
                <w:lang w:eastAsia="es-AR"/>
              </w:rPr>
              <w:t xml:space="preserve">800 </w:t>
            </w:r>
          </w:p>
        </w:tc>
        <w:tc>
          <w:tcPr>
            <w:tcW w:w="991" w:type="dxa"/>
            <w:tcBorders>
              <w:top w:val="nil"/>
              <w:left w:val="nil"/>
              <w:bottom w:val="double" w:sz="6" w:space="0" w:color="auto"/>
              <w:right w:val="single" w:sz="4" w:space="0" w:color="auto"/>
            </w:tcBorders>
            <w:vAlign w:val="center"/>
          </w:tcPr>
          <w:p w14:paraId="1B283973" w14:textId="6066B406" w:rsidR="002A7BD1" w:rsidRPr="008A3981" w:rsidRDefault="002A7BD1" w:rsidP="00B44B30">
            <w:pPr>
              <w:jc w:val="center"/>
              <w:rPr>
                <w:rFonts w:ascii="Arial" w:hAnsi="Arial" w:cs="Arial"/>
                <w:sz w:val="16"/>
                <w:szCs w:val="16"/>
                <w:lang w:eastAsia="es-AR"/>
              </w:rPr>
            </w:pPr>
            <w:r>
              <w:rPr>
                <w:rFonts w:ascii="Arial" w:hAnsi="Arial" w:cs="Arial"/>
                <w:sz w:val="16"/>
                <w:szCs w:val="16"/>
                <w:lang w:eastAsia="es-AR"/>
              </w:rPr>
              <w:t>May 28,</w:t>
            </w:r>
            <w:r w:rsidRPr="008A3981">
              <w:rPr>
                <w:rFonts w:ascii="Arial" w:hAnsi="Arial" w:cs="Arial"/>
                <w:sz w:val="16"/>
                <w:szCs w:val="16"/>
                <w:lang w:eastAsia="es-AR"/>
              </w:rPr>
              <w:t xml:space="preserve"> 2025</w:t>
            </w:r>
          </w:p>
        </w:tc>
        <w:tc>
          <w:tcPr>
            <w:tcW w:w="1074" w:type="dxa"/>
            <w:tcBorders>
              <w:top w:val="nil"/>
              <w:left w:val="single" w:sz="4" w:space="0" w:color="auto"/>
              <w:bottom w:val="double" w:sz="6" w:space="0" w:color="auto"/>
              <w:right w:val="single" w:sz="4" w:space="0" w:color="auto"/>
            </w:tcBorders>
            <w:vAlign w:val="center"/>
          </w:tcPr>
          <w:p w14:paraId="7130A706" w14:textId="6DFB75E3" w:rsidR="002A7BD1" w:rsidRPr="008A3981" w:rsidRDefault="002A7BD1" w:rsidP="00B44B30">
            <w:pPr>
              <w:jc w:val="center"/>
              <w:rPr>
                <w:rFonts w:ascii="Arial" w:hAnsi="Arial" w:cs="Arial"/>
                <w:sz w:val="16"/>
                <w:szCs w:val="16"/>
                <w:lang w:eastAsia="es-AR"/>
              </w:rPr>
            </w:pPr>
            <w:r>
              <w:rPr>
                <w:rFonts w:ascii="Arial" w:hAnsi="Arial" w:cs="Arial"/>
                <w:sz w:val="16"/>
                <w:szCs w:val="16"/>
                <w:lang w:eastAsia="es-AR"/>
              </w:rPr>
              <w:t>May 28,</w:t>
            </w:r>
            <w:r w:rsidRPr="008A3981">
              <w:rPr>
                <w:rFonts w:ascii="Arial" w:hAnsi="Arial" w:cs="Arial"/>
                <w:sz w:val="16"/>
                <w:szCs w:val="16"/>
                <w:lang w:eastAsia="es-AR"/>
              </w:rPr>
              <w:t xml:space="preserve"> 2033</w:t>
            </w:r>
          </w:p>
        </w:tc>
        <w:tc>
          <w:tcPr>
            <w:tcW w:w="1559" w:type="dxa"/>
            <w:tcBorders>
              <w:top w:val="nil"/>
              <w:left w:val="nil"/>
              <w:bottom w:val="double" w:sz="6" w:space="0" w:color="auto"/>
              <w:right w:val="single" w:sz="4" w:space="0" w:color="auto"/>
            </w:tcBorders>
            <w:vAlign w:val="center"/>
          </w:tcPr>
          <w:p w14:paraId="79F0CF99" w14:textId="77777777" w:rsidR="002A7BD1" w:rsidRDefault="002A7BD1" w:rsidP="00B44B30">
            <w:pPr>
              <w:jc w:val="center"/>
              <w:rPr>
                <w:rFonts w:ascii="Arial" w:hAnsi="Arial" w:cs="Arial"/>
                <w:color w:val="000000"/>
                <w:sz w:val="16"/>
                <w:szCs w:val="16"/>
                <w:lang w:eastAsia="es-AR"/>
              </w:rPr>
            </w:pPr>
            <w:r w:rsidRPr="002A7BD1">
              <w:rPr>
                <w:rFonts w:ascii="Arial" w:hAnsi="Arial" w:cs="Arial"/>
                <w:color w:val="000000"/>
                <w:sz w:val="16"/>
                <w:szCs w:val="16"/>
                <w:lang w:eastAsia="es-AR"/>
              </w:rPr>
              <w:t xml:space="preserve">50% </w:t>
            </w:r>
            <w:proofErr w:type="spellStart"/>
            <w:r w:rsidRPr="002A7BD1">
              <w:rPr>
                <w:rFonts w:ascii="Arial" w:hAnsi="Arial" w:cs="Arial"/>
                <w:color w:val="000000"/>
                <w:sz w:val="16"/>
                <w:szCs w:val="16"/>
                <w:lang w:eastAsia="es-AR"/>
              </w:rPr>
              <w:t>on</w:t>
            </w:r>
            <w:proofErr w:type="spellEnd"/>
            <w:r w:rsidRPr="002A7BD1">
              <w:rPr>
                <w:rFonts w:ascii="Arial" w:hAnsi="Arial" w:cs="Arial"/>
                <w:color w:val="000000"/>
                <w:sz w:val="16"/>
                <w:szCs w:val="16"/>
                <w:lang w:eastAsia="es-AR"/>
              </w:rPr>
              <w:t xml:space="preserve"> May 28, 2032</w:t>
            </w:r>
          </w:p>
          <w:p w14:paraId="5FF5CEF0" w14:textId="7E6DB1B4" w:rsidR="002A7BD1" w:rsidRPr="008A3981" w:rsidRDefault="002A7BD1" w:rsidP="00B44B30">
            <w:pPr>
              <w:jc w:val="center"/>
              <w:rPr>
                <w:rFonts w:ascii="Arial" w:hAnsi="Arial" w:cs="Arial"/>
                <w:sz w:val="16"/>
                <w:szCs w:val="16"/>
                <w:lang w:eastAsia="es-AR"/>
              </w:rPr>
            </w:pPr>
            <w:r w:rsidRPr="002A7BD1">
              <w:rPr>
                <w:rFonts w:ascii="Arial" w:hAnsi="Arial" w:cs="Arial"/>
                <w:color w:val="000000"/>
                <w:sz w:val="16"/>
                <w:szCs w:val="16"/>
                <w:lang w:eastAsia="es-AR"/>
              </w:rPr>
              <w:t xml:space="preserve">50% </w:t>
            </w:r>
            <w:proofErr w:type="spellStart"/>
            <w:r w:rsidRPr="002A7BD1">
              <w:rPr>
                <w:rFonts w:ascii="Arial" w:hAnsi="Arial" w:cs="Arial"/>
                <w:color w:val="000000"/>
                <w:sz w:val="16"/>
                <w:szCs w:val="16"/>
                <w:lang w:eastAsia="es-AR"/>
              </w:rPr>
              <w:t>on</w:t>
            </w:r>
            <w:proofErr w:type="spellEnd"/>
            <w:r w:rsidRPr="002A7BD1">
              <w:rPr>
                <w:rFonts w:ascii="Arial" w:hAnsi="Arial" w:cs="Arial"/>
                <w:color w:val="000000"/>
                <w:sz w:val="16"/>
                <w:szCs w:val="16"/>
                <w:lang w:eastAsia="es-AR"/>
              </w:rPr>
              <w:t xml:space="preserve"> May 28, 203</w:t>
            </w:r>
            <w:r>
              <w:rPr>
                <w:rFonts w:ascii="Arial" w:hAnsi="Arial" w:cs="Arial"/>
                <w:color w:val="000000"/>
                <w:sz w:val="16"/>
                <w:szCs w:val="16"/>
                <w:lang w:eastAsia="es-AR"/>
              </w:rPr>
              <w:t>3</w:t>
            </w:r>
          </w:p>
        </w:tc>
        <w:tc>
          <w:tcPr>
            <w:tcW w:w="1020" w:type="dxa"/>
            <w:tcBorders>
              <w:top w:val="nil"/>
              <w:left w:val="nil"/>
              <w:bottom w:val="double" w:sz="6" w:space="0" w:color="auto"/>
              <w:right w:val="single" w:sz="4" w:space="0" w:color="auto"/>
            </w:tcBorders>
            <w:vAlign w:val="center"/>
          </w:tcPr>
          <w:p w14:paraId="7410B051" w14:textId="77777777" w:rsidR="002A7BD1" w:rsidRDefault="002A7BD1" w:rsidP="00B44B30">
            <w:pPr>
              <w:jc w:val="center"/>
              <w:rPr>
                <w:rFonts w:ascii="Arial" w:hAnsi="Arial" w:cs="Arial"/>
                <w:sz w:val="16"/>
                <w:szCs w:val="16"/>
                <w:lang w:eastAsia="es-AR"/>
              </w:rPr>
            </w:pPr>
            <w:r w:rsidRPr="008A3981">
              <w:rPr>
                <w:rFonts w:ascii="Arial" w:hAnsi="Arial" w:cs="Arial"/>
                <w:sz w:val="16"/>
                <w:szCs w:val="16"/>
                <w:lang w:eastAsia="es-AR"/>
              </w:rPr>
              <w:t>9,</w:t>
            </w:r>
            <w:r>
              <w:rPr>
                <w:rFonts w:ascii="Arial" w:hAnsi="Arial" w:cs="Arial"/>
                <w:sz w:val="16"/>
                <w:szCs w:val="16"/>
                <w:lang w:eastAsia="es-AR"/>
              </w:rPr>
              <w:t>25</w:t>
            </w:r>
            <w:r w:rsidRPr="008A3981">
              <w:rPr>
                <w:rFonts w:ascii="Arial" w:hAnsi="Arial" w:cs="Arial"/>
                <w:sz w:val="16"/>
                <w:szCs w:val="16"/>
                <w:lang w:eastAsia="es-AR"/>
              </w:rPr>
              <w:t>%</w:t>
            </w:r>
          </w:p>
          <w:p w14:paraId="3F48F92E" w14:textId="4D7588D9" w:rsidR="002A7BD1" w:rsidRPr="008A3981" w:rsidRDefault="002A7BD1" w:rsidP="00B44B30">
            <w:pPr>
              <w:jc w:val="center"/>
              <w:rPr>
                <w:rFonts w:ascii="Arial" w:hAnsi="Arial" w:cs="Arial"/>
                <w:sz w:val="16"/>
                <w:szCs w:val="16"/>
                <w:lang w:eastAsia="es-AR"/>
              </w:rPr>
            </w:pPr>
            <w:r>
              <w:rPr>
                <w:rFonts w:ascii="Arial" w:hAnsi="Arial" w:cs="Arial"/>
                <w:sz w:val="16"/>
                <w:szCs w:val="16"/>
                <w:lang w:eastAsia="es-AR"/>
              </w:rPr>
              <w:t xml:space="preserve">(9,5% </w:t>
            </w:r>
            <w:proofErr w:type="spellStart"/>
            <w:r>
              <w:rPr>
                <w:rFonts w:ascii="Arial" w:hAnsi="Arial" w:cs="Arial"/>
                <w:sz w:val="16"/>
                <w:szCs w:val="16"/>
                <w:lang w:eastAsia="es-AR"/>
              </w:rPr>
              <w:t>Yield</w:t>
            </w:r>
            <w:proofErr w:type="spellEnd"/>
            <w:r>
              <w:rPr>
                <w:rFonts w:ascii="Arial" w:hAnsi="Arial" w:cs="Arial"/>
                <w:sz w:val="16"/>
                <w:szCs w:val="16"/>
                <w:lang w:eastAsia="es-AR"/>
              </w:rPr>
              <w:t>*)</w:t>
            </w:r>
          </w:p>
        </w:tc>
        <w:tc>
          <w:tcPr>
            <w:tcW w:w="0" w:type="auto"/>
            <w:tcBorders>
              <w:top w:val="nil"/>
              <w:left w:val="nil"/>
              <w:bottom w:val="double" w:sz="6" w:space="0" w:color="auto"/>
              <w:right w:val="double" w:sz="6" w:space="0" w:color="auto"/>
            </w:tcBorders>
            <w:vAlign w:val="center"/>
          </w:tcPr>
          <w:p w14:paraId="6D8C26F6" w14:textId="67BB53A0" w:rsidR="002A7BD1" w:rsidRPr="008A3981" w:rsidRDefault="002A7BD1" w:rsidP="00B44B30">
            <w:pPr>
              <w:jc w:val="center"/>
              <w:rPr>
                <w:rFonts w:ascii="Arial" w:hAnsi="Arial" w:cs="Arial"/>
                <w:sz w:val="16"/>
                <w:szCs w:val="16"/>
                <w:lang w:eastAsia="es-AR"/>
              </w:rPr>
            </w:pPr>
            <w:proofErr w:type="spellStart"/>
            <w:r w:rsidRPr="008A3981">
              <w:rPr>
                <w:rFonts w:ascii="Arial" w:hAnsi="Arial" w:cs="Arial"/>
                <w:sz w:val="16"/>
                <w:szCs w:val="16"/>
                <w:lang w:eastAsia="es-AR"/>
              </w:rPr>
              <w:t>S</w:t>
            </w:r>
            <w:r>
              <w:rPr>
                <w:rFonts w:ascii="Arial" w:hAnsi="Arial" w:cs="Arial"/>
                <w:sz w:val="16"/>
                <w:szCs w:val="16"/>
                <w:lang w:eastAsia="es-AR"/>
              </w:rPr>
              <w:t>emiannual</w:t>
            </w:r>
            <w:proofErr w:type="spellEnd"/>
          </w:p>
        </w:tc>
      </w:tr>
    </w:tbl>
    <w:p w14:paraId="33F5A21A" w14:textId="6819A052" w:rsidR="002A7BD1" w:rsidRPr="00D9710C" w:rsidRDefault="002A7BD1" w:rsidP="002A7BD1">
      <w:pPr>
        <w:tabs>
          <w:tab w:val="left" w:pos="1440"/>
          <w:tab w:val="left" w:pos="2160"/>
          <w:tab w:val="left" w:pos="2880"/>
          <w:tab w:val="left" w:pos="3600"/>
          <w:tab w:val="left" w:pos="4320"/>
          <w:tab w:val="left" w:pos="5040"/>
          <w:tab w:val="left" w:pos="5760"/>
          <w:tab w:val="left" w:pos="6804"/>
          <w:tab w:val="left" w:pos="7290"/>
          <w:tab w:val="left" w:pos="7513"/>
          <w:tab w:val="left" w:pos="7830"/>
          <w:tab w:val="left" w:pos="7920"/>
          <w:tab w:val="left" w:pos="8280"/>
          <w:tab w:val="left" w:pos="8640"/>
        </w:tabs>
        <w:spacing w:after="0" w:line="240" w:lineRule="auto"/>
        <w:ind w:right="1984" w:firstLine="709"/>
        <w:jc w:val="both"/>
        <w:rPr>
          <w:lang w:val="en-US"/>
        </w:rPr>
      </w:pPr>
      <w:r w:rsidRPr="00D9710C">
        <w:rPr>
          <w:rFonts w:ascii="Arial" w:hAnsi="Arial" w:cs="Arial"/>
          <w:sz w:val="14"/>
          <w:szCs w:val="14"/>
          <w:lang w:val="en-US"/>
        </w:rPr>
        <w:t>*</w:t>
      </w:r>
      <w:r w:rsidR="00D9710C" w:rsidRPr="00D9710C">
        <w:rPr>
          <w:rFonts w:ascii="Arial" w:hAnsi="Arial" w:cs="Arial"/>
          <w:sz w:val="14"/>
          <w:szCs w:val="14"/>
          <w:lang w:val="en-US"/>
        </w:rPr>
        <w:t xml:space="preserve"> Issue price: </w:t>
      </w:r>
      <w:r w:rsidR="00D9710C">
        <w:rPr>
          <w:rFonts w:ascii="Arial" w:hAnsi="Arial" w:cs="Arial"/>
          <w:sz w:val="14"/>
          <w:szCs w:val="14"/>
          <w:lang w:val="en-US"/>
        </w:rPr>
        <w:t>98.682</w:t>
      </w:r>
      <w:r w:rsidR="00D9710C" w:rsidRPr="00D9710C">
        <w:rPr>
          <w:rFonts w:ascii="Arial" w:hAnsi="Arial" w:cs="Arial"/>
          <w:sz w:val="14"/>
          <w:szCs w:val="14"/>
          <w:lang w:val="en-US"/>
        </w:rPr>
        <w:t>% of the Notes’ Nominal Value</w:t>
      </w:r>
    </w:p>
    <w:p w14:paraId="1D816BC0" w14:textId="78198A5C" w:rsidR="002A7BD1" w:rsidRPr="002A7BD1" w:rsidRDefault="002A7BD1" w:rsidP="002A7BD1">
      <w:pPr>
        <w:tabs>
          <w:tab w:val="left" w:pos="720"/>
          <w:tab w:val="left" w:pos="1440"/>
          <w:tab w:val="left" w:pos="2160"/>
          <w:tab w:val="left" w:pos="2880"/>
          <w:tab w:val="left" w:pos="3600"/>
          <w:tab w:val="left" w:pos="5760"/>
          <w:tab w:val="left" w:pos="6804"/>
          <w:tab w:val="left" w:pos="7290"/>
          <w:tab w:val="left" w:pos="7513"/>
          <w:tab w:val="left" w:pos="7830"/>
          <w:tab w:val="left" w:pos="7920"/>
          <w:tab w:val="left" w:pos="8280"/>
          <w:tab w:val="left" w:pos="8640"/>
        </w:tabs>
        <w:spacing w:before="240" w:after="120" w:line="280" w:lineRule="atLeast"/>
        <w:ind w:right="1984"/>
        <w:rPr>
          <w:rFonts w:ascii="Pulso" w:eastAsiaTheme="minorEastAsia" w:hAnsi="Pulso"/>
          <w:b/>
          <w:bCs/>
          <w:color w:val="B989F9"/>
          <w:sz w:val="28"/>
          <w:lang w:val="en-US" w:eastAsia="zh-CN"/>
        </w:rPr>
      </w:pPr>
      <w:r w:rsidRPr="002A7BD1">
        <w:rPr>
          <w:rFonts w:ascii="Pulso" w:eastAsiaTheme="minorEastAsia" w:hAnsi="Pulso"/>
          <w:b/>
          <w:bCs/>
          <w:color w:val="B989F9"/>
          <w:sz w:val="28"/>
          <w:lang w:val="en-US" w:eastAsia="zh-CN"/>
        </w:rPr>
        <w:t xml:space="preserve">   Bank Loans – TMA Acquisition</w:t>
      </w:r>
    </w:p>
    <w:p w14:paraId="1855F2BE" w14:textId="71B804CB" w:rsidR="002A7BD1" w:rsidRPr="006F6953" w:rsidRDefault="002A7BD1" w:rsidP="006F6953">
      <w:pPr>
        <w:pStyle w:val="Prrafodelista"/>
        <w:tabs>
          <w:tab w:val="left" w:pos="720"/>
          <w:tab w:val="left" w:pos="1440"/>
          <w:tab w:val="left" w:pos="2160"/>
          <w:tab w:val="left" w:pos="2880"/>
          <w:tab w:val="left" w:pos="3600"/>
          <w:tab w:val="left" w:pos="5760"/>
          <w:tab w:val="left" w:pos="6804"/>
          <w:tab w:val="left" w:pos="7290"/>
          <w:tab w:val="left" w:pos="7513"/>
          <w:tab w:val="left" w:pos="7830"/>
          <w:tab w:val="left" w:pos="7920"/>
          <w:tab w:val="left" w:pos="8280"/>
          <w:tab w:val="left" w:pos="8640"/>
        </w:tabs>
        <w:spacing w:before="240" w:after="120" w:line="280" w:lineRule="atLeast"/>
        <w:ind w:left="426" w:right="1984"/>
        <w:jc w:val="both"/>
        <w:rPr>
          <w:lang w:val="en-US"/>
        </w:rPr>
      </w:pPr>
      <w:r w:rsidRPr="002A7BD1">
        <w:rPr>
          <w:lang w:val="en-US"/>
        </w:rPr>
        <w:t xml:space="preserve">On May 29, 2025, the Company applied the proceeds from the Class 24 Notes to: </w:t>
      </w:r>
      <w:r>
        <w:rPr>
          <w:lang w:val="en-US"/>
        </w:rPr>
        <w:t xml:space="preserve">(i) </w:t>
      </w:r>
      <w:r w:rsidRPr="002A7BD1">
        <w:rPr>
          <w:lang w:val="en-US"/>
        </w:rPr>
        <w:t>Prepay US$650 million in principal and US$0.3 million in interest under the Syndicated Loan (equivalent to P$782,177 million in constant currency as of June 30, 2025)</w:t>
      </w:r>
      <w:r>
        <w:rPr>
          <w:lang w:val="en-US"/>
        </w:rPr>
        <w:t xml:space="preserve"> and, (ii) </w:t>
      </w:r>
      <w:r w:rsidRPr="002A7BD1">
        <w:rPr>
          <w:lang w:val="en-US"/>
        </w:rPr>
        <w:t>Prepay US$134 million in principal and US$0.1 million in interest under the Bilateral Loan (equivalent to P$161,002 million in constant currency as of June 30, 2025).</w:t>
      </w:r>
      <w:r>
        <w:rPr>
          <w:lang w:val="en-US"/>
        </w:rPr>
        <w:t xml:space="preserve"> </w:t>
      </w:r>
      <w:r w:rsidRPr="002A7BD1">
        <w:rPr>
          <w:lang w:val="en-US"/>
        </w:rPr>
        <w:t>As of June 30, the remaining balance of these loans totaled P$433,897 million.</w:t>
      </w:r>
    </w:p>
    <w:tbl>
      <w:tblPr>
        <w:tblW w:w="5000" w:type="pct"/>
        <w:tblCellMar>
          <w:left w:w="70" w:type="dxa"/>
          <w:right w:w="70" w:type="dxa"/>
        </w:tblCellMar>
        <w:tblLook w:val="04A0" w:firstRow="1" w:lastRow="0" w:firstColumn="1" w:lastColumn="0" w:noHBand="0" w:noVBand="1"/>
      </w:tblPr>
      <w:tblGrid>
        <w:gridCol w:w="932"/>
        <w:gridCol w:w="844"/>
        <w:gridCol w:w="1115"/>
        <w:gridCol w:w="1128"/>
        <w:gridCol w:w="1259"/>
        <w:gridCol w:w="1342"/>
        <w:gridCol w:w="1023"/>
        <w:gridCol w:w="1015"/>
        <w:gridCol w:w="953"/>
      </w:tblGrid>
      <w:tr w:rsidR="00F2299E" w:rsidRPr="00E36A3B" w14:paraId="0685546D" w14:textId="77777777" w:rsidTr="00F2299E">
        <w:trPr>
          <w:trHeight w:val="199"/>
        </w:trPr>
        <w:tc>
          <w:tcPr>
            <w:tcW w:w="485" w:type="pct"/>
            <w:vMerge w:val="restart"/>
            <w:tcBorders>
              <w:top w:val="double" w:sz="6" w:space="0" w:color="auto"/>
              <w:left w:val="single" w:sz="4" w:space="0" w:color="auto"/>
              <w:bottom w:val="single" w:sz="4" w:space="0" w:color="auto"/>
              <w:right w:val="single" w:sz="4" w:space="0" w:color="auto"/>
            </w:tcBorders>
            <w:vAlign w:val="center"/>
            <w:hideMark/>
          </w:tcPr>
          <w:p w14:paraId="344E15C0" w14:textId="7C6F82D8" w:rsidR="00F2299E" w:rsidRPr="00E36A3B" w:rsidRDefault="00F2299E" w:rsidP="00F2299E">
            <w:pPr>
              <w:jc w:val="center"/>
              <w:rPr>
                <w:rFonts w:ascii="Arial" w:hAnsi="Arial" w:cs="Arial"/>
                <w:b/>
                <w:bCs/>
                <w:color w:val="000000"/>
                <w:sz w:val="16"/>
                <w:szCs w:val="16"/>
                <w:lang w:eastAsia="es-AR"/>
              </w:rPr>
            </w:pPr>
            <w:proofErr w:type="spellStart"/>
            <w:r>
              <w:rPr>
                <w:rFonts w:ascii="Arial" w:hAnsi="Arial" w:cs="Arial"/>
                <w:b/>
                <w:color w:val="000000" w:themeColor="text1"/>
                <w:sz w:val="16"/>
                <w:szCs w:val="16"/>
                <w:lang w:eastAsia="es-AR"/>
              </w:rPr>
              <w:t>Entity</w:t>
            </w:r>
            <w:proofErr w:type="spellEnd"/>
          </w:p>
        </w:tc>
        <w:tc>
          <w:tcPr>
            <w:tcW w:w="439" w:type="pct"/>
            <w:vMerge w:val="restart"/>
            <w:tcBorders>
              <w:top w:val="double" w:sz="6" w:space="0" w:color="auto"/>
              <w:left w:val="single" w:sz="4" w:space="0" w:color="auto"/>
              <w:bottom w:val="single" w:sz="4" w:space="0" w:color="auto"/>
              <w:right w:val="single" w:sz="4" w:space="0" w:color="auto"/>
            </w:tcBorders>
            <w:vAlign w:val="center"/>
            <w:hideMark/>
          </w:tcPr>
          <w:p w14:paraId="32A53F77" w14:textId="5DE08445" w:rsidR="00F2299E" w:rsidRPr="00E36A3B" w:rsidRDefault="00F2299E" w:rsidP="00F2299E">
            <w:pPr>
              <w:jc w:val="center"/>
              <w:rPr>
                <w:rFonts w:ascii="Arial" w:hAnsi="Arial" w:cs="Arial"/>
                <w:b/>
                <w:bCs/>
                <w:color w:val="000000"/>
                <w:sz w:val="16"/>
                <w:szCs w:val="16"/>
                <w:lang w:eastAsia="es-AR"/>
              </w:rPr>
            </w:pPr>
            <w:proofErr w:type="spellStart"/>
            <w:r>
              <w:rPr>
                <w:rFonts w:ascii="Arial" w:hAnsi="Arial" w:cs="Arial"/>
                <w:b/>
                <w:bCs/>
                <w:color w:val="000000"/>
                <w:sz w:val="16"/>
                <w:szCs w:val="16"/>
                <w:lang w:eastAsia="es-AR"/>
              </w:rPr>
              <w:t>Currency</w:t>
            </w:r>
            <w:proofErr w:type="spellEnd"/>
          </w:p>
        </w:tc>
        <w:tc>
          <w:tcPr>
            <w:tcW w:w="580" w:type="pct"/>
            <w:tcBorders>
              <w:top w:val="double" w:sz="6" w:space="0" w:color="auto"/>
              <w:left w:val="nil"/>
              <w:bottom w:val="nil"/>
              <w:right w:val="single" w:sz="4" w:space="0" w:color="auto"/>
            </w:tcBorders>
            <w:vAlign w:val="center"/>
            <w:hideMark/>
          </w:tcPr>
          <w:p w14:paraId="08809479" w14:textId="7AF141EE" w:rsidR="00F2299E" w:rsidRPr="00E36A3B" w:rsidRDefault="00F2299E" w:rsidP="00F2299E">
            <w:pPr>
              <w:jc w:val="center"/>
              <w:rPr>
                <w:rFonts w:ascii="Arial" w:hAnsi="Arial" w:cs="Arial"/>
                <w:b/>
                <w:bCs/>
                <w:color w:val="000000"/>
                <w:sz w:val="16"/>
                <w:szCs w:val="16"/>
                <w:lang w:eastAsia="es-AR"/>
              </w:rPr>
            </w:pPr>
            <w:proofErr w:type="spellStart"/>
            <w:r>
              <w:rPr>
                <w:rFonts w:ascii="Arial" w:hAnsi="Arial" w:cs="Arial"/>
                <w:b/>
                <w:color w:val="000000" w:themeColor="text1"/>
                <w:sz w:val="16"/>
                <w:szCs w:val="16"/>
                <w:lang w:eastAsia="es-AR"/>
              </w:rPr>
              <w:t>Initial</w:t>
            </w:r>
            <w:proofErr w:type="spellEnd"/>
            <w:r>
              <w:rPr>
                <w:rFonts w:ascii="Arial" w:hAnsi="Arial" w:cs="Arial"/>
                <w:b/>
                <w:color w:val="000000" w:themeColor="text1"/>
                <w:sz w:val="16"/>
                <w:szCs w:val="16"/>
                <w:lang w:eastAsia="es-AR"/>
              </w:rPr>
              <w:t xml:space="preserve"> Principal </w:t>
            </w:r>
            <w:proofErr w:type="spellStart"/>
            <w:r>
              <w:rPr>
                <w:rFonts w:ascii="Arial" w:hAnsi="Arial" w:cs="Arial"/>
                <w:b/>
                <w:color w:val="000000" w:themeColor="text1"/>
                <w:sz w:val="16"/>
                <w:szCs w:val="16"/>
                <w:lang w:eastAsia="es-AR"/>
              </w:rPr>
              <w:t>Amount</w:t>
            </w:r>
            <w:proofErr w:type="spellEnd"/>
          </w:p>
        </w:tc>
        <w:tc>
          <w:tcPr>
            <w:tcW w:w="587" w:type="pct"/>
            <w:tcBorders>
              <w:top w:val="double" w:sz="6" w:space="0" w:color="auto"/>
              <w:left w:val="single" w:sz="4" w:space="0" w:color="auto"/>
              <w:right w:val="single" w:sz="4" w:space="0" w:color="auto"/>
            </w:tcBorders>
            <w:vAlign w:val="center"/>
          </w:tcPr>
          <w:p w14:paraId="47CC8A13" w14:textId="14F10F4D" w:rsidR="00F2299E" w:rsidRPr="00E36A3B" w:rsidRDefault="00F2299E" w:rsidP="00F2299E">
            <w:pPr>
              <w:jc w:val="center"/>
              <w:rPr>
                <w:rFonts w:ascii="Arial" w:hAnsi="Arial" w:cs="Arial"/>
                <w:b/>
                <w:bCs/>
                <w:color w:val="000000"/>
                <w:sz w:val="16"/>
                <w:szCs w:val="16"/>
                <w:lang w:eastAsia="es-AR"/>
              </w:rPr>
            </w:pPr>
            <w:r>
              <w:rPr>
                <w:rFonts w:ascii="Arial" w:hAnsi="Arial" w:cs="Arial"/>
                <w:b/>
                <w:color w:val="000000" w:themeColor="text1"/>
                <w:sz w:val="16"/>
                <w:szCs w:val="16"/>
                <w:lang w:eastAsia="es-AR"/>
              </w:rPr>
              <w:t xml:space="preserve">Residual Principal </w:t>
            </w:r>
            <w:proofErr w:type="spellStart"/>
            <w:r>
              <w:rPr>
                <w:rFonts w:ascii="Arial" w:hAnsi="Arial" w:cs="Arial"/>
                <w:b/>
                <w:color w:val="000000" w:themeColor="text1"/>
                <w:sz w:val="16"/>
                <w:szCs w:val="16"/>
                <w:lang w:eastAsia="es-AR"/>
              </w:rPr>
              <w:t>Amount</w:t>
            </w:r>
            <w:proofErr w:type="spellEnd"/>
          </w:p>
        </w:tc>
        <w:tc>
          <w:tcPr>
            <w:tcW w:w="655" w:type="pct"/>
            <w:vMerge w:val="restart"/>
            <w:tcBorders>
              <w:top w:val="double" w:sz="6" w:space="0" w:color="auto"/>
              <w:left w:val="single" w:sz="4" w:space="0" w:color="auto"/>
              <w:right w:val="single" w:sz="4" w:space="0" w:color="auto"/>
            </w:tcBorders>
            <w:vAlign w:val="center"/>
            <w:hideMark/>
          </w:tcPr>
          <w:p w14:paraId="0CD9C383" w14:textId="0AFFE600" w:rsidR="00F2299E" w:rsidRPr="00E36A3B" w:rsidRDefault="00F2299E" w:rsidP="00F2299E">
            <w:pPr>
              <w:jc w:val="center"/>
              <w:rPr>
                <w:rFonts w:ascii="Arial" w:hAnsi="Arial" w:cs="Arial"/>
                <w:b/>
                <w:bCs/>
                <w:color w:val="000000"/>
                <w:sz w:val="16"/>
                <w:szCs w:val="16"/>
                <w:lang w:eastAsia="es-AR"/>
              </w:rPr>
            </w:pPr>
            <w:proofErr w:type="spellStart"/>
            <w:r>
              <w:rPr>
                <w:rFonts w:ascii="Arial" w:hAnsi="Arial" w:cs="Arial"/>
                <w:b/>
                <w:bCs/>
                <w:sz w:val="16"/>
                <w:szCs w:val="16"/>
                <w:lang w:eastAsia="es-AR"/>
              </w:rPr>
              <w:t>Maturity</w:t>
            </w:r>
            <w:proofErr w:type="spellEnd"/>
            <w:r>
              <w:rPr>
                <w:rFonts w:ascii="Arial" w:hAnsi="Arial" w:cs="Arial"/>
                <w:b/>
                <w:bCs/>
                <w:sz w:val="16"/>
                <w:szCs w:val="16"/>
                <w:lang w:eastAsia="es-AR"/>
              </w:rPr>
              <w:t xml:space="preserve"> Date</w:t>
            </w:r>
          </w:p>
        </w:tc>
        <w:tc>
          <w:tcPr>
            <w:tcW w:w="698" w:type="pct"/>
            <w:vMerge w:val="restart"/>
            <w:tcBorders>
              <w:top w:val="double" w:sz="6" w:space="0" w:color="auto"/>
              <w:left w:val="single" w:sz="4" w:space="0" w:color="auto"/>
              <w:right w:val="single" w:sz="4" w:space="0" w:color="auto"/>
            </w:tcBorders>
            <w:vAlign w:val="center"/>
            <w:hideMark/>
          </w:tcPr>
          <w:p w14:paraId="192E2C71" w14:textId="79F98325" w:rsidR="00F2299E" w:rsidRPr="00E36A3B" w:rsidRDefault="00F2299E" w:rsidP="00F2299E">
            <w:pPr>
              <w:jc w:val="center"/>
              <w:rPr>
                <w:rFonts w:ascii="Arial" w:hAnsi="Arial" w:cs="Arial"/>
                <w:b/>
                <w:bCs/>
                <w:color w:val="000000"/>
                <w:sz w:val="16"/>
                <w:szCs w:val="16"/>
                <w:lang w:eastAsia="es-AR"/>
              </w:rPr>
            </w:pPr>
            <w:r>
              <w:rPr>
                <w:rFonts w:ascii="Arial" w:hAnsi="Arial" w:cs="Arial"/>
                <w:b/>
                <w:bCs/>
                <w:sz w:val="16"/>
                <w:szCs w:val="16"/>
                <w:lang w:eastAsia="es-AR"/>
              </w:rPr>
              <w:t xml:space="preserve">Principal </w:t>
            </w:r>
            <w:proofErr w:type="spellStart"/>
            <w:r>
              <w:rPr>
                <w:rFonts w:ascii="Arial" w:hAnsi="Arial" w:cs="Arial"/>
                <w:b/>
                <w:bCs/>
                <w:sz w:val="16"/>
                <w:szCs w:val="16"/>
                <w:lang w:eastAsia="es-AR"/>
              </w:rPr>
              <w:t>Amortization</w:t>
            </w:r>
            <w:proofErr w:type="spellEnd"/>
          </w:p>
        </w:tc>
        <w:tc>
          <w:tcPr>
            <w:tcW w:w="532" w:type="pct"/>
            <w:vMerge w:val="restart"/>
            <w:tcBorders>
              <w:top w:val="double" w:sz="6" w:space="0" w:color="auto"/>
              <w:left w:val="single" w:sz="4" w:space="0" w:color="auto"/>
              <w:right w:val="single" w:sz="4" w:space="0" w:color="auto"/>
            </w:tcBorders>
            <w:vAlign w:val="center"/>
            <w:hideMark/>
          </w:tcPr>
          <w:p w14:paraId="1B6BB934" w14:textId="6EECA48F" w:rsidR="00F2299E" w:rsidRPr="00E36A3B" w:rsidRDefault="00F2299E" w:rsidP="00F2299E">
            <w:pPr>
              <w:jc w:val="center"/>
              <w:rPr>
                <w:rFonts w:ascii="Arial" w:hAnsi="Arial" w:cs="Arial"/>
                <w:b/>
                <w:bCs/>
                <w:color w:val="000000"/>
                <w:sz w:val="16"/>
                <w:szCs w:val="16"/>
                <w:lang w:eastAsia="es-AR"/>
              </w:rPr>
            </w:pPr>
            <w:proofErr w:type="spellStart"/>
            <w:r>
              <w:rPr>
                <w:rFonts w:ascii="Arial" w:hAnsi="Arial" w:cs="Arial"/>
                <w:b/>
                <w:bCs/>
                <w:sz w:val="16"/>
                <w:szCs w:val="16"/>
                <w:lang w:eastAsia="es-AR"/>
              </w:rPr>
              <w:t>Interest</w:t>
            </w:r>
            <w:proofErr w:type="spellEnd"/>
            <w:r>
              <w:rPr>
                <w:rFonts w:ascii="Arial" w:hAnsi="Arial" w:cs="Arial"/>
                <w:b/>
                <w:bCs/>
                <w:sz w:val="16"/>
                <w:szCs w:val="16"/>
                <w:lang w:eastAsia="es-AR"/>
              </w:rPr>
              <w:t xml:space="preserve"> </w:t>
            </w:r>
            <w:proofErr w:type="spellStart"/>
            <w:r>
              <w:rPr>
                <w:rFonts w:ascii="Arial" w:hAnsi="Arial" w:cs="Arial"/>
                <w:b/>
                <w:bCs/>
                <w:sz w:val="16"/>
                <w:szCs w:val="16"/>
                <w:lang w:eastAsia="es-AR"/>
              </w:rPr>
              <w:t>Rate</w:t>
            </w:r>
            <w:proofErr w:type="spellEnd"/>
          </w:p>
        </w:tc>
        <w:tc>
          <w:tcPr>
            <w:tcW w:w="528" w:type="pct"/>
            <w:vMerge w:val="restart"/>
            <w:tcBorders>
              <w:top w:val="double" w:sz="6" w:space="0" w:color="auto"/>
              <w:left w:val="single" w:sz="4" w:space="0" w:color="auto"/>
              <w:right w:val="single" w:sz="4" w:space="0" w:color="auto"/>
            </w:tcBorders>
            <w:vAlign w:val="center"/>
            <w:hideMark/>
          </w:tcPr>
          <w:p w14:paraId="0EACC4AE" w14:textId="4698747C" w:rsidR="00F2299E" w:rsidRPr="00E36A3B" w:rsidRDefault="00F2299E" w:rsidP="00F2299E">
            <w:pPr>
              <w:jc w:val="center"/>
              <w:rPr>
                <w:rFonts w:ascii="Arial" w:hAnsi="Arial" w:cs="Arial"/>
                <w:b/>
                <w:bCs/>
                <w:color w:val="000000"/>
                <w:sz w:val="16"/>
                <w:szCs w:val="16"/>
                <w:lang w:eastAsia="es-AR"/>
              </w:rPr>
            </w:pPr>
            <w:proofErr w:type="spellStart"/>
            <w:r>
              <w:rPr>
                <w:rFonts w:ascii="Arial" w:hAnsi="Arial" w:cs="Arial"/>
                <w:b/>
                <w:color w:val="000000" w:themeColor="text1"/>
                <w:sz w:val="16"/>
                <w:szCs w:val="16"/>
                <w:lang w:eastAsia="es-AR"/>
              </w:rPr>
              <w:t>Applicable</w:t>
            </w:r>
            <w:proofErr w:type="spellEnd"/>
            <w:r>
              <w:rPr>
                <w:rFonts w:ascii="Arial" w:hAnsi="Arial" w:cs="Arial"/>
                <w:b/>
                <w:color w:val="000000" w:themeColor="text1"/>
                <w:sz w:val="16"/>
                <w:szCs w:val="16"/>
                <w:lang w:eastAsia="es-AR"/>
              </w:rPr>
              <w:t xml:space="preserve"> </w:t>
            </w:r>
            <w:proofErr w:type="spellStart"/>
            <w:r>
              <w:rPr>
                <w:rFonts w:ascii="Arial" w:hAnsi="Arial" w:cs="Arial"/>
                <w:b/>
                <w:color w:val="000000" w:themeColor="text1"/>
                <w:sz w:val="16"/>
                <w:szCs w:val="16"/>
                <w:lang w:eastAsia="es-AR"/>
              </w:rPr>
              <w:t>Margin</w:t>
            </w:r>
            <w:proofErr w:type="spellEnd"/>
          </w:p>
        </w:tc>
        <w:tc>
          <w:tcPr>
            <w:tcW w:w="496" w:type="pct"/>
            <w:vMerge w:val="restart"/>
            <w:tcBorders>
              <w:top w:val="double" w:sz="6" w:space="0" w:color="auto"/>
              <w:left w:val="single" w:sz="4" w:space="0" w:color="auto"/>
              <w:right w:val="double" w:sz="6" w:space="0" w:color="auto"/>
            </w:tcBorders>
            <w:vAlign w:val="center"/>
            <w:hideMark/>
          </w:tcPr>
          <w:p w14:paraId="1501F0F3" w14:textId="3EDB6F36" w:rsidR="00F2299E" w:rsidRPr="00E36A3B" w:rsidRDefault="00F2299E" w:rsidP="00F2299E">
            <w:pPr>
              <w:jc w:val="center"/>
              <w:rPr>
                <w:rFonts w:ascii="Arial" w:hAnsi="Arial" w:cs="Arial"/>
                <w:b/>
                <w:bCs/>
                <w:color w:val="000000"/>
                <w:sz w:val="16"/>
                <w:szCs w:val="16"/>
                <w:lang w:eastAsia="es-AR"/>
              </w:rPr>
            </w:pPr>
            <w:proofErr w:type="spellStart"/>
            <w:r>
              <w:rPr>
                <w:rFonts w:ascii="Arial" w:hAnsi="Arial" w:cs="Arial"/>
                <w:b/>
                <w:bCs/>
                <w:sz w:val="16"/>
                <w:szCs w:val="16"/>
                <w:lang w:eastAsia="es-AR"/>
              </w:rPr>
              <w:t>Interest</w:t>
            </w:r>
            <w:proofErr w:type="spellEnd"/>
            <w:r>
              <w:rPr>
                <w:rFonts w:ascii="Arial" w:hAnsi="Arial" w:cs="Arial"/>
                <w:b/>
                <w:bCs/>
                <w:sz w:val="16"/>
                <w:szCs w:val="16"/>
                <w:lang w:eastAsia="es-AR"/>
              </w:rPr>
              <w:t xml:space="preserve"> </w:t>
            </w:r>
            <w:proofErr w:type="spellStart"/>
            <w:r>
              <w:rPr>
                <w:rFonts w:ascii="Arial" w:hAnsi="Arial" w:cs="Arial"/>
                <w:b/>
                <w:bCs/>
                <w:sz w:val="16"/>
                <w:szCs w:val="16"/>
                <w:lang w:eastAsia="es-AR"/>
              </w:rPr>
              <w:t>Payment</w:t>
            </w:r>
            <w:proofErr w:type="spellEnd"/>
          </w:p>
        </w:tc>
      </w:tr>
      <w:tr w:rsidR="00F2299E" w:rsidRPr="00E36A3B" w14:paraId="4FA7F391" w14:textId="77777777" w:rsidTr="00F2299E">
        <w:trPr>
          <w:trHeight w:val="20"/>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44048B46" w14:textId="77777777" w:rsidR="002A7BD1" w:rsidRPr="00E36A3B" w:rsidRDefault="002A7BD1" w:rsidP="00B44B30">
            <w:pPr>
              <w:rPr>
                <w:rFonts w:ascii="Arial" w:hAnsi="Arial" w:cs="Arial"/>
                <w:b/>
                <w:bCs/>
                <w:color w:val="000000"/>
                <w:sz w:val="16"/>
                <w:szCs w:val="16"/>
                <w:lang w:eastAsia="es-AR"/>
              </w:rPr>
            </w:pPr>
          </w:p>
        </w:tc>
        <w:tc>
          <w:tcPr>
            <w:tcW w:w="439" w:type="pct"/>
            <w:vMerge/>
            <w:tcBorders>
              <w:top w:val="single" w:sz="4" w:space="0" w:color="auto"/>
              <w:left w:val="single" w:sz="4" w:space="0" w:color="auto"/>
              <w:bottom w:val="single" w:sz="4" w:space="0" w:color="auto"/>
            </w:tcBorders>
            <w:vAlign w:val="center"/>
            <w:hideMark/>
          </w:tcPr>
          <w:p w14:paraId="7D5FE6AD" w14:textId="77777777" w:rsidR="002A7BD1" w:rsidRPr="00E36A3B" w:rsidRDefault="002A7BD1" w:rsidP="00B44B30">
            <w:pPr>
              <w:rPr>
                <w:rFonts w:ascii="Arial" w:hAnsi="Arial" w:cs="Arial"/>
                <w:b/>
                <w:bCs/>
                <w:color w:val="000000"/>
                <w:sz w:val="16"/>
                <w:szCs w:val="16"/>
                <w:lang w:eastAsia="es-AR"/>
              </w:rPr>
            </w:pPr>
          </w:p>
        </w:tc>
        <w:tc>
          <w:tcPr>
            <w:tcW w:w="580" w:type="pct"/>
            <w:tcBorders>
              <w:top w:val="nil"/>
              <w:left w:val="single" w:sz="4" w:space="0" w:color="auto"/>
              <w:bottom w:val="single" w:sz="4" w:space="0" w:color="auto"/>
              <w:right w:val="single" w:sz="4" w:space="0" w:color="auto"/>
            </w:tcBorders>
            <w:vAlign w:val="center"/>
            <w:hideMark/>
          </w:tcPr>
          <w:p w14:paraId="63216A6A" w14:textId="36B6E2B2" w:rsidR="002A7BD1" w:rsidRPr="00E36A3B" w:rsidRDefault="002A7BD1" w:rsidP="00B44B30">
            <w:pPr>
              <w:jc w:val="center"/>
              <w:rPr>
                <w:rFonts w:ascii="Arial" w:hAnsi="Arial" w:cs="Arial"/>
                <w:b/>
                <w:bCs/>
                <w:color w:val="000000"/>
                <w:sz w:val="16"/>
                <w:szCs w:val="16"/>
                <w:lang w:eastAsia="es-AR"/>
              </w:rPr>
            </w:pPr>
            <w:r w:rsidRPr="1959CD3F">
              <w:rPr>
                <w:rFonts w:ascii="Arial" w:hAnsi="Arial" w:cs="Arial"/>
                <w:b/>
                <w:color w:val="000000" w:themeColor="text1"/>
                <w:sz w:val="16"/>
                <w:szCs w:val="16"/>
                <w:lang w:eastAsia="es-AR"/>
              </w:rPr>
              <w:t>(</w:t>
            </w:r>
            <w:r w:rsidR="00F2299E">
              <w:rPr>
                <w:rFonts w:ascii="Arial" w:hAnsi="Arial" w:cs="Arial"/>
                <w:b/>
                <w:color w:val="000000" w:themeColor="text1"/>
                <w:sz w:val="16"/>
                <w:szCs w:val="16"/>
                <w:lang w:eastAsia="es-AR"/>
              </w:rPr>
              <w:t xml:space="preserve">in </w:t>
            </w:r>
            <w:proofErr w:type="spellStart"/>
            <w:r w:rsidR="00F2299E">
              <w:rPr>
                <w:rFonts w:ascii="Arial" w:hAnsi="Arial" w:cs="Arial"/>
                <w:b/>
                <w:color w:val="000000" w:themeColor="text1"/>
                <w:sz w:val="16"/>
                <w:szCs w:val="16"/>
                <w:lang w:eastAsia="es-AR"/>
              </w:rPr>
              <w:t>million</w:t>
            </w:r>
            <w:r w:rsidR="0037040C">
              <w:rPr>
                <w:rFonts w:ascii="Arial" w:hAnsi="Arial" w:cs="Arial"/>
                <w:b/>
                <w:color w:val="000000" w:themeColor="text1"/>
                <w:sz w:val="16"/>
                <w:szCs w:val="16"/>
                <w:lang w:eastAsia="es-AR"/>
              </w:rPr>
              <w:t>s</w:t>
            </w:r>
            <w:proofErr w:type="spellEnd"/>
            <w:r w:rsidRPr="1959CD3F">
              <w:rPr>
                <w:rFonts w:ascii="Arial" w:hAnsi="Arial" w:cs="Arial"/>
                <w:b/>
                <w:color w:val="000000" w:themeColor="text1"/>
                <w:sz w:val="16"/>
                <w:szCs w:val="16"/>
                <w:lang w:eastAsia="es-AR"/>
              </w:rPr>
              <w:t>)</w:t>
            </w:r>
          </w:p>
        </w:tc>
        <w:tc>
          <w:tcPr>
            <w:tcW w:w="587" w:type="pct"/>
            <w:tcBorders>
              <w:left w:val="single" w:sz="4" w:space="0" w:color="auto"/>
              <w:bottom w:val="single" w:sz="4" w:space="0" w:color="auto"/>
              <w:right w:val="single" w:sz="4" w:space="0" w:color="auto"/>
            </w:tcBorders>
            <w:vAlign w:val="center"/>
          </w:tcPr>
          <w:p w14:paraId="13FC502F" w14:textId="6E37F260" w:rsidR="002A7BD1" w:rsidRPr="00E36A3B" w:rsidRDefault="002A7BD1" w:rsidP="00B44B30">
            <w:pPr>
              <w:jc w:val="center"/>
              <w:rPr>
                <w:rFonts w:ascii="Arial" w:hAnsi="Arial" w:cs="Arial"/>
                <w:b/>
                <w:bCs/>
                <w:color w:val="000000"/>
                <w:sz w:val="16"/>
                <w:szCs w:val="16"/>
                <w:lang w:eastAsia="es-AR"/>
              </w:rPr>
            </w:pPr>
            <w:r w:rsidRPr="1959CD3F">
              <w:rPr>
                <w:rFonts w:ascii="Arial" w:hAnsi="Arial" w:cs="Arial"/>
                <w:b/>
                <w:color w:val="000000" w:themeColor="text1"/>
                <w:sz w:val="16"/>
                <w:szCs w:val="16"/>
                <w:lang w:eastAsia="es-AR"/>
              </w:rPr>
              <w:t>(</w:t>
            </w:r>
            <w:r w:rsidR="00F2299E">
              <w:rPr>
                <w:rFonts w:ascii="Arial" w:hAnsi="Arial" w:cs="Arial"/>
                <w:b/>
                <w:color w:val="000000" w:themeColor="text1"/>
                <w:sz w:val="16"/>
                <w:szCs w:val="16"/>
                <w:lang w:eastAsia="es-AR"/>
              </w:rPr>
              <w:t xml:space="preserve">in </w:t>
            </w:r>
            <w:proofErr w:type="spellStart"/>
            <w:r w:rsidR="00F2299E">
              <w:rPr>
                <w:rFonts w:ascii="Arial" w:hAnsi="Arial" w:cs="Arial"/>
                <w:b/>
                <w:color w:val="000000" w:themeColor="text1"/>
                <w:sz w:val="16"/>
                <w:szCs w:val="16"/>
                <w:lang w:eastAsia="es-AR"/>
              </w:rPr>
              <w:t>million</w:t>
            </w:r>
            <w:r w:rsidR="0037040C">
              <w:rPr>
                <w:rFonts w:ascii="Arial" w:hAnsi="Arial" w:cs="Arial"/>
                <w:b/>
                <w:color w:val="000000" w:themeColor="text1"/>
                <w:sz w:val="16"/>
                <w:szCs w:val="16"/>
                <w:lang w:eastAsia="es-AR"/>
              </w:rPr>
              <w:t>s</w:t>
            </w:r>
            <w:proofErr w:type="spellEnd"/>
            <w:r w:rsidRPr="1959CD3F">
              <w:rPr>
                <w:rFonts w:ascii="Arial" w:hAnsi="Arial" w:cs="Arial"/>
                <w:b/>
                <w:color w:val="000000" w:themeColor="text1"/>
                <w:sz w:val="16"/>
                <w:szCs w:val="16"/>
                <w:lang w:eastAsia="es-AR"/>
              </w:rPr>
              <w:t>)</w:t>
            </w:r>
          </w:p>
        </w:tc>
        <w:tc>
          <w:tcPr>
            <w:tcW w:w="655" w:type="pct"/>
            <w:vMerge/>
            <w:tcBorders>
              <w:top w:val="single" w:sz="4" w:space="0" w:color="auto"/>
              <w:bottom w:val="single" w:sz="4" w:space="0" w:color="auto"/>
              <w:right w:val="single" w:sz="4" w:space="0" w:color="auto"/>
            </w:tcBorders>
            <w:vAlign w:val="center"/>
            <w:hideMark/>
          </w:tcPr>
          <w:p w14:paraId="519CCF39" w14:textId="77777777" w:rsidR="002A7BD1" w:rsidRPr="00E36A3B" w:rsidRDefault="002A7BD1" w:rsidP="00B44B30">
            <w:pPr>
              <w:rPr>
                <w:rFonts w:ascii="Arial" w:hAnsi="Arial" w:cs="Arial"/>
                <w:b/>
                <w:bCs/>
                <w:color w:val="000000"/>
                <w:sz w:val="16"/>
                <w:szCs w:val="16"/>
                <w:lang w:eastAsia="es-AR"/>
              </w:rPr>
            </w:pPr>
          </w:p>
        </w:tc>
        <w:tc>
          <w:tcPr>
            <w:tcW w:w="698" w:type="pct"/>
            <w:vMerge/>
            <w:tcBorders>
              <w:top w:val="single" w:sz="4" w:space="0" w:color="auto"/>
              <w:left w:val="single" w:sz="4" w:space="0" w:color="auto"/>
              <w:bottom w:val="single" w:sz="4" w:space="0" w:color="auto"/>
              <w:right w:val="single" w:sz="4" w:space="0" w:color="auto"/>
            </w:tcBorders>
            <w:vAlign w:val="center"/>
            <w:hideMark/>
          </w:tcPr>
          <w:p w14:paraId="07C6A7BC" w14:textId="77777777" w:rsidR="002A7BD1" w:rsidRPr="00E36A3B" w:rsidRDefault="002A7BD1" w:rsidP="00B44B30">
            <w:pPr>
              <w:rPr>
                <w:rFonts w:ascii="Arial" w:hAnsi="Arial" w:cs="Arial"/>
                <w:b/>
                <w:bCs/>
                <w:color w:val="000000"/>
                <w:sz w:val="16"/>
                <w:szCs w:val="16"/>
                <w:lang w:eastAsia="es-AR"/>
              </w:rPr>
            </w:pPr>
          </w:p>
        </w:tc>
        <w:tc>
          <w:tcPr>
            <w:tcW w:w="532" w:type="pct"/>
            <w:vMerge/>
            <w:tcBorders>
              <w:top w:val="single" w:sz="4" w:space="0" w:color="auto"/>
              <w:left w:val="single" w:sz="4" w:space="0" w:color="auto"/>
              <w:bottom w:val="single" w:sz="4" w:space="0" w:color="auto"/>
              <w:right w:val="single" w:sz="4" w:space="0" w:color="auto"/>
            </w:tcBorders>
            <w:vAlign w:val="center"/>
            <w:hideMark/>
          </w:tcPr>
          <w:p w14:paraId="6B1D8B98" w14:textId="77777777" w:rsidR="002A7BD1" w:rsidRPr="00E36A3B" w:rsidRDefault="002A7BD1" w:rsidP="00B44B30">
            <w:pPr>
              <w:rPr>
                <w:rFonts w:ascii="Arial" w:hAnsi="Arial" w:cs="Arial"/>
                <w:b/>
                <w:bCs/>
                <w:color w:val="000000"/>
                <w:sz w:val="16"/>
                <w:szCs w:val="16"/>
                <w:lang w:eastAsia="es-AR"/>
              </w:rPr>
            </w:pPr>
          </w:p>
        </w:tc>
        <w:tc>
          <w:tcPr>
            <w:tcW w:w="528" w:type="pct"/>
            <w:vMerge/>
            <w:tcBorders>
              <w:top w:val="single" w:sz="4" w:space="0" w:color="auto"/>
              <w:left w:val="single" w:sz="4" w:space="0" w:color="auto"/>
              <w:bottom w:val="single" w:sz="4" w:space="0" w:color="auto"/>
              <w:right w:val="single" w:sz="4" w:space="0" w:color="auto"/>
            </w:tcBorders>
            <w:vAlign w:val="center"/>
            <w:hideMark/>
          </w:tcPr>
          <w:p w14:paraId="67813E2D" w14:textId="77777777" w:rsidR="002A7BD1" w:rsidRPr="00E36A3B" w:rsidRDefault="002A7BD1" w:rsidP="00B44B30">
            <w:pPr>
              <w:rPr>
                <w:rFonts w:ascii="Arial" w:hAnsi="Arial" w:cs="Arial"/>
                <w:b/>
                <w:bCs/>
                <w:color w:val="000000"/>
                <w:sz w:val="16"/>
                <w:szCs w:val="16"/>
                <w:lang w:eastAsia="es-AR"/>
              </w:rPr>
            </w:pPr>
          </w:p>
        </w:tc>
        <w:tc>
          <w:tcPr>
            <w:tcW w:w="496" w:type="pct"/>
            <w:vMerge/>
            <w:tcBorders>
              <w:top w:val="single" w:sz="4" w:space="0" w:color="auto"/>
              <w:left w:val="single" w:sz="4" w:space="0" w:color="auto"/>
              <w:bottom w:val="single" w:sz="4" w:space="0" w:color="auto"/>
              <w:right w:val="double" w:sz="6" w:space="0" w:color="auto"/>
            </w:tcBorders>
            <w:vAlign w:val="center"/>
            <w:hideMark/>
          </w:tcPr>
          <w:p w14:paraId="643B3D35" w14:textId="77777777" w:rsidR="002A7BD1" w:rsidRPr="00E36A3B" w:rsidRDefault="002A7BD1" w:rsidP="00B44B30">
            <w:pPr>
              <w:rPr>
                <w:rFonts w:ascii="Arial" w:hAnsi="Arial" w:cs="Arial"/>
                <w:b/>
                <w:bCs/>
                <w:color w:val="000000"/>
                <w:sz w:val="16"/>
                <w:szCs w:val="16"/>
                <w:lang w:eastAsia="es-AR"/>
              </w:rPr>
            </w:pPr>
          </w:p>
        </w:tc>
      </w:tr>
      <w:tr w:rsidR="00F2299E" w:rsidRPr="00E36A3B" w14:paraId="0A45DBCB" w14:textId="77777777" w:rsidTr="00F2299E">
        <w:trPr>
          <w:trHeight w:val="557"/>
        </w:trPr>
        <w:tc>
          <w:tcPr>
            <w:tcW w:w="485" w:type="pct"/>
            <w:tcBorders>
              <w:top w:val="single" w:sz="4" w:space="0" w:color="auto"/>
              <w:left w:val="double" w:sz="6" w:space="0" w:color="auto"/>
              <w:bottom w:val="single" w:sz="4" w:space="0" w:color="auto"/>
              <w:right w:val="single" w:sz="4" w:space="0" w:color="auto"/>
            </w:tcBorders>
            <w:hideMark/>
          </w:tcPr>
          <w:p w14:paraId="7937EF4B" w14:textId="3BC4C9A7" w:rsidR="00F2299E" w:rsidRPr="00F2299E" w:rsidRDefault="00F2299E" w:rsidP="00F2299E">
            <w:pPr>
              <w:jc w:val="center"/>
              <w:rPr>
                <w:rFonts w:ascii="Arial" w:hAnsi="Arial" w:cs="Arial"/>
                <w:sz w:val="16"/>
                <w:szCs w:val="16"/>
                <w:lang w:val="en-US" w:eastAsia="es-AR"/>
              </w:rPr>
            </w:pPr>
            <w:r w:rsidRPr="00F2299E">
              <w:rPr>
                <w:rFonts w:ascii="Arial" w:hAnsi="Arial" w:cs="Arial"/>
                <w:sz w:val="16"/>
                <w:szCs w:val="16"/>
                <w:lang w:val="en-US" w:eastAsia="es-AR"/>
              </w:rPr>
              <w:t>Syndicated (1)</w:t>
            </w:r>
          </w:p>
        </w:tc>
        <w:tc>
          <w:tcPr>
            <w:tcW w:w="439" w:type="pct"/>
            <w:tcBorders>
              <w:top w:val="single" w:sz="4" w:space="0" w:color="auto"/>
              <w:left w:val="nil"/>
              <w:bottom w:val="single" w:sz="4" w:space="0" w:color="auto"/>
              <w:right w:val="single" w:sz="4" w:space="0" w:color="auto"/>
            </w:tcBorders>
            <w:noWrap/>
            <w:hideMark/>
          </w:tcPr>
          <w:p w14:paraId="71E4067B" w14:textId="438B0397" w:rsidR="00F2299E" w:rsidRPr="00F2299E" w:rsidRDefault="00F2299E" w:rsidP="00F2299E">
            <w:pPr>
              <w:jc w:val="center"/>
              <w:rPr>
                <w:rFonts w:ascii="Arial" w:hAnsi="Arial" w:cs="Arial"/>
                <w:sz w:val="16"/>
                <w:szCs w:val="16"/>
                <w:lang w:val="en-US" w:eastAsia="es-AR"/>
              </w:rPr>
            </w:pPr>
            <w:r w:rsidRPr="00F2299E">
              <w:rPr>
                <w:rFonts w:ascii="Arial" w:hAnsi="Arial" w:cs="Arial"/>
                <w:sz w:val="16"/>
                <w:szCs w:val="16"/>
                <w:lang w:val="en-US" w:eastAsia="es-AR"/>
              </w:rPr>
              <w:t>US$</w:t>
            </w:r>
          </w:p>
        </w:tc>
        <w:tc>
          <w:tcPr>
            <w:tcW w:w="580" w:type="pct"/>
            <w:tcBorders>
              <w:top w:val="nil"/>
              <w:left w:val="nil"/>
              <w:bottom w:val="single" w:sz="4" w:space="0" w:color="auto"/>
              <w:right w:val="single" w:sz="4" w:space="0" w:color="auto"/>
            </w:tcBorders>
            <w:hideMark/>
          </w:tcPr>
          <w:p w14:paraId="53D98ECC" w14:textId="609D5C93" w:rsidR="00F2299E" w:rsidRPr="00F2299E" w:rsidRDefault="00F2299E" w:rsidP="00F2299E">
            <w:pPr>
              <w:jc w:val="center"/>
              <w:rPr>
                <w:rFonts w:ascii="Arial" w:hAnsi="Arial" w:cs="Arial"/>
                <w:sz w:val="16"/>
                <w:szCs w:val="16"/>
                <w:lang w:val="en-US" w:eastAsia="es-AR"/>
              </w:rPr>
            </w:pPr>
            <w:r w:rsidRPr="00F2299E">
              <w:rPr>
                <w:rFonts w:ascii="Arial" w:hAnsi="Arial" w:cs="Arial"/>
                <w:sz w:val="16"/>
                <w:szCs w:val="16"/>
                <w:lang w:val="en-US" w:eastAsia="es-AR"/>
              </w:rPr>
              <w:t xml:space="preserve">970 </w:t>
            </w:r>
          </w:p>
        </w:tc>
        <w:tc>
          <w:tcPr>
            <w:tcW w:w="587" w:type="pct"/>
            <w:tcBorders>
              <w:top w:val="nil"/>
              <w:left w:val="nil"/>
              <w:bottom w:val="single" w:sz="4" w:space="0" w:color="auto"/>
              <w:right w:val="single" w:sz="4" w:space="0" w:color="auto"/>
            </w:tcBorders>
          </w:tcPr>
          <w:p w14:paraId="5C481A86" w14:textId="372C1259" w:rsidR="00F2299E" w:rsidRPr="00F2299E" w:rsidRDefault="00F2299E" w:rsidP="00F2299E">
            <w:pPr>
              <w:jc w:val="center"/>
              <w:rPr>
                <w:rFonts w:ascii="Arial" w:hAnsi="Arial" w:cs="Arial"/>
                <w:sz w:val="16"/>
                <w:szCs w:val="16"/>
                <w:lang w:val="en-US" w:eastAsia="es-AR"/>
              </w:rPr>
            </w:pPr>
            <w:r w:rsidRPr="00F2299E">
              <w:rPr>
                <w:rFonts w:ascii="Arial" w:hAnsi="Arial" w:cs="Arial"/>
                <w:sz w:val="16"/>
                <w:szCs w:val="16"/>
                <w:lang w:val="en-US" w:eastAsia="es-AR"/>
              </w:rPr>
              <w:t xml:space="preserve">320 </w:t>
            </w:r>
          </w:p>
        </w:tc>
        <w:tc>
          <w:tcPr>
            <w:tcW w:w="655" w:type="pct"/>
            <w:tcBorders>
              <w:top w:val="single" w:sz="4" w:space="0" w:color="auto"/>
              <w:left w:val="single" w:sz="4" w:space="0" w:color="auto"/>
              <w:bottom w:val="single" w:sz="4" w:space="0" w:color="auto"/>
              <w:right w:val="single" w:sz="4" w:space="0" w:color="auto"/>
            </w:tcBorders>
            <w:hideMark/>
          </w:tcPr>
          <w:p w14:paraId="552E6E88" w14:textId="71FC6673" w:rsidR="00F2299E" w:rsidRPr="00F2299E" w:rsidRDefault="00F2299E" w:rsidP="00F2299E">
            <w:pPr>
              <w:jc w:val="center"/>
              <w:rPr>
                <w:rFonts w:ascii="Arial" w:hAnsi="Arial" w:cs="Arial"/>
                <w:sz w:val="16"/>
                <w:szCs w:val="16"/>
                <w:lang w:val="en-US" w:eastAsia="es-AR"/>
              </w:rPr>
            </w:pPr>
            <w:r w:rsidRPr="00F2299E">
              <w:rPr>
                <w:rFonts w:ascii="Arial" w:hAnsi="Arial" w:cs="Arial"/>
                <w:sz w:val="16"/>
                <w:szCs w:val="16"/>
                <w:lang w:val="en-US" w:eastAsia="es-AR"/>
              </w:rPr>
              <w:t>02/2029</w:t>
            </w:r>
          </w:p>
        </w:tc>
        <w:tc>
          <w:tcPr>
            <w:tcW w:w="698" w:type="pct"/>
            <w:tcBorders>
              <w:top w:val="single" w:sz="4" w:space="0" w:color="auto"/>
              <w:left w:val="nil"/>
              <w:bottom w:val="single" w:sz="4" w:space="0" w:color="auto"/>
              <w:right w:val="single" w:sz="4" w:space="0" w:color="auto"/>
            </w:tcBorders>
            <w:hideMark/>
          </w:tcPr>
          <w:p w14:paraId="715327CD" w14:textId="62BA704F" w:rsidR="00F2299E" w:rsidRPr="00F2299E" w:rsidRDefault="00F2299E" w:rsidP="00F2299E">
            <w:pPr>
              <w:jc w:val="center"/>
              <w:rPr>
                <w:rFonts w:ascii="Arial" w:hAnsi="Arial" w:cs="Arial"/>
                <w:sz w:val="16"/>
                <w:szCs w:val="16"/>
                <w:lang w:val="en-US" w:eastAsia="es-AR"/>
              </w:rPr>
            </w:pPr>
            <w:r w:rsidRPr="00F2299E">
              <w:rPr>
                <w:rFonts w:ascii="Arial" w:hAnsi="Arial" w:cs="Arial"/>
                <w:sz w:val="16"/>
                <w:szCs w:val="16"/>
                <w:lang w:val="en-US" w:eastAsia="es-AR"/>
              </w:rPr>
              <w:t>Bullet at maturity</w:t>
            </w:r>
          </w:p>
        </w:tc>
        <w:tc>
          <w:tcPr>
            <w:tcW w:w="532" w:type="pct"/>
            <w:tcBorders>
              <w:top w:val="single" w:sz="4" w:space="0" w:color="auto"/>
              <w:left w:val="nil"/>
              <w:bottom w:val="single" w:sz="4" w:space="0" w:color="auto"/>
              <w:right w:val="single" w:sz="4" w:space="0" w:color="auto"/>
            </w:tcBorders>
            <w:hideMark/>
          </w:tcPr>
          <w:p w14:paraId="1E2ADFDB" w14:textId="573CD4F1" w:rsidR="00F2299E" w:rsidRPr="00F2299E" w:rsidRDefault="00F2299E" w:rsidP="00F2299E">
            <w:pPr>
              <w:jc w:val="center"/>
              <w:rPr>
                <w:rFonts w:ascii="Arial" w:hAnsi="Arial" w:cs="Arial"/>
                <w:sz w:val="16"/>
                <w:szCs w:val="16"/>
                <w:lang w:val="en-US" w:eastAsia="es-AR"/>
              </w:rPr>
            </w:pPr>
            <w:r w:rsidRPr="00F2299E">
              <w:rPr>
                <w:rFonts w:ascii="Arial" w:hAnsi="Arial" w:cs="Arial"/>
                <w:sz w:val="16"/>
                <w:szCs w:val="16"/>
                <w:lang w:val="en-US" w:eastAsia="es-AR"/>
              </w:rPr>
              <w:t>Variable: SOFR 3M</w:t>
            </w:r>
          </w:p>
        </w:tc>
        <w:tc>
          <w:tcPr>
            <w:tcW w:w="528" w:type="pct"/>
            <w:tcBorders>
              <w:top w:val="single" w:sz="4" w:space="0" w:color="auto"/>
              <w:left w:val="nil"/>
              <w:bottom w:val="single" w:sz="4" w:space="0" w:color="auto"/>
              <w:right w:val="single" w:sz="4" w:space="0" w:color="auto"/>
            </w:tcBorders>
            <w:hideMark/>
          </w:tcPr>
          <w:p w14:paraId="6DDA9C1D" w14:textId="2AC996FF" w:rsidR="00F2299E" w:rsidRPr="00F2299E" w:rsidRDefault="00F2299E" w:rsidP="00F2299E">
            <w:pPr>
              <w:jc w:val="center"/>
              <w:rPr>
                <w:rFonts w:ascii="Arial" w:hAnsi="Arial" w:cs="Arial"/>
                <w:sz w:val="16"/>
                <w:szCs w:val="16"/>
                <w:lang w:val="en-US" w:eastAsia="es-AR"/>
              </w:rPr>
            </w:pPr>
            <w:r>
              <w:rPr>
                <w:rFonts w:ascii="Arial" w:hAnsi="Arial" w:cs="Arial"/>
                <w:sz w:val="16"/>
                <w:szCs w:val="16"/>
                <w:lang w:val="en-US" w:eastAsia="es-AR"/>
              </w:rPr>
              <w:t xml:space="preserve">Between </w:t>
            </w:r>
            <w:r w:rsidRPr="00F2299E">
              <w:rPr>
                <w:rFonts w:ascii="Arial" w:hAnsi="Arial" w:cs="Arial"/>
                <w:sz w:val="16"/>
                <w:szCs w:val="16"/>
                <w:lang w:val="en-US" w:eastAsia="es-AR"/>
              </w:rPr>
              <w:t>4.00%</w:t>
            </w:r>
            <w:r>
              <w:rPr>
                <w:rFonts w:ascii="Arial" w:hAnsi="Arial" w:cs="Arial"/>
                <w:sz w:val="16"/>
                <w:szCs w:val="16"/>
                <w:lang w:val="en-US" w:eastAsia="es-AR"/>
              </w:rPr>
              <w:t xml:space="preserve"> -</w:t>
            </w:r>
            <w:r w:rsidRPr="00F2299E">
              <w:rPr>
                <w:rFonts w:ascii="Arial" w:hAnsi="Arial" w:cs="Arial"/>
                <w:sz w:val="16"/>
                <w:szCs w:val="16"/>
                <w:lang w:val="en-US" w:eastAsia="es-AR"/>
              </w:rPr>
              <w:t>7.00%</w:t>
            </w:r>
          </w:p>
        </w:tc>
        <w:tc>
          <w:tcPr>
            <w:tcW w:w="496" w:type="pct"/>
            <w:tcBorders>
              <w:top w:val="single" w:sz="4" w:space="0" w:color="auto"/>
              <w:left w:val="nil"/>
              <w:bottom w:val="single" w:sz="4" w:space="0" w:color="auto"/>
              <w:right w:val="double" w:sz="6" w:space="0" w:color="auto"/>
            </w:tcBorders>
            <w:hideMark/>
          </w:tcPr>
          <w:p w14:paraId="76A3F047" w14:textId="2D6BA0E8" w:rsidR="00F2299E" w:rsidRPr="00F2299E" w:rsidRDefault="00F2299E" w:rsidP="00F2299E">
            <w:pPr>
              <w:jc w:val="center"/>
              <w:rPr>
                <w:rFonts w:ascii="Arial" w:hAnsi="Arial" w:cs="Arial"/>
                <w:sz w:val="16"/>
                <w:szCs w:val="16"/>
                <w:lang w:val="en-US" w:eastAsia="es-AR"/>
              </w:rPr>
            </w:pPr>
            <w:r w:rsidRPr="00F2299E">
              <w:rPr>
                <w:rFonts w:ascii="Arial" w:hAnsi="Arial" w:cs="Arial"/>
                <w:sz w:val="16"/>
                <w:szCs w:val="16"/>
                <w:lang w:val="en-US" w:eastAsia="es-AR"/>
              </w:rPr>
              <w:t>Quarterly</w:t>
            </w:r>
          </w:p>
        </w:tc>
      </w:tr>
      <w:tr w:rsidR="00F2299E" w:rsidRPr="00E36A3B" w14:paraId="1B3AE0F3" w14:textId="77777777" w:rsidTr="00F2299E">
        <w:trPr>
          <w:trHeight w:val="551"/>
        </w:trPr>
        <w:tc>
          <w:tcPr>
            <w:tcW w:w="485" w:type="pct"/>
            <w:tcBorders>
              <w:top w:val="nil"/>
              <w:left w:val="double" w:sz="6" w:space="0" w:color="auto"/>
              <w:bottom w:val="double" w:sz="6" w:space="0" w:color="auto"/>
              <w:right w:val="single" w:sz="4" w:space="0" w:color="auto"/>
            </w:tcBorders>
            <w:hideMark/>
          </w:tcPr>
          <w:p w14:paraId="350DA1EF" w14:textId="07566C45" w:rsidR="00F2299E" w:rsidRPr="00F2299E" w:rsidRDefault="00F2299E" w:rsidP="00F2299E">
            <w:pPr>
              <w:jc w:val="center"/>
              <w:rPr>
                <w:rFonts w:ascii="Arial" w:hAnsi="Arial" w:cs="Arial"/>
                <w:sz w:val="16"/>
                <w:szCs w:val="16"/>
                <w:lang w:val="en-US" w:eastAsia="es-AR"/>
              </w:rPr>
            </w:pPr>
            <w:r w:rsidRPr="00F2299E">
              <w:rPr>
                <w:rFonts w:ascii="Arial" w:hAnsi="Arial" w:cs="Arial"/>
                <w:sz w:val="16"/>
                <w:szCs w:val="16"/>
                <w:lang w:val="en-US" w:eastAsia="es-AR"/>
              </w:rPr>
              <w:t>Bilateral (2)</w:t>
            </w:r>
          </w:p>
        </w:tc>
        <w:tc>
          <w:tcPr>
            <w:tcW w:w="439" w:type="pct"/>
            <w:tcBorders>
              <w:top w:val="nil"/>
              <w:left w:val="nil"/>
              <w:bottom w:val="double" w:sz="6" w:space="0" w:color="auto"/>
              <w:right w:val="single" w:sz="4" w:space="0" w:color="auto"/>
            </w:tcBorders>
            <w:noWrap/>
            <w:hideMark/>
          </w:tcPr>
          <w:p w14:paraId="670A2796" w14:textId="04537FFF" w:rsidR="00F2299E" w:rsidRPr="00F2299E" w:rsidRDefault="00F2299E" w:rsidP="00F2299E">
            <w:pPr>
              <w:jc w:val="center"/>
              <w:rPr>
                <w:rFonts w:ascii="Arial" w:hAnsi="Arial" w:cs="Arial"/>
                <w:sz w:val="16"/>
                <w:szCs w:val="16"/>
                <w:lang w:val="en-US" w:eastAsia="es-AR"/>
              </w:rPr>
            </w:pPr>
            <w:r w:rsidRPr="00F2299E">
              <w:rPr>
                <w:rFonts w:ascii="Arial" w:hAnsi="Arial" w:cs="Arial"/>
                <w:sz w:val="16"/>
                <w:szCs w:val="16"/>
                <w:lang w:val="en-US" w:eastAsia="es-AR"/>
              </w:rPr>
              <w:t>US$</w:t>
            </w:r>
          </w:p>
        </w:tc>
        <w:tc>
          <w:tcPr>
            <w:tcW w:w="580" w:type="pct"/>
            <w:tcBorders>
              <w:top w:val="nil"/>
              <w:left w:val="nil"/>
              <w:bottom w:val="double" w:sz="6" w:space="0" w:color="auto"/>
              <w:right w:val="single" w:sz="4" w:space="0" w:color="auto"/>
            </w:tcBorders>
            <w:hideMark/>
          </w:tcPr>
          <w:p w14:paraId="0B9D9690" w14:textId="546CA97B" w:rsidR="00F2299E" w:rsidRPr="00F2299E" w:rsidRDefault="00F2299E" w:rsidP="00F2299E">
            <w:pPr>
              <w:jc w:val="center"/>
              <w:rPr>
                <w:rFonts w:ascii="Arial" w:hAnsi="Arial" w:cs="Arial"/>
                <w:sz w:val="16"/>
                <w:szCs w:val="16"/>
                <w:lang w:val="en-US" w:eastAsia="es-AR"/>
              </w:rPr>
            </w:pPr>
            <w:r w:rsidRPr="00F2299E">
              <w:rPr>
                <w:rFonts w:ascii="Arial" w:hAnsi="Arial" w:cs="Arial"/>
                <w:sz w:val="16"/>
                <w:szCs w:val="16"/>
                <w:lang w:val="en-US" w:eastAsia="es-AR"/>
              </w:rPr>
              <w:t xml:space="preserve">200 </w:t>
            </w:r>
          </w:p>
        </w:tc>
        <w:tc>
          <w:tcPr>
            <w:tcW w:w="587" w:type="pct"/>
            <w:tcBorders>
              <w:top w:val="nil"/>
              <w:left w:val="nil"/>
              <w:bottom w:val="double" w:sz="6" w:space="0" w:color="auto"/>
              <w:right w:val="single" w:sz="4" w:space="0" w:color="auto"/>
            </w:tcBorders>
          </w:tcPr>
          <w:p w14:paraId="37A5C976" w14:textId="30C8AB09" w:rsidR="00F2299E" w:rsidRPr="00F2299E" w:rsidRDefault="00F2299E" w:rsidP="00F2299E">
            <w:pPr>
              <w:jc w:val="center"/>
              <w:rPr>
                <w:rFonts w:ascii="Arial" w:hAnsi="Arial" w:cs="Arial"/>
                <w:sz w:val="16"/>
                <w:szCs w:val="16"/>
                <w:lang w:val="en-US" w:eastAsia="es-AR"/>
              </w:rPr>
            </w:pPr>
            <w:r w:rsidRPr="00F2299E">
              <w:rPr>
                <w:rFonts w:ascii="Arial" w:hAnsi="Arial" w:cs="Arial"/>
                <w:sz w:val="16"/>
                <w:szCs w:val="16"/>
                <w:lang w:val="en-US" w:eastAsia="es-AR"/>
              </w:rPr>
              <w:t xml:space="preserve">66 </w:t>
            </w:r>
          </w:p>
        </w:tc>
        <w:tc>
          <w:tcPr>
            <w:tcW w:w="655" w:type="pct"/>
            <w:tcBorders>
              <w:top w:val="nil"/>
              <w:left w:val="single" w:sz="4" w:space="0" w:color="auto"/>
              <w:bottom w:val="double" w:sz="6" w:space="0" w:color="auto"/>
              <w:right w:val="single" w:sz="4" w:space="0" w:color="auto"/>
            </w:tcBorders>
            <w:hideMark/>
          </w:tcPr>
          <w:p w14:paraId="6E2E81B7" w14:textId="1A6F95A0" w:rsidR="00F2299E" w:rsidRPr="00F2299E" w:rsidRDefault="00F2299E" w:rsidP="00F2299E">
            <w:pPr>
              <w:jc w:val="center"/>
              <w:rPr>
                <w:rFonts w:ascii="Arial" w:hAnsi="Arial" w:cs="Arial"/>
                <w:sz w:val="16"/>
                <w:szCs w:val="16"/>
                <w:lang w:val="en-US" w:eastAsia="es-AR"/>
              </w:rPr>
            </w:pPr>
            <w:r>
              <w:rPr>
                <w:rFonts w:ascii="Arial" w:hAnsi="Arial" w:cs="Arial"/>
                <w:sz w:val="16"/>
                <w:szCs w:val="16"/>
                <w:lang w:val="en-US" w:eastAsia="es-AR"/>
              </w:rPr>
              <w:t xml:space="preserve">Between </w:t>
            </w:r>
            <w:r w:rsidRPr="00F2299E">
              <w:rPr>
                <w:rFonts w:ascii="Arial" w:hAnsi="Arial" w:cs="Arial"/>
                <w:sz w:val="16"/>
                <w:szCs w:val="16"/>
                <w:lang w:val="en-US" w:eastAsia="es-AR"/>
              </w:rPr>
              <w:t>02/2028</w:t>
            </w:r>
            <w:r>
              <w:rPr>
                <w:rFonts w:ascii="Arial" w:hAnsi="Arial" w:cs="Arial"/>
                <w:sz w:val="16"/>
                <w:szCs w:val="16"/>
                <w:lang w:val="en-US" w:eastAsia="es-AR"/>
              </w:rPr>
              <w:t xml:space="preserve"> </w:t>
            </w:r>
            <w:r w:rsidRPr="00F2299E">
              <w:rPr>
                <w:rFonts w:ascii="Arial" w:hAnsi="Arial" w:cs="Arial"/>
                <w:sz w:val="16"/>
                <w:szCs w:val="16"/>
                <w:lang w:val="en-US" w:eastAsia="es-AR"/>
              </w:rPr>
              <w:t>–02/2030</w:t>
            </w:r>
          </w:p>
        </w:tc>
        <w:tc>
          <w:tcPr>
            <w:tcW w:w="698" w:type="pct"/>
            <w:tcBorders>
              <w:top w:val="nil"/>
              <w:left w:val="nil"/>
              <w:bottom w:val="double" w:sz="6" w:space="0" w:color="auto"/>
              <w:right w:val="single" w:sz="4" w:space="0" w:color="auto"/>
            </w:tcBorders>
            <w:hideMark/>
          </w:tcPr>
          <w:p w14:paraId="09333F1F" w14:textId="5907529A" w:rsidR="00F2299E" w:rsidRPr="00F2299E" w:rsidRDefault="00F2299E" w:rsidP="00F2299E">
            <w:pPr>
              <w:jc w:val="center"/>
              <w:rPr>
                <w:rFonts w:ascii="Arial" w:hAnsi="Arial" w:cs="Arial"/>
                <w:sz w:val="16"/>
                <w:szCs w:val="16"/>
                <w:lang w:val="en-US" w:eastAsia="es-AR"/>
              </w:rPr>
            </w:pPr>
            <w:proofErr w:type="gramStart"/>
            <w:r w:rsidRPr="00F2299E">
              <w:rPr>
                <w:rFonts w:ascii="Arial" w:hAnsi="Arial" w:cs="Arial"/>
                <w:sz w:val="16"/>
                <w:szCs w:val="16"/>
                <w:lang w:val="en-US" w:eastAsia="es-AR"/>
              </w:rPr>
              <w:t>Semiannual from</w:t>
            </w:r>
            <w:proofErr w:type="gramEnd"/>
            <w:r w:rsidRPr="00F2299E">
              <w:rPr>
                <w:rFonts w:ascii="Arial" w:hAnsi="Arial" w:cs="Arial"/>
                <w:sz w:val="16"/>
                <w:szCs w:val="16"/>
                <w:lang w:val="en-US" w:eastAsia="es-AR"/>
              </w:rPr>
              <w:t xml:space="preserve"> 02/2028</w:t>
            </w:r>
          </w:p>
        </w:tc>
        <w:tc>
          <w:tcPr>
            <w:tcW w:w="532" w:type="pct"/>
            <w:tcBorders>
              <w:top w:val="nil"/>
              <w:left w:val="nil"/>
              <w:bottom w:val="double" w:sz="6" w:space="0" w:color="auto"/>
              <w:right w:val="single" w:sz="4" w:space="0" w:color="auto"/>
            </w:tcBorders>
            <w:hideMark/>
          </w:tcPr>
          <w:p w14:paraId="0E0942A2" w14:textId="48B80B4E" w:rsidR="00F2299E" w:rsidRPr="00F2299E" w:rsidRDefault="00F2299E" w:rsidP="00F2299E">
            <w:pPr>
              <w:jc w:val="center"/>
              <w:rPr>
                <w:rFonts w:ascii="Arial" w:hAnsi="Arial" w:cs="Arial"/>
                <w:sz w:val="16"/>
                <w:szCs w:val="16"/>
                <w:lang w:val="en-US" w:eastAsia="es-AR"/>
              </w:rPr>
            </w:pPr>
            <w:r w:rsidRPr="00F2299E">
              <w:rPr>
                <w:rFonts w:ascii="Arial" w:hAnsi="Arial" w:cs="Arial"/>
                <w:sz w:val="16"/>
                <w:szCs w:val="16"/>
                <w:lang w:val="en-US" w:eastAsia="es-AR"/>
              </w:rPr>
              <w:t>Variable: SOFR 3M</w:t>
            </w:r>
          </w:p>
        </w:tc>
        <w:tc>
          <w:tcPr>
            <w:tcW w:w="528" w:type="pct"/>
            <w:tcBorders>
              <w:top w:val="nil"/>
              <w:left w:val="nil"/>
              <w:bottom w:val="double" w:sz="6" w:space="0" w:color="auto"/>
              <w:right w:val="single" w:sz="4" w:space="0" w:color="auto"/>
            </w:tcBorders>
            <w:hideMark/>
          </w:tcPr>
          <w:p w14:paraId="144E0770" w14:textId="432DCB22" w:rsidR="00F2299E" w:rsidRPr="00F2299E" w:rsidRDefault="00F2299E" w:rsidP="00F2299E">
            <w:pPr>
              <w:jc w:val="center"/>
              <w:rPr>
                <w:rFonts w:ascii="Arial" w:hAnsi="Arial" w:cs="Arial"/>
                <w:sz w:val="16"/>
                <w:szCs w:val="16"/>
                <w:lang w:val="en-US" w:eastAsia="es-AR"/>
              </w:rPr>
            </w:pPr>
            <w:r w:rsidRPr="00F2299E">
              <w:rPr>
                <w:rFonts w:ascii="Arial" w:hAnsi="Arial" w:cs="Arial"/>
                <w:sz w:val="16"/>
                <w:szCs w:val="16"/>
                <w:lang w:val="en-US" w:eastAsia="es-AR"/>
              </w:rPr>
              <w:t>4.00%</w:t>
            </w:r>
          </w:p>
        </w:tc>
        <w:tc>
          <w:tcPr>
            <w:tcW w:w="496" w:type="pct"/>
            <w:tcBorders>
              <w:top w:val="nil"/>
              <w:left w:val="nil"/>
              <w:bottom w:val="double" w:sz="6" w:space="0" w:color="auto"/>
              <w:right w:val="double" w:sz="6" w:space="0" w:color="auto"/>
            </w:tcBorders>
            <w:hideMark/>
          </w:tcPr>
          <w:p w14:paraId="10800B36" w14:textId="1F667ECF" w:rsidR="00F2299E" w:rsidRPr="00F2299E" w:rsidRDefault="00F2299E" w:rsidP="00F2299E">
            <w:pPr>
              <w:jc w:val="center"/>
              <w:rPr>
                <w:rFonts w:ascii="Arial" w:hAnsi="Arial" w:cs="Arial"/>
                <w:sz w:val="16"/>
                <w:szCs w:val="16"/>
                <w:lang w:val="en-US" w:eastAsia="es-AR"/>
              </w:rPr>
            </w:pPr>
            <w:r w:rsidRPr="00F2299E">
              <w:rPr>
                <w:rFonts w:ascii="Arial" w:hAnsi="Arial" w:cs="Arial"/>
                <w:sz w:val="16"/>
                <w:szCs w:val="16"/>
                <w:lang w:val="en-US" w:eastAsia="es-AR"/>
              </w:rPr>
              <w:t>Quarterly</w:t>
            </w:r>
          </w:p>
        </w:tc>
      </w:tr>
    </w:tbl>
    <w:p w14:paraId="6DCF8E1C" w14:textId="77777777" w:rsidR="00F2299E" w:rsidRPr="00F2299E" w:rsidRDefault="00F2299E" w:rsidP="00F2299E">
      <w:pPr>
        <w:pStyle w:val="Normal0"/>
        <w:widowControl w:val="0"/>
        <w:spacing w:after="0"/>
        <w:ind w:firstLine="0"/>
        <w:jc w:val="both"/>
        <w:rPr>
          <w:rFonts w:ascii="Arial" w:hAnsi="Arial" w:cs="Arial"/>
          <w:sz w:val="14"/>
          <w:szCs w:val="14"/>
        </w:rPr>
      </w:pPr>
      <w:r w:rsidRPr="00F2299E">
        <w:rPr>
          <w:rFonts w:ascii="Arial" w:hAnsi="Arial" w:cs="Arial"/>
          <w:sz w:val="14"/>
          <w:szCs w:val="14"/>
        </w:rPr>
        <w:t>(1) Syndicated Loan granted by Banco Bilbao Vizcaya Argentaria S.A., Deutsche Bank AG London Branch, and Banco Santander S.A.</w:t>
      </w:r>
    </w:p>
    <w:p w14:paraId="6BE97BE9" w14:textId="4E8BC0A8" w:rsidR="002A7BD1" w:rsidRPr="00F2299E" w:rsidRDefault="00F2299E" w:rsidP="00F2299E">
      <w:pPr>
        <w:pStyle w:val="Normal0"/>
        <w:widowControl w:val="0"/>
        <w:spacing w:after="0"/>
        <w:ind w:firstLine="0"/>
        <w:jc w:val="both"/>
        <w:rPr>
          <w:rFonts w:ascii="Arial" w:hAnsi="Arial" w:cs="Arial"/>
          <w:sz w:val="14"/>
          <w:szCs w:val="14"/>
        </w:rPr>
      </w:pPr>
      <w:r w:rsidRPr="00F2299E">
        <w:rPr>
          <w:rFonts w:ascii="Arial" w:hAnsi="Arial" w:cs="Arial"/>
          <w:sz w:val="14"/>
          <w:szCs w:val="14"/>
        </w:rPr>
        <w:t>(2) Bilateral Loan granted by Industrial and Commercial Bank of China (Argentina) S.A.U.</w:t>
      </w:r>
    </w:p>
    <w:p w14:paraId="5BD5834B" w14:textId="77777777" w:rsidR="00F2299E" w:rsidRPr="00862B86" w:rsidRDefault="00F2299E" w:rsidP="00F2299E">
      <w:pPr>
        <w:pStyle w:val="Prrafodelista"/>
        <w:tabs>
          <w:tab w:val="left" w:pos="720"/>
          <w:tab w:val="left" w:pos="1440"/>
          <w:tab w:val="left" w:pos="2160"/>
          <w:tab w:val="left" w:pos="2880"/>
          <w:tab w:val="left" w:pos="3600"/>
          <w:tab w:val="left" w:pos="4320"/>
          <w:tab w:val="left" w:pos="5040"/>
          <w:tab w:val="left" w:pos="5760"/>
          <w:tab w:val="left" w:pos="6804"/>
          <w:tab w:val="left" w:pos="7290"/>
          <w:tab w:val="left" w:pos="7513"/>
          <w:tab w:val="left" w:pos="7830"/>
          <w:tab w:val="left" w:pos="7920"/>
          <w:tab w:val="left" w:pos="8280"/>
          <w:tab w:val="left" w:pos="8640"/>
        </w:tabs>
        <w:spacing w:before="240" w:after="120" w:line="280" w:lineRule="atLeast"/>
        <w:ind w:left="426" w:right="1984"/>
        <w:jc w:val="both"/>
        <w:rPr>
          <w:rFonts w:ascii="Pulso" w:eastAsiaTheme="minorEastAsia" w:hAnsi="Pulso"/>
          <w:b/>
          <w:bCs/>
          <w:color w:val="B989F9"/>
          <w:sz w:val="28"/>
          <w:lang w:val="en-US" w:eastAsia="zh-CN"/>
        </w:rPr>
      </w:pPr>
      <w:r w:rsidRPr="00862B86">
        <w:rPr>
          <w:rFonts w:ascii="Pulso" w:eastAsiaTheme="minorEastAsia" w:hAnsi="Pulso"/>
          <w:b/>
          <w:bCs/>
          <w:color w:val="B989F9"/>
          <w:sz w:val="28"/>
          <w:lang w:val="en-US" w:eastAsia="zh-CN"/>
        </w:rPr>
        <w:t>Regulatory Matters – TMA Acquisition</w:t>
      </w:r>
    </w:p>
    <w:p w14:paraId="28D41257" w14:textId="77777777" w:rsidR="007470B7" w:rsidRPr="007470B7" w:rsidRDefault="007470B7" w:rsidP="007470B7">
      <w:pPr>
        <w:pStyle w:val="Prrafodelista"/>
        <w:tabs>
          <w:tab w:val="left" w:pos="720"/>
          <w:tab w:val="left" w:pos="1440"/>
          <w:tab w:val="left" w:pos="2160"/>
          <w:tab w:val="left" w:pos="2880"/>
          <w:tab w:val="left" w:pos="3600"/>
          <w:tab w:val="left" w:pos="4320"/>
          <w:tab w:val="left" w:pos="5040"/>
          <w:tab w:val="left" w:pos="5760"/>
          <w:tab w:val="left" w:pos="6804"/>
          <w:tab w:val="left" w:pos="7290"/>
          <w:tab w:val="left" w:pos="7513"/>
          <w:tab w:val="left" w:pos="7830"/>
          <w:tab w:val="left" w:pos="7920"/>
          <w:tab w:val="left" w:pos="8280"/>
          <w:tab w:val="left" w:pos="8640"/>
        </w:tabs>
        <w:spacing w:after="120" w:line="280" w:lineRule="atLeast"/>
        <w:ind w:left="425" w:right="1985"/>
        <w:jc w:val="both"/>
        <w:rPr>
          <w:lang w:val="en-US"/>
        </w:rPr>
      </w:pPr>
      <w:r w:rsidRPr="007470B7">
        <w:rPr>
          <w:lang w:val="en-US"/>
        </w:rPr>
        <w:t>On June 19, 2025, the Company was notified of a Resolution issued by the Secretary of Industry and Commerce, through which it was informed of the Technical Report issued by the CNDC, considered as the preliminary objection report under Article 14 of Law No. 27,442.</w:t>
      </w:r>
    </w:p>
    <w:p w14:paraId="6AD064AD" w14:textId="77777777" w:rsidR="007470B7" w:rsidRPr="007470B7" w:rsidRDefault="007470B7" w:rsidP="007470B7">
      <w:pPr>
        <w:pStyle w:val="Prrafodelista"/>
        <w:tabs>
          <w:tab w:val="left" w:pos="720"/>
          <w:tab w:val="left" w:pos="1440"/>
          <w:tab w:val="left" w:pos="2160"/>
          <w:tab w:val="left" w:pos="2880"/>
          <w:tab w:val="left" w:pos="3600"/>
          <w:tab w:val="left" w:pos="4320"/>
          <w:tab w:val="left" w:pos="5040"/>
          <w:tab w:val="left" w:pos="5760"/>
          <w:tab w:val="left" w:pos="6804"/>
          <w:tab w:val="left" w:pos="7290"/>
          <w:tab w:val="left" w:pos="7513"/>
          <w:tab w:val="left" w:pos="7830"/>
          <w:tab w:val="left" w:pos="7920"/>
          <w:tab w:val="left" w:pos="8280"/>
          <w:tab w:val="left" w:pos="8640"/>
        </w:tabs>
        <w:spacing w:after="120" w:line="280" w:lineRule="atLeast"/>
        <w:ind w:left="425" w:right="1985"/>
        <w:jc w:val="both"/>
        <w:rPr>
          <w:lang w:val="en-US"/>
        </w:rPr>
      </w:pPr>
      <w:r w:rsidRPr="007470B7">
        <w:rPr>
          <w:lang w:val="en-US"/>
        </w:rPr>
        <w:t>This report does not constitute a final decision nor the imposition of sanctions, but rather a formal stage of the proceeding that enables the parties to exercise their right to defense, submit responses, or propose commitments to mitigate potential anticompetitive effects.</w:t>
      </w:r>
    </w:p>
    <w:p w14:paraId="57B32F37" w14:textId="77777777" w:rsidR="007470B7" w:rsidRPr="007470B7" w:rsidRDefault="007470B7" w:rsidP="007470B7">
      <w:pPr>
        <w:pStyle w:val="Prrafodelista"/>
        <w:tabs>
          <w:tab w:val="left" w:pos="720"/>
          <w:tab w:val="left" w:pos="1440"/>
          <w:tab w:val="left" w:pos="2160"/>
          <w:tab w:val="left" w:pos="2880"/>
          <w:tab w:val="left" w:pos="3600"/>
          <w:tab w:val="left" w:pos="4320"/>
          <w:tab w:val="left" w:pos="5040"/>
          <w:tab w:val="left" w:pos="5760"/>
          <w:tab w:val="left" w:pos="6804"/>
          <w:tab w:val="left" w:pos="7290"/>
          <w:tab w:val="left" w:pos="7513"/>
          <w:tab w:val="left" w:pos="7830"/>
          <w:tab w:val="left" w:pos="7920"/>
          <w:tab w:val="left" w:pos="8280"/>
          <w:tab w:val="left" w:pos="8640"/>
        </w:tabs>
        <w:spacing w:after="120" w:line="280" w:lineRule="atLeast"/>
        <w:ind w:left="425" w:right="1985"/>
        <w:jc w:val="both"/>
        <w:rPr>
          <w:lang w:val="en-US"/>
        </w:rPr>
      </w:pPr>
      <w:r w:rsidRPr="007470B7">
        <w:rPr>
          <w:lang w:val="en-US"/>
        </w:rPr>
        <w:t xml:space="preserve">Accordingly, pursuant to the </w:t>
      </w:r>
      <w:proofErr w:type="gramStart"/>
      <w:r w:rsidRPr="007470B7">
        <w:rPr>
          <w:lang w:val="en-US"/>
        </w:rPr>
        <w:t>aforementioned resolution</w:t>
      </w:r>
      <w:proofErr w:type="gramEnd"/>
      <w:r w:rsidRPr="007470B7">
        <w:rPr>
          <w:lang w:val="en-US"/>
        </w:rPr>
        <w:t xml:space="preserve">, the Secretary of Industry and Commerce granted a 15-day period for the Company to submit any comments it deemed appropriate regarding the preliminary objection report and/or, if deemed suitable, to offer potential remedies. To that end, a special hearing was also </w:t>
      </w:r>
      <w:proofErr w:type="gramStart"/>
      <w:r w:rsidRPr="007470B7">
        <w:rPr>
          <w:lang w:val="en-US"/>
        </w:rPr>
        <w:t>convened</w:t>
      </w:r>
      <w:proofErr w:type="gramEnd"/>
      <w:r w:rsidRPr="007470B7">
        <w:rPr>
          <w:lang w:val="en-US"/>
        </w:rPr>
        <w:t>, the date of which will be set by the CNDC in due course.</w:t>
      </w:r>
    </w:p>
    <w:p w14:paraId="10274041" w14:textId="77777777" w:rsidR="007470B7" w:rsidRPr="007470B7" w:rsidRDefault="007470B7" w:rsidP="007470B7">
      <w:pPr>
        <w:pStyle w:val="Prrafodelista"/>
        <w:tabs>
          <w:tab w:val="left" w:pos="720"/>
          <w:tab w:val="left" w:pos="1440"/>
          <w:tab w:val="left" w:pos="2160"/>
          <w:tab w:val="left" w:pos="2880"/>
          <w:tab w:val="left" w:pos="3600"/>
          <w:tab w:val="left" w:pos="4320"/>
          <w:tab w:val="left" w:pos="5040"/>
          <w:tab w:val="left" w:pos="5760"/>
          <w:tab w:val="left" w:pos="6804"/>
          <w:tab w:val="left" w:pos="7290"/>
          <w:tab w:val="left" w:pos="7513"/>
          <w:tab w:val="left" w:pos="7830"/>
          <w:tab w:val="left" w:pos="7920"/>
          <w:tab w:val="left" w:pos="8280"/>
          <w:tab w:val="left" w:pos="8640"/>
        </w:tabs>
        <w:spacing w:after="120" w:line="280" w:lineRule="atLeast"/>
        <w:ind w:left="425" w:right="1985"/>
        <w:jc w:val="both"/>
        <w:rPr>
          <w:lang w:val="en-US"/>
        </w:rPr>
      </w:pPr>
      <w:r w:rsidRPr="007470B7">
        <w:rPr>
          <w:lang w:val="en-US"/>
        </w:rPr>
        <w:t xml:space="preserve">The Company believes that the </w:t>
      </w:r>
      <w:proofErr w:type="gramStart"/>
      <w:r w:rsidRPr="007470B7">
        <w:rPr>
          <w:lang w:val="en-US"/>
        </w:rPr>
        <w:t>aforementioned objection</w:t>
      </w:r>
      <w:proofErr w:type="gramEnd"/>
      <w:r w:rsidRPr="007470B7">
        <w:rPr>
          <w:lang w:val="en-US"/>
        </w:rPr>
        <w:t xml:space="preserve"> report was issued and notified prematurely, at an early stage of the process, without having all the necessary information and without the full completion of the approval stages </w:t>
      </w:r>
      <w:r w:rsidRPr="007470B7">
        <w:rPr>
          <w:lang w:val="en-US"/>
        </w:rPr>
        <w:lastRenderedPageBreak/>
        <w:t>established under the competition law. In this regard, the Company disagrees with the preliminary conclusions set forth in the report and has focused on analyzing all the statements made by the CNDC therein, as well as preparing all relevant submissions and technical data in response (including information included in the F2 form, which was recently submitted and is pending review by the CNDC).</w:t>
      </w:r>
    </w:p>
    <w:p w14:paraId="41C07FB7" w14:textId="4FF37D35" w:rsidR="00862B86" w:rsidRPr="00862B86" w:rsidRDefault="00862B86" w:rsidP="00862B86">
      <w:pPr>
        <w:pStyle w:val="Prrafodelista"/>
        <w:tabs>
          <w:tab w:val="left" w:pos="720"/>
          <w:tab w:val="left" w:pos="1440"/>
          <w:tab w:val="left" w:pos="2160"/>
          <w:tab w:val="left" w:pos="2880"/>
          <w:tab w:val="left" w:pos="3600"/>
          <w:tab w:val="left" w:pos="4320"/>
          <w:tab w:val="left" w:pos="5040"/>
          <w:tab w:val="left" w:pos="5760"/>
          <w:tab w:val="left" w:pos="6804"/>
          <w:tab w:val="left" w:pos="7290"/>
          <w:tab w:val="left" w:pos="7513"/>
          <w:tab w:val="left" w:pos="7830"/>
          <w:tab w:val="left" w:pos="7920"/>
          <w:tab w:val="left" w:pos="8280"/>
          <w:tab w:val="left" w:pos="8640"/>
        </w:tabs>
        <w:spacing w:after="120" w:line="280" w:lineRule="atLeast"/>
        <w:ind w:left="425" w:right="1985"/>
        <w:jc w:val="both"/>
        <w:rPr>
          <w:lang w:val="en-US"/>
        </w:rPr>
      </w:pPr>
      <w:r w:rsidRPr="00862B86">
        <w:rPr>
          <w:lang w:val="en-US"/>
        </w:rPr>
        <w:t xml:space="preserve">On August 5, 2025, the Company responded in a timely and proper manner to the transfer of the </w:t>
      </w:r>
      <w:r w:rsidR="004F7A09">
        <w:rPr>
          <w:lang w:val="en-US"/>
        </w:rPr>
        <w:t xml:space="preserve">Preliminary </w:t>
      </w:r>
      <w:r w:rsidRPr="00862B86">
        <w:rPr>
          <w:lang w:val="en-US"/>
        </w:rPr>
        <w:t xml:space="preserve">Objection Report issued by </w:t>
      </w:r>
      <w:proofErr w:type="gramStart"/>
      <w:r w:rsidR="0037040C">
        <w:rPr>
          <w:lang w:val="en-US"/>
        </w:rPr>
        <w:t xml:space="preserve">the </w:t>
      </w:r>
      <w:r w:rsidRPr="00862B86">
        <w:rPr>
          <w:lang w:val="en-US"/>
        </w:rPr>
        <w:t>CNDC</w:t>
      </w:r>
      <w:proofErr w:type="gramEnd"/>
      <w:r w:rsidRPr="00862B86">
        <w:rPr>
          <w:lang w:val="en-US"/>
        </w:rPr>
        <w:t xml:space="preserve">. Along with this submission, and without this being interpreted in any way as an acknowledgment that the transaction raises a competition defense issue, the Company expressed its willingness to assume possible commitments that address the provisional concerns outlined in the </w:t>
      </w:r>
      <w:r w:rsidR="004F7A09">
        <w:rPr>
          <w:lang w:val="en-US"/>
        </w:rPr>
        <w:t xml:space="preserve">Preliminary </w:t>
      </w:r>
      <w:r w:rsidRPr="00862B86">
        <w:rPr>
          <w:lang w:val="en-US"/>
        </w:rPr>
        <w:t>Objection Report which, if accepted by the CNDC and implemented by the Company, could constitute feasible remedies to such concerns.</w:t>
      </w:r>
    </w:p>
    <w:p w14:paraId="7A311643" w14:textId="77777777" w:rsidR="00862B86" w:rsidRDefault="00862B86" w:rsidP="00862B86">
      <w:pPr>
        <w:pStyle w:val="Prrafodelista"/>
        <w:tabs>
          <w:tab w:val="left" w:pos="720"/>
          <w:tab w:val="left" w:pos="1440"/>
          <w:tab w:val="left" w:pos="2160"/>
          <w:tab w:val="left" w:pos="2880"/>
          <w:tab w:val="left" w:pos="3600"/>
          <w:tab w:val="left" w:pos="4320"/>
          <w:tab w:val="left" w:pos="5040"/>
          <w:tab w:val="left" w:pos="5760"/>
          <w:tab w:val="left" w:pos="6804"/>
          <w:tab w:val="left" w:pos="7290"/>
          <w:tab w:val="left" w:pos="7513"/>
          <w:tab w:val="left" w:pos="7830"/>
          <w:tab w:val="left" w:pos="7920"/>
          <w:tab w:val="left" w:pos="8280"/>
          <w:tab w:val="left" w:pos="8640"/>
        </w:tabs>
        <w:spacing w:after="120" w:line="280" w:lineRule="atLeast"/>
        <w:ind w:left="425" w:right="1985"/>
        <w:jc w:val="both"/>
        <w:rPr>
          <w:lang w:val="en-US"/>
        </w:rPr>
      </w:pPr>
      <w:r w:rsidRPr="00862B86">
        <w:rPr>
          <w:lang w:val="en-US"/>
        </w:rPr>
        <w:t xml:space="preserve">The Company estimates that, under reasonable and normal market conditions, none of these proposed remedies would have a significant adverse effect on the Company’s business </w:t>
      </w:r>
      <w:proofErr w:type="gramStart"/>
      <w:r w:rsidRPr="00862B86">
        <w:rPr>
          <w:lang w:val="en-US"/>
        </w:rPr>
        <w:t>nor</w:t>
      </w:r>
      <w:proofErr w:type="gramEnd"/>
      <w:r w:rsidRPr="00862B86">
        <w:rPr>
          <w:lang w:val="en-US"/>
        </w:rPr>
        <w:t xml:space="preserve"> impair its ability to meet its financial obligations.</w:t>
      </w:r>
    </w:p>
    <w:p w14:paraId="7E1E2586" w14:textId="6FF73820" w:rsidR="002A7BD1" w:rsidRPr="006F6953" w:rsidRDefault="007470B7" w:rsidP="00862B86">
      <w:pPr>
        <w:pStyle w:val="Prrafodelista"/>
        <w:tabs>
          <w:tab w:val="left" w:pos="720"/>
          <w:tab w:val="left" w:pos="1440"/>
          <w:tab w:val="left" w:pos="2160"/>
          <w:tab w:val="left" w:pos="2880"/>
          <w:tab w:val="left" w:pos="3600"/>
          <w:tab w:val="left" w:pos="4320"/>
          <w:tab w:val="left" w:pos="5040"/>
          <w:tab w:val="left" w:pos="5760"/>
          <w:tab w:val="left" w:pos="6804"/>
          <w:tab w:val="left" w:pos="7290"/>
          <w:tab w:val="left" w:pos="7513"/>
          <w:tab w:val="left" w:pos="7830"/>
          <w:tab w:val="left" w:pos="7920"/>
          <w:tab w:val="left" w:pos="8280"/>
          <w:tab w:val="left" w:pos="8640"/>
        </w:tabs>
        <w:spacing w:after="120" w:line="280" w:lineRule="atLeast"/>
        <w:ind w:left="425" w:right="1985"/>
        <w:jc w:val="both"/>
        <w:rPr>
          <w:lang w:val="en-US"/>
        </w:rPr>
      </w:pPr>
      <w:r w:rsidRPr="007470B7">
        <w:rPr>
          <w:lang w:val="en-US"/>
        </w:rPr>
        <w:t>For further information, refer to Note 16 of the financial statements as of June 30, 2025.</w:t>
      </w:r>
    </w:p>
    <w:p w14:paraId="70DC809B" w14:textId="3E9BE7F3" w:rsidR="00895427" w:rsidRPr="00862B86" w:rsidRDefault="003B3C15" w:rsidP="00001BB5">
      <w:pPr>
        <w:pStyle w:val="Sinespaciado"/>
        <w:spacing w:before="120"/>
        <w:ind w:right="1985"/>
        <w:jc w:val="both"/>
        <w:rPr>
          <w:rFonts w:eastAsiaTheme="minorHAnsi" w:cs="Arial"/>
          <w:b/>
          <w:color w:val="3C009F"/>
          <w:sz w:val="34"/>
          <w:szCs w:val="34"/>
          <w:lang w:eastAsia="en-US"/>
        </w:rPr>
      </w:pPr>
      <w:r w:rsidRPr="00862B86">
        <w:rPr>
          <w:rFonts w:eastAsiaTheme="minorHAnsi" w:cs="Arial"/>
          <w:b/>
          <w:color w:val="3C009F"/>
          <w:sz w:val="34"/>
          <w:szCs w:val="34"/>
          <w:lang w:eastAsia="en-US"/>
        </w:rPr>
        <w:t xml:space="preserve">Relevant events after </w:t>
      </w:r>
      <w:r w:rsidR="00B22DC4" w:rsidRPr="00862B86">
        <w:rPr>
          <w:rFonts w:eastAsiaTheme="minorHAnsi" w:cs="Arial"/>
          <w:b/>
          <w:color w:val="3C009F"/>
          <w:sz w:val="34"/>
          <w:szCs w:val="34"/>
          <w:lang w:eastAsia="en-US"/>
        </w:rPr>
        <w:t>June 30</w:t>
      </w:r>
      <w:r w:rsidRPr="00862B86">
        <w:rPr>
          <w:rFonts w:eastAsiaTheme="minorHAnsi" w:cs="Arial"/>
          <w:b/>
          <w:color w:val="3C009F"/>
          <w:sz w:val="34"/>
          <w:szCs w:val="34"/>
          <w:lang w:eastAsia="en-US"/>
        </w:rPr>
        <w:t xml:space="preserve">, </w:t>
      </w:r>
      <w:r w:rsidR="0039328C" w:rsidRPr="00862B86">
        <w:rPr>
          <w:rFonts w:eastAsiaTheme="minorHAnsi" w:cs="Arial"/>
          <w:b/>
          <w:color w:val="3C009F"/>
          <w:sz w:val="34"/>
          <w:szCs w:val="34"/>
          <w:lang w:eastAsia="en-US"/>
        </w:rPr>
        <w:t>2025</w:t>
      </w:r>
    </w:p>
    <w:p w14:paraId="5835ACD0" w14:textId="77777777" w:rsidR="00001BB5" w:rsidRPr="00862B86" w:rsidRDefault="00001BB5" w:rsidP="00001BB5">
      <w:pPr>
        <w:pStyle w:val="Sinespaciado"/>
        <w:spacing w:before="120"/>
        <w:ind w:right="1985"/>
        <w:jc w:val="both"/>
        <w:rPr>
          <w:rFonts w:eastAsiaTheme="minorHAnsi" w:cs="Arial"/>
          <w:b/>
          <w:color w:val="3C009F"/>
          <w:sz w:val="8"/>
          <w:szCs w:val="8"/>
          <w:lang w:eastAsia="en-US"/>
        </w:rPr>
      </w:pPr>
    </w:p>
    <w:p w14:paraId="52463E63" w14:textId="596494BF" w:rsidR="007470B7" w:rsidRPr="006F6953" w:rsidRDefault="007470B7" w:rsidP="006F6953">
      <w:pPr>
        <w:pStyle w:val="Prrafodelista"/>
        <w:tabs>
          <w:tab w:val="left" w:pos="720"/>
          <w:tab w:val="left" w:pos="1440"/>
          <w:tab w:val="left" w:pos="2160"/>
          <w:tab w:val="left" w:pos="2880"/>
          <w:tab w:val="left" w:pos="3600"/>
          <w:tab w:val="left" w:pos="5760"/>
          <w:tab w:val="left" w:pos="6804"/>
          <w:tab w:val="left" w:pos="7290"/>
          <w:tab w:val="left" w:pos="7513"/>
          <w:tab w:val="left" w:pos="7830"/>
          <w:tab w:val="left" w:pos="7920"/>
          <w:tab w:val="left" w:pos="8280"/>
          <w:tab w:val="left" w:pos="8640"/>
        </w:tabs>
        <w:spacing w:before="120" w:after="120" w:line="280" w:lineRule="atLeast"/>
        <w:ind w:left="426" w:right="1984"/>
        <w:rPr>
          <w:rFonts w:ascii="Pulso" w:eastAsiaTheme="minorEastAsia" w:hAnsi="Pulso"/>
          <w:b/>
          <w:bCs/>
          <w:color w:val="B989F9"/>
          <w:sz w:val="28"/>
          <w:lang w:val="en-US" w:eastAsia="zh-CN"/>
        </w:rPr>
      </w:pPr>
      <w:r w:rsidRPr="007470B7">
        <w:rPr>
          <w:rFonts w:ascii="Pulso" w:eastAsiaTheme="minorEastAsia" w:hAnsi="Pulso"/>
          <w:b/>
          <w:bCs/>
          <w:color w:val="B989F9"/>
          <w:sz w:val="28"/>
          <w:lang w:val="en-US" w:eastAsia="zh-CN"/>
        </w:rPr>
        <w:t xml:space="preserve">Local </w:t>
      </w:r>
      <w:r>
        <w:rPr>
          <w:rFonts w:ascii="Pulso" w:eastAsiaTheme="minorEastAsia" w:hAnsi="Pulso"/>
          <w:b/>
          <w:bCs/>
          <w:color w:val="B989F9"/>
          <w:sz w:val="28"/>
          <w:lang w:val="en-US" w:eastAsia="zh-CN"/>
        </w:rPr>
        <w:t>Notes</w:t>
      </w:r>
      <w:r w:rsidRPr="007470B7">
        <w:rPr>
          <w:rFonts w:ascii="Pulso" w:eastAsiaTheme="minorEastAsia" w:hAnsi="Pulso"/>
          <w:b/>
          <w:bCs/>
          <w:color w:val="B989F9"/>
          <w:sz w:val="28"/>
          <w:lang w:val="en-US" w:eastAsia="zh-CN"/>
        </w:rPr>
        <w:t xml:space="preserve"> Issuance – </w:t>
      </w:r>
      <w:r>
        <w:rPr>
          <w:rFonts w:ascii="Pulso" w:eastAsiaTheme="minorEastAsia" w:hAnsi="Pulso"/>
          <w:b/>
          <w:bCs/>
          <w:color w:val="B989F9"/>
          <w:sz w:val="28"/>
          <w:lang w:val="en-US" w:eastAsia="zh-CN"/>
        </w:rPr>
        <w:t>Class</w:t>
      </w:r>
      <w:r w:rsidRPr="007470B7">
        <w:rPr>
          <w:rFonts w:ascii="Pulso" w:eastAsiaTheme="minorEastAsia" w:hAnsi="Pulso"/>
          <w:b/>
          <w:bCs/>
          <w:color w:val="B989F9"/>
          <w:sz w:val="28"/>
          <w:lang w:val="en-US" w:eastAsia="zh-CN"/>
        </w:rPr>
        <w:t xml:space="preserve"> 25 and 26</w:t>
      </w:r>
    </w:p>
    <w:tbl>
      <w:tblPr>
        <w:tblW w:w="8983" w:type="dxa"/>
        <w:jc w:val="center"/>
        <w:tblCellMar>
          <w:left w:w="70" w:type="dxa"/>
          <w:right w:w="70" w:type="dxa"/>
        </w:tblCellMar>
        <w:tblLook w:val="04A0" w:firstRow="1" w:lastRow="0" w:firstColumn="1" w:lastColumn="0" w:noHBand="0" w:noVBand="1"/>
      </w:tblPr>
      <w:tblGrid>
        <w:gridCol w:w="567"/>
        <w:gridCol w:w="843"/>
        <w:gridCol w:w="1227"/>
        <w:gridCol w:w="991"/>
        <w:gridCol w:w="1016"/>
        <w:gridCol w:w="2039"/>
        <w:gridCol w:w="1417"/>
        <w:gridCol w:w="883"/>
      </w:tblGrid>
      <w:tr w:rsidR="007470B7" w:rsidRPr="00777D3F" w14:paraId="5690D85E" w14:textId="77777777" w:rsidTr="00B44B30">
        <w:trPr>
          <w:trHeight w:val="199"/>
          <w:jc w:val="center"/>
        </w:trPr>
        <w:tc>
          <w:tcPr>
            <w:tcW w:w="0" w:type="auto"/>
            <w:vMerge w:val="restart"/>
            <w:tcBorders>
              <w:top w:val="double" w:sz="6" w:space="0" w:color="auto"/>
              <w:left w:val="double" w:sz="6" w:space="0" w:color="auto"/>
              <w:bottom w:val="single" w:sz="4" w:space="0" w:color="auto"/>
              <w:right w:val="single" w:sz="4" w:space="0" w:color="auto"/>
            </w:tcBorders>
            <w:vAlign w:val="center"/>
            <w:hideMark/>
          </w:tcPr>
          <w:p w14:paraId="1B536208" w14:textId="7A995D9D" w:rsidR="007470B7" w:rsidRPr="00777D3F" w:rsidRDefault="007470B7" w:rsidP="007470B7">
            <w:pPr>
              <w:spacing w:before="120" w:after="120"/>
              <w:jc w:val="center"/>
              <w:rPr>
                <w:rFonts w:ascii="Arial" w:hAnsi="Arial" w:cs="Arial"/>
                <w:b/>
                <w:bCs/>
                <w:sz w:val="15"/>
                <w:szCs w:val="15"/>
                <w:lang w:eastAsia="es-AR"/>
              </w:rPr>
            </w:pPr>
            <w:proofErr w:type="spellStart"/>
            <w:r w:rsidRPr="008A3981">
              <w:rPr>
                <w:rFonts w:ascii="Arial" w:hAnsi="Arial" w:cs="Arial"/>
                <w:b/>
                <w:bCs/>
                <w:sz w:val="16"/>
                <w:szCs w:val="16"/>
                <w:lang w:eastAsia="es-AR"/>
              </w:rPr>
              <w:t>Clas</w:t>
            </w:r>
            <w:r>
              <w:rPr>
                <w:rFonts w:ascii="Arial" w:hAnsi="Arial" w:cs="Arial"/>
                <w:b/>
                <w:bCs/>
                <w:sz w:val="16"/>
                <w:szCs w:val="16"/>
                <w:lang w:eastAsia="es-AR"/>
              </w:rPr>
              <w:t>s</w:t>
            </w:r>
            <w:proofErr w:type="spellEnd"/>
          </w:p>
        </w:tc>
        <w:tc>
          <w:tcPr>
            <w:tcW w:w="0" w:type="auto"/>
            <w:vMerge w:val="restart"/>
            <w:tcBorders>
              <w:top w:val="double" w:sz="6" w:space="0" w:color="auto"/>
              <w:left w:val="single" w:sz="4" w:space="0" w:color="auto"/>
              <w:bottom w:val="single" w:sz="4" w:space="0" w:color="auto"/>
              <w:right w:val="single" w:sz="4" w:space="0" w:color="auto"/>
            </w:tcBorders>
            <w:vAlign w:val="center"/>
            <w:hideMark/>
          </w:tcPr>
          <w:p w14:paraId="68E47F7B" w14:textId="403EDF84" w:rsidR="007470B7" w:rsidRPr="00777D3F" w:rsidRDefault="007470B7" w:rsidP="007470B7">
            <w:pPr>
              <w:spacing w:before="120" w:after="120"/>
              <w:jc w:val="center"/>
              <w:rPr>
                <w:rFonts w:ascii="Arial" w:hAnsi="Arial" w:cs="Arial"/>
                <w:b/>
                <w:bCs/>
                <w:sz w:val="15"/>
                <w:szCs w:val="15"/>
                <w:lang w:eastAsia="es-AR"/>
              </w:rPr>
            </w:pPr>
            <w:proofErr w:type="spellStart"/>
            <w:r>
              <w:rPr>
                <w:rFonts w:ascii="Arial" w:hAnsi="Arial" w:cs="Arial"/>
                <w:b/>
                <w:bCs/>
                <w:sz w:val="16"/>
                <w:szCs w:val="16"/>
                <w:lang w:eastAsia="es-AR"/>
              </w:rPr>
              <w:t>Currency</w:t>
            </w:r>
            <w:proofErr w:type="spellEnd"/>
          </w:p>
        </w:tc>
        <w:tc>
          <w:tcPr>
            <w:tcW w:w="1227" w:type="dxa"/>
            <w:tcBorders>
              <w:top w:val="double" w:sz="6" w:space="0" w:color="auto"/>
              <w:left w:val="nil"/>
              <w:bottom w:val="nil"/>
              <w:right w:val="single" w:sz="4" w:space="0" w:color="auto"/>
            </w:tcBorders>
            <w:vAlign w:val="center"/>
            <w:hideMark/>
          </w:tcPr>
          <w:p w14:paraId="20FB82D4" w14:textId="2FA690FB" w:rsidR="007470B7" w:rsidRPr="00777D3F" w:rsidRDefault="007470B7" w:rsidP="007470B7">
            <w:pPr>
              <w:spacing w:before="120" w:after="120"/>
              <w:jc w:val="center"/>
              <w:rPr>
                <w:rFonts w:ascii="Arial" w:hAnsi="Arial" w:cs="Arial"/>
                <w:b/>
                <w:bCs/>
                <w:sz w:val="15"/>
                <w:szCs w:val="15"/>
                <w:lang w:eastAsia="es-AR"/>
              </w:rPr>
            </w:pPr>
            <w:r>
              <w:rPr>
                <w:rFonts w:ascii="Arial" w:hAnsi="Arial" w:cs="Arial"/>
                <w:b/>
                <w:bCs/>
                <w:sz w:val="16"/>
                <w:szCs w:val="16"/>
                <w:lang w:eastAsia="es-AR"/>
              </w:rPr>
              <w:t xml:space="preserve">Principal Nominal </w:t>
            </w:r>
            <w:proofErr w:type="spellStart"/>
            <w:r>
              <w:rPr>
                <w:rFonts w:ascii="Arial" w:hAnsi="Arial" w:cs="Arial"/>
                <w:b/>
                <w:bCs/>
                <w:sz w:val="16"/>
                <w:szCs w:val="16"/>
                <w:lang w:eastAsia="es-AR"/>
              </w:rPr>
              <w:t>Amount</w:t>
            </w:r>
            <w:proofErr w:type="spellEnd"/>
          </w:p>
        </w:tc>
        <w:tc>
          <w:tcPr>
            <w:tcW w:w="991" w:type="dxa"/>
            <w:vMerge w:val="restart"/>
            <w:tcBorders>
              <w:top w:val="double" w:sz="6" w:space="0" w:color="auto"/>
              <w:left w:val="single" w:sz="4" w:space="0" w:color="auto"/>
              <w:right w:val="single" w:sz="4" w:space="0" w:color="auto"/>
            </w:tcBorders>
            <w:vAlign w:val="center"/>
          </w:tcPr>
          <w:p w14:paraId="6BD6BD21" w14:textId="2707215F" w:rsidR="007470B7" w:rsidRPr="00777D3F" w:rsidRDefault="007470B7" w:rsidP="007470B7">
            <w:pPr>
              <w:spacing w:before="120" w:after="120"/>
              <w:jc w:val="center"/>
              <w:rPr>
                <w:rFonts w:ascii="Arial" w:hAnsi="Arial" w:cs="Arial"/>
                <w:b/>
                <w:bCs/>
                <w:sz w:val="15"/>
                <w:szCs w:val="15"/>
                <w:lang w:eastAsia="es-AR"/>
              </w:rPr>
            </w:pPr>
            <w:proofErr w:type="spellStart"/>
            <w:r>
              <w:rPr>
                <w:rFonts w:ascii="Arial" w:hAnsi="Arial" w:cs="Arial"/>
                <w:b/>
                <w:bCs/>
                <w:sz w:val="16"/>
                <w:szCs w:val="16"/>
                <w:lang w:eastAsia="es-AR"/>
              </w:rPr>
              <w:t>Issue</w:t>
            </w:r>
            <w:proofErr w:type="spellEnd"/>
            <w:r>
              <w:rPr>
                <w:rFonts w:ascii="Arial" w:hAnsi="Arial" w:cs="Arial"/>
                <w:b/>
                <w:bCs/>
                <w:sz w:val="16"/>
                <w:szCs w:val="16"/>
                <w:lang w:eastAsia="es-AR"/>
              </w:rPr>
              <w:t xml:space="preserve"> Date</w:t>
            </w:r>
          </w:p>
        </w:tc>
        <w:tc>
          <w:tcPr>
            <w:tcW w:w="1016" w:type="dxa"/>
            <w:vMerge w:val="restart"/>
            <w:tcBorders>
              <w:top w:val="double" w:sz="6" w:space="0" w:color="auto"/>
              <w:left w:val="single" w:sz="4" w:space="0" w:color="auto"/>
              <w:bottom w:val="single" w:sz="4" w:space="0" w:color="auto"/>
              <w:right w:val="single" w:sz="4" w:space="0" w:color="auto"/>
            </w:tcBorders>
            <w:vAlign w:val="center"/>
            <w:hideMark/>
          </w:tcPr>
          <w:p w14:paraId="28228B15" w14:textId="000E76AA" w:rsidR="007470B7" w:rsidRPr="00777D3F" w:rsidRDefault="007470B7" w:rsidP="007470B7">
            <w:pPr>
              <w:spacing w:before="120" w:after="120"/>
              <w:jc w:val="center"/>
              <w:rPr>
                <w:rFonts w:ascii="Arial" w:hAnsi="Arial" w:cs="Arial"/>
                <w:b/>
                <w:bCs/>
                <w:sz w:val="15"/>
                <w:szCs w:val="15"/>
                <w:lang w:eastAsia="es-AR"/>
              </w:rPr>
            </w:pPr>
            <w:proofErr w:type="spellStart"/>
            <w:r>
              <w:rPr>
                <w:rFonts w:ascii="Arial" w:hAnsi="Arial" w:cs="Arial"/>
                <w:b/>
                <w:bCs/>
                <w:sz w:val="16"/>
                <w:szCs w:val="16"/>
                <w:lang w:eastAsia="es-AR"/>
              </w:rPr>
              <w:t>Maturity</w:t>
            </w:r>
            <w:proofErr w:type="spellEnd"/>
            <w:r>
              <w:rPr>
                <w:rFonts w:ascii="Arial" w:hAnsi="Arial" w:cs="Arial"/>
                <w:b/>
                <w:bCs/>
                <w:sz w:val="16"/>
                <w:szCs w:val="16"/>
                <w:lang w:eastAsia="es-AR"/>
              </w:rPr>
              <w:t xml:space="preserve"> Date</w:t>
            </w:r>
          </w:p>
        </w:tc>
        <w:tc>
          <w:tcPr>
            <w:tcW w:w="2039" w:type="dxa"/>
            <w:vMerge w:val="restart"/>
            <w:tcBorders>
              <w:top w:val="double" w:sz="6" w:space="0" w:color="auto"/>
              <w:left w:val="single" w:sz="4" w:space="0" w:color="auto"/>
              <w:bottom w:val="single" w:sz="4" w:space="0" w:color="auto"/>
              <w:right w:val="single" w:sz="4" w:space="0" w:color="auto"/>
            </w:tcBorders>
            <w:vAlign w:val="center"/>
            <w:hideMark/>
          </w:tcPr>
          <w:p w14:paraId="503E7447" w14:textId="6576CA54" w:rsidR="007470B7" w:rsidRPr="00777D3F" w:rsidRDefault="007470B7" w:rsidP="007470B7">
            <w:pPr>
              <w:spacing w:before="120" w:after="120"/>
              <w:jc w:val="center"/>
              <w:rPr>
                <w:rFonts w:ascii="Arial" w:hAnsi="Arial" w:cs="Arial"/>
                <w:b/>
                <w:bCs/>
                <w:sz w:val="15"/>
                <w:szCs w:val="15"/>
                <w:lang w:eastAsia="es-AR"/>
              </w:rPr>
            </w:pPr>
            <w:r>
              <w:rPr>
                <w:rFonts w:ascii="Arial" w:hAnsi="Arial" w:cs="Arial"/>
                <w:b/>
                <w:bCs/>
                <w:sz w:val="16"/>
                <w:szCs w:val="16"/>
                <w:lang w:eastAsia="es-AR"/>
              </w:rPr>
              <w:t xml:space="preserve">Principal </w:t>
            </w:r>
            <w:proofErr w:type="spellStart"/>
            <w:r>
              <w:rPr>
                <w:rFonts w:ascii="Arial" w:hAnsi="Arial" w:cs="Arial"/>
                <w:b/>
                <w:bCs/>
                <w:sz w:val="16"/>
                <w:szCs w:val="16"/>
                <w:lang w:eastAsia="es-AR"/>
              </w:rPr>
              <w:t>Amortization</w:t>
            </w:r>
            <w:proofErr w:type="spellEnd"/>
          </w:p>
        </w:tc>
        <w:tc>
          <w:tcPr>
            <w:tcW w:w="1417" w:type="dxa"/>
            <w:vMerge w:val="restart"/>
            <w:tcBorders>
              <w:top w:val="double" w:sz="6" w:space="0" w:color="auto"/>
              <w:left w:val="single" w:sz="4" w:space="0" w:color="auto"/>
              <w:bottom w:val="single" w:sz="4" w:space="0" w:color="auto"/>
              <w:right w:val="single" w:sz="4" w:space="0" w:color="auto"/>
            </w:tcBorders>
            <w:vAlign w:val="center"/>
            <w:hideMark/>
          </w:tcPr>
          <w:p w14:paraId="06FFA4DC" w14:textId="529482B9" w:rsidR="007470B7" w:rsidRPr="00777D3F" w:rsidRDefault="007470B7" w:rsidP="007470B7">
            <w:pPr>
              <w:spacing w:before="120" w:after="120"/>
              <w:jc w:val="center"/>
              <w:rPr>
                <w:rFonts w:ascii="Arial" w:hAnsi="Arial" w:cs="Arial"/>
                <w:b/>
                <w:bCs/>
                <w:sz w:val="15"/>
                <w:szCs w:val="15"/>
                <w:lang w:eastAsia="es-AR"/>
              </w:rPr>
            </w:pPr>
            <w:proofErr w:type="spellStart"/>
            <w:r>
              <w:rPr>
                <w:rFonts w:ascii="Arial" w:hAnsi="Arial" w:cs="Arial"/>
                <w:b/>
                <w:bCs/>
                <w:sz w:val="16"/>
                <w:szCs w:val="16"/>
                <w:lang w:eastAsia="es-AR"/>
              </w:rPr>
              <w:t>Interest</w:t>
            </w:r>
            <w:proofErr w:type="spellEnd"/>
            <w:r>
              <w:rPr>
                <w:rFonts w:ascii="Arial" w:hAnsi="Arial" w:cs="Arial"/>
                <w:b/>
                <w:bCs/>
                <w:sz w:val="16"/>
                <w:szCs w:val="16"/>
                <w:lang w:eastAsia="es-AR"/>
              </w:rPr>
              <w:t xml:space="preserve"> </w:t>
            </w:r>
            <w:proofErr w:type="spellStart"/>
            <w:r>
              <w:rPr>
                <w:rFonts w:ascii="Arial" w:hAnsi="Arial" w:cs="Arial"/>
                <w:b/>
                <w:bCs/>
                <w:sz w:val="16"/>
                <w:szCs w:val="16"/>
                <w:lang w:eastAsia="es-AR"/>
              </w:rPr>
              <w:t>Rate</w:t>
            </w:r>
            <w:proofErr w:type="spellEnd"/>
          </w:p>
        </w:tc>
        <w:tc>
          <w:tcPr>
            <w:tcW w:w="0" w:type="auto"/>
            <w:vMerge w:val="restart"/>
            <w:tcBorders>
              <w:top w:val="double" w:sz="6" w:space="0" w:color="auto"/>
              <w:left w:val="single" w:sz="4" w:space="0" w:color="auto"/>
              <w:bottom w:val="single" w:sz="4" w:space="0" w:color="auto"/>
              <w:right w:val="double" w:sz="6" w:space="0" w:color="auto"/>
            </w:tcBorders>
            <w:vAlign w:val="center"/>
            <w:hideMark/>
          </w:tcPr>
          <w:p w14:paraId="18642FF7" w14:textId="7806CD75" w:rsidR="007470B7" w:rsidRPr="00777D3F" w:rsidRDefault="007470B7" w:rsidP="007470B7">
            <w:pPr>
              <w:spacing w:before="120" w:after="120"/>
              <w:jc w:val="center"/>
              <w:rPr>
                <w:rFonts w:ascii="Arial" w:hAnsi="Arial" w:cs="Arial"/>
                <w:b/>
                <w:bCs/>
                <w:sz w:val="15"/>
                <w:szCs w:val="15"/>
                <w:lang w:eastAsia="es-AR"/>
              </w:rPr>
            </w:pPr>
            <w:proofErr w:type="spellStart"/>
            <w:r>
              <w:rPr>
                <w:rFonts w:ascii="Arial" w:hAnsi="Arial" w:cs="Arial"/>
                <w:b/>
                <w:bCs/>
                <w:sz w:val="16"/>
                <w:szCs w:val="16"/>
                <w:lang w:eastAsia="es-AR"/>
              </w:rPr>
              <w:t>Interest</w:t>
            </w:r>
            <w:proofErr w:type="spellEnd"/>
            <w:r>
              <w:rPr>
                <w:rFonts w:ascii="Arial" w:hAnsi="Arial" w:cs="Arial"/>
                <w:b/>
                <w:bCs/>
                <w:sz w:val="16"/>
                <w:szCs w:val="16"/>
                <w:lang w:eastAsia="es-AR"/>
              </w:rPr>
              <w:t xml:space="preserve"> </w:t>
            </w:r>
            <w:proofErr w:type="spellStart"/>
            <w:r>
              <w:rPr>
                <w:rFonts w:ascii="Arial" w:hAnsi="Arial" w:cs="Arial"/>
                <w:b/>
                <w:bCs/>
                <w:sz w:val="16"/>
                <w:szCs w:val="16"/>
                <w:lang w:eastAsia="es-AR"/>
              </w:rPr>
              <w:t>Payment</w:t>
            </w:r>
            <w:proofErr w:type="spellEnd"/>
          </w:p>
        </w:tc>
      </w:tr>
      <w:tr w:rsidR="007470B7" w:rsidRPr="00777D3F" w14:paraId="7C0FC4B0" w14:textId="77777777" w:rsidTr="00B44B30">
        <w:trPr>
          <w:trHeight w:val="20"/>
          <w:jc w:val="center"/>
        </w:trPr>
        <w:tc>
          <w:tcPr>
            <w:tcW w:w="0" w:type="auto"/>
            <w:vMerge/>
            <w:tcBorders>
              <w:top w:val="double" w:sz="6" w:space="0" w:color="auto"/>
              <w:left w:val="double" w:sz="6" w:space="0" w:color="auto"/>
              <w:bottom w:val="single" w:sz="4" w:space="0" w:color="auto"/>
              <w:right w:val="single" w:sz="4" w:space="0" w:color="auto"/>
            </w:tcBorders>
            <w:vAlign w:val="center"/>
            <w:hideMark/>
          </w:tcPr>
          <w:p w14:paraId="0DC96C7D" w14:textId="77777777" w:rsidR="007470B7" w:rsidRPr="00777D3F" w:rsidRDefault="007470B7" w:rsidP="00B44B30">
            <w:pPr>
              <w:rPr>
                <w:rFonts w:ascii="Arial" w:hAnsi="Arial" w:cs="Arial"/>
                <w:b/>
                <w:bCs/>
                <w:sz w:val="15"/>
                <w:szCs w:val="15"/>
                <w:lang w:eastAsia="es-AR"/>
              </w:rPr>
            </w:pPr>
          </w:p>
        </w:tc>
        <w:tc>
          <w:tcPr>
            <w:tcW w:w="0" w:type="auto"/>
            <w:vMerge/>
            <w:tcBorders>
              <w:top w:val="double" w:sz="6" w:space="0" w:color="auto"/>
              <w:left w:val="single" w:sz="4" w:space="0" w:color="auto"/>
              <w:bottom w:val="single" w:sz="4" w:space="0" w:color="auto"/>
              <w:right w:val="single" w:sz="4" w:space="0" w:color="auto"/>
            </w:tcBorders>
            <w:vAlign w:val="center"/>
            <w:hideMark/>
          </w:tcPr>
          <w:p w14:paraId="03539ED4" w14:textId="77777777" w:rsidR="007470B7" w:rsidRPr="00777D3F" w:rsidRDefault="007470B7" w:rsidP="00B44B30">
            <w:pPr>
              <w:rPr>
                <w:rFonts w:ascii="Arial" w:hAnsi="Arial" w:cs="Arial"/>
                <w:b/>
                <w:bCs/>
                <w:sz w:val="15"/>
                <w:szCs w:val="15"/>
                <w:lang w:eastAsia="es-AR"/>
              </w:rPr>
            </w:pPr>
          </w:p>
        </w:tc>
        <w:tc>
          <w:tcPr>
            <w:tcW w:w="1227" w:type="dxa"/>
            <w:tcBorders>
              <w:top w:val="nil"/>
              <w:left w:val="single" w:sz="4" w:space="0" w:color="auto"/>
              <w:bottom w:val="single" w:sz="4" w:space="0" w:color="auto"/>
              <w:right w:val="single" w:sz="4" w:space="0" w:color="auto"/>
            </w:tcBorders>
            <w:vAlign w:val="center"/>
            <w:hideMark/>
          </w:tcPr>
          <w:p w14:paraId="3A00CCF5" w14:textId="66BECEE8" w:rsidR="007470B7" w:rsidRPr="00777D3F" w:rsidRDefault="007470B7" w:rsidP="00B44B30">
            <w:pPr>
              <w:jc w:val="center"/>
              <w:rPr>
                <w:rFonts w:ascii="Arial" w:hAnsi="Arial" w:cs="Arial"/>
                <w:b/>
                <w:bCs/>
                <w:sz w:val="15"/>
                <w:szCs w:val="15"/>
                <w:lang w:eastAsia="es-AR"/>
              </w:rPr>
            </w:pPr>
            <w:r w:rsidRPr="00777D3F">
              <w:rPr>
                <w:rFonts w:ascii="Arial" w:hAnsi="Arial" w:cs="Arial"/>
                <w:b/>
                <w:bCs/>
                <w:sz w:val="15"/>
                <w:szCs w:val="15"/>
                <w:lang w:eastAsia="es-AR"/>
              </w:rPr>
              <w:t>(</w:t>
            </w:r>
            <w:r>
              <w:rPr>
                <w:rFonts w:ascii="Arial" w:hAnsi="Arial" w:cs="Arial"/>
                <w:b/>
                <w:bCs/>
                <w:sz w:val="15"/>
                <w:szCs w:val="15"/>
                <w:lang w:eastAsia="es-AR"/>
              </w:rPr>
              <w:t xml:space="preserve">in </w:t>
            </w:r>
            <w:proofErr w:type="spellStart"/>
            <w:r>
              <w:rPr>
                <w:rFonts w:ascii="Arial" w:hAnsi="Arial" w:cs="Arial"/>
                <w:b/>
                <w:bCs/>
                <w:sz w:val="15"/>
                <w:szCs w:val="15"/>
                <w:lang w:eastAsia="es-AR"/>
              </w:rPr>
              <w:t>million</w:t>
            </w:r>
            <w:r w:rsidR="0037040C">
              <w:rPr>
                <w:rFonts w:ascii="Arial" w:hAnsi="Arial" w:cs="Arial"/>
                <w:b/>
                <w:bCs/>
                <w:sz w:val="15"/>
                <w:szCs w:val="15"/>
                <w:lang w:eastAsia="es-AR"/>
              </w:rPr>
              <w:t>s</w:t>
            </w:r>
            <w:proofErr w:type="spellEnd"/>
            <w:r w:rsidRPr="00777D3F">
              <w:rPr>
                <w:rFonts w:ascii="Arial" w:hAnsi="Arial" w:cs="Arial"/>
                <w:b/>
                <w:bCs/>
                <w:sz w:val="15"/>
                <w:szCs w:val="15"/>
                <w:lang w:eastAsia="es-AR"/>
              </w:rPr>
              <w:t>)</w:t>
            </w:r>
          </w:p>
        </w:tc>
        <w:tc>
          <w:tcPr>
            <w:tcW w:w="991" w:type="dxa"/>
            <w:vMerge/>
            <w:tcBorders>
              <w:left w:val="single" w:sz="4" w:space="0" w:color="auto"/>
              <w:bottom w:val="single" w:sz="4" w:space="0" w:color="auto"/>
              <w:right w:val="single" w:sz="4" w:space="0" w:color="auto"/>
            </w:tcBorders>
            <w:vAlign w:val="center"/>
          </w:tcPr>
          <w:p w14:paraId="4BC3B7B6" w14:textId="77777777" w:rsidR="007470B7" w:rsidRPr="00777D3F" w:rsidRDefault="007470B7" w:rsidP="00B44B30">
            <w:pPr>
              <w:rPr>
                <w:rFonts w:ascii="Arial" w:hAnsi="Arial" w:cs="Arial"/>
                <w:b/>
                <w:bCs/>
                <w:sz w:val="15"/>
                <w:szCs w:val="15"/>
                <w:lang w:eastAsia="es-AR"/>
              </w:rPr>
            </w:pPr>
          </w:p>
        </w:tc>
        <w:tc>
          <w:tcPr>
            <w:tcW w:w="1016" w:type="dxa"/>
            <w:vMerge/>
            <w:tcBorders>
              <w:top w:val="double" w:sz="6" w:space="0" w:color="auto"/>
              <w:left w:val="single" w:sz="4" w:space="0" w:color="auto"/>
              <w:bottom w:val="single" w:sz="4" w:space="0" w:color="auto"/>
              <w:right w:val="single" w:sz="4" w:space="0" w:color="auto"/>
            </w:tcBorders>
            <w:vAlign w:val="center"/>
            <w:hideMark/>
          </w:tcPr>
          <w:p w14:paraId="2E6B9065" w14:textId="77777777" w:rsidR="007470B7" w:rsidRPr="00777D3F" w:rsidRDefault="007470B7" w:rsidP="00B44B30">
            <w:pPr>
              <w:rPr>
                <w:rFonts w:ascii="Arial" w:hAnsi="Arial" w:cs="Arial"/>
                <w:b/>
                <w:bCs/>
                <w:sz w:val="15"/>
                <w:szCs w:val="15"/>
                <w:lang w:eastAsia="es-AR"/>
              </w:rPr>
            </w:pPr>
          </w:p>
        </w:tc>
        <w:tc>
          <w:tcPr>
            <w:tcW w:w="2039" w:type="dxa"/>
            <w:vMerge/>
            <w:tcBorders>
              <w:top w:val="double" w:sz="6" w:space="0" w:color="auto"/>
              <w:left w:val="single" w:sz="4" w:space="0" w:color="auto"/>
              <w:bottom w:val="single" w:sz="4" w:space="0" w:color="auto"/>
              <w:right w:val="single" w:sz="4" w:space="0" w:color="auto"/>
            </w:tcBorders>
            <w:vAlign w:val="center"/>
            <w:hideMark/>
          </w:tcPr>
          <w:p w14:paraId="6F8F2CE8" w14:textId="77777777" w:rsidR="007470B7" w:rsidRPr="00777D3F" w:rsidRDefault="007470B7" w:rsidP="00B44B30">
            <w:pPr>
              <w:rPr>
                <w:rFonts w:ascii="Arial" w:hAnsi="Arial" w:cs="Arial"/>
                <w:b/>
                <w:bCs/>
                <w:sz w:val="15"/>
                <w:szCs w:val="15"/>
                <w:lang w:eastAsia="es-AR"/>
              </w:rPr>
            </w:pPr>
          </w:p>
        </w:tc>
        <w:tc>
          <w:tcPr>
            <w:tcW w:w="1417" w:type="dxa"/>
            <w:vMerge/>
            <w:tcBorders>
              <w:top w:val="double" w:sz="6" w:space="0" w:color="auto"/>
              <w:left w:val="single" w:sz="4" w:space="0" w:color="auto"/>
              <w:bottom w:val="single" w:sz="4" w:space="0" w:color="auto"/>
              <w:right w:val="single" w:sz="4" w:space="0" w:color="auto"/>
            </w:tcBorders>
            <w:vAlign w:val="center"/>
            <w:hideMark/>
          </w:tcPr>
          <w:p w14:paraId="62BAC5A7" w14:textId="77777777" w:rsidR="007470B7" w:rsidRPr="00777D3F" w:rsidRDefault="007470B7" w:rsidP="00B44B30">
            <w:pPr>
              <w:rPr>
                <w:rFonts w:ascii="Arial" w:hAnsi="Arial" w:cs="Arial"/>
                <w:b/>
                <w:bCs/>
                <w:sz w:val="15"/>
                <w:szCs w:val="15"/>
                <w:lang w:eastAsia="es-AR"/>
              </w:rPr>
            </w:pPr>
          </w:p>
        </w:tc>
        <w:tc>
          <w:tcPr>
            <w:tcW w:w="0" w:type="auto"/>
            <w:vMerge/>
            <w:tcBorders>
              <w:top w:val="double" w:sz="6" w:space="0" w:color="auto"/>
              <w:left w:val="single" w:sz="4" w:space="0" w:color="auto"/>
              <w:bottom w:val="single" w:sz="4" w:space="0" w:color="auto"/>
              <w:right w:val="double" w:sz="6" w:space="0" w:color="auto"/>
            </w:tcBorders>
            <w:vAlign w:val="center"/>
            <w:hideMark/>
          </w:tcPr>
          <w:p w14:paraId="323D7DCC" w14:textId="77777777" w:rsidR="007470B7" w:rsidRPr="00777D3F" w:rsidRDefault="007470B7" w:rsidP="00B44B30">
            <w:pPr>
              <w:rPr>
                <w:rFonts w:ascii="Arial" w:hAnsi="Arial" w:cs="Arial"/>
                <w:b/>
                <w:bCs/>
                <w:sz w:val="15"/>
                <w:szCs w:val="15"/>
                <w:lang w:eastAsia="es-AR"/>
              </w:rPr>
            </w:pPr>
          </w:p>
        </w:tc>
      </w:tr>
      <w:tr w:rsidR="007470B7" w:rsidRPr="00777D3F" w14:paraId="7A98FB88" w14:textId="77777777" w:rsidTr="00194FDF">
        <w:trPr>
          <w:trHeight w:val="224"/>
          <w:jc w:val="center"/>
        </w:trPr>
        <w:tc>
          <w:tcPr>
            <w:tcW w:w="0" w:type="auto"/>
            <w:tcBorders>
              <w:top w:val="single" w:sz="4" w:space="0" w:color="auto"/>
              <w:left w:val="single" w:sz="4" w:space="0" w:color="auto"/>
              <w:bottom w:val="single" w:sz="4" w:space="0" w:color="auto"/>
              <w:right w:val="single" w:sz="4" w:space="0" w:color="auto"/>
            </w:tcBorders>
          </w:tcPr>
          <w:p w14:paraId="03F97C04" w14:textId="4D32CFE9" w:rsidR="007470B7" w:rsidRPr="007470B7" w:rsidRDefault="007470B7" w:rsidP="007470B7">
            <w:pPr>
              <w:jc w:val="center"/>
              <w:rPr>
                <w:rFonts w:ascii="Arial" w:hAnsi="Arial" w:cs="Arial"/>
                <w:sz w:val="16"/>
                <w:szCs w:val="16"/>
                <w:lang w:val="en-US" w:eastAsia="es-AR"/>
              </w:rPr>
            </w:pPr>
            <w:r w:rsidRPr="007470B7">
              <w:rPr>
                <w:rFonts w:ascii="Arial" w:hAnsi="Arial" w:cs="Arial"/>
                <w:sz w:val="16"/>
                <w:szCs w:val="16"/>
                <w:lang w:val="en-US" w:eastAsia="es-AR"/>
              </w:rPr>
              <w:t>5</w:t>
            </w:r>
          </w:p>
        </w:tc>
        <w:tc>
          <w:tcPr>
            <w:tcW w:w="0" w:type="auto"/>
            <w:tcBorders>
              <w:top w:val="single" w:sz="4" w:space="0" w:color="auto"/>
              <w:left w:val="nil"/>
              <w:bottom w:val="single" w:sz="4" w:space="0" w:color="auto"/>
              <w:right w:val="single" w:sz="4" w:space="0" w:color="auto"/>
            </w:tcBorders>
            <w:noWrap/>
          </w:tcPr>
          <w:p w14:paraId="15176479" w14:textId="215AB7F7" w:rsidR="007470B7" w:rsidRPr="007470B7" w:rsidRDefault="007470B7" w:rsidP="007470B7">
            <w:pPr>
              <w:jc w:val="center"/>
              <w:rPr>
                <w:rFonts w:ascii="Arial" w:hAnsi="Arial" w:cs="Arial"/>
                <w:sz w:val="16"/>
                <w:szCs w:val="16"/>
                <w:lang w:val="en-US" w:eastAsia="es-AR"/>
              </w:rPr>
            </w:pPr>
            <w:r w:rsidRPr="007470B7">
              <w:rPr>
                <w:rFonts w:ascii="Arial" w:hAnsi="Arial" w:cs="Arial"/>
                <w:sz w:val="16"/>
                <w:szCs w:val="16"/>
                <w:lang w:val="en-US" w:eastAsia="es-AR"/>
              </w:rPr>
              <w:t>US$</w:t>
            </w:r>
          </w:p>
        </w:tc>
        <w:tc>
          <w:tcPr>
            <w:tcW w:w="1227" w:type="dxa"/>
            <w:tcBorders>
              <w:top w:val="single" w:sz="4" w:space="0" w:color="auto"/>
              <w:left w:val="nil"/>
              <w:bottom w:val="single" w:sz="4" w:space="0" w:color="auto"/>
              <w:right w:val="single" w:sz="4" w:space="0" w:color="auto"/>
            </w:tcBorders>
          </w:tcPr>
          <w:p w14:paraId="3D762038" w14:textId="124F0E26" w:rsidR="007470B7" w:rsidRPr="007470B7" w:rsidRDefault="007470B7" w:rsidP="007470B7">
            <w:pPr>
              <w:jc w:val="center"/>
              <w:rPr>
                <w:rFonts w:ascii="Arial" w:hAnsi="Arial" w:cs="Arial"/>
                <w:sz w:val="16"/>
                <w:szCs w:val="16"/>
                <w:lang w:val="en-US" w:eastAsia="es-AR"/>
              </w:rPr>
            </w:pPr>
            <w:r w:rsidRPr="007470B7">
              <w:rPr>
                <w:rFonts w:ascii="Arial" w:hAnsi="Arial" w:cs="Arial"/>
                <w:sz w:val="16"/>
                <w:szCs w:val="16"/>
                <w:lang w:val="en-US" w:eastAsia="es-AR"/>
              </w:rPr>
              <w:t>50.5</w:t>
            </w:r>
          </w:p>
        </w:tc>
        <w:tc>
          <w:tcPr>
            <w:tcW w:w="991" w:type="dxa"/>
            <w:tcBorders>
              <w:top w:val="single" w:sz="4" w:space="0" w:color="auto"/>
              <w:left w:val="nil"/>
              <w:bottom w:val="single" w:sz="4" w:space="0" w:color="auto"/>
              <w:right w:val="single" w:sz="4" w:space="0" w:color="auto"/>
            </w:tcBorders>
          </w:tcPr>
          <w:p w14:paraId="77BEC8E6" w14:textId="5D992EE4" w:rsidR="007470B7" w:rsidRPr="007470B7" w:rsidRDefault="007470B7" w:rsidP="007470B7">
            <w:pPr>
              <w:jc w:val="center"/>
              <w:rPr>
                <w:rFonts w:ascii="Arial" w:hAnsi="Arial" w:cs="Arial"/>
                <w:sz w:val="16"/>
                <w:szCs w:val="16"/>
                <w:lang w:val="en-US" w:eastAsia="es-AR"/>
              </w:rPr>
            </w:pPr>
            <w:r w:rsidRPr="007470B7">
              <w:rPr>
                <w:rFonts w:ascii="Arial" w:hAnsi="Arial" w:cs="Arial"/>
                <w:sz w:val="16"/>
                <w:szCs w:val="16"/>
                <w:lang w:val="en-US" w:eastAsia="es-AR"/>
              </w:rPr>
              <w:t>07/2025</w:t>
            </w:r>
          </w:p>
        </w:tc>
        <w:tc>
          <w:tcPr>
            <w:tcW w:w="1016" w:type="dxa"/>
            <w:tcBorders>
              <w:top w:val="single" w:sz="4" w:space="0" w:color="auto"/>
              <w:left w:val="single" w:sz="4" w:space="0" w:color="auto"/>
              <w:bottom w:val="single" w:sz="4" w:space="0" w:color="auto"/>
              <w:right w:val="single" w:sz="4" w:space="0" w:color="auto"/>
            </w:tcBorders>
          </w:tcPr>
          <w:p w14:paraId="6D2E2779" w14:textId="60974F8B" w:rsidR="007470B7" w:rsidRPr="007470B7" w:rsidRDefault="007470B7" w:rsidP="007470B7">
            <w:pPr>
              <w:jc w:val="center"/>
              <w:rPr>
                <w:rFonts w:ascii="Arial" w:hAnsi="Arial" w:cs="Arial"/>
                <w:sz w:val="16"/>
                <w:szCs w:val="16"/>
                <w:lang w:val="en-US" w:eastAsia="es-AR"/>
              </w:rPr>
            </w:pPr>
            <w:r w:rsidRPr="007470B7">
              <w:rPr>
                <w:rFonts w:ascii="Arial" w:hAnsi="Arial" w:cs="Arial"/>
                <w:sz w:val="16"/>
                <w:szCs w:val="16"/>
                <w:lang w:val="en-US" w:eastAsia="es-AR"/>
              </w:rPr>
              <w:t>07/2027</w:t>
            </w:r>
          </w:p>
        </w:tc>
        <w:tc>
          <w:tcPr>
            <w:tcW w:w="2039" w:type="dxa"/>
            <w:tcBorders>
              <w:top w:val="single" w:sz="4" w:space="0" w:color="auto"/>
              <w:left w:val="nil"/>
              <w:bottom w:val="single" w:sz="4" w:space="0" w:color="auto"/>
              <w:right w:val="single" w:sz="4" w:space="0" w:color="auto"/>
            </w:tcBorders>
          </w:tcPr>
          <w:p w14:paraId="1EAD39FB" w14:textId="76AE0ADB" w:rsidR="007470B7" w:rsidRPr="007470B7" w:rsidRDefault="007470B7" w:rsidP="007470B7">
            <w:pPr>
              <w:jc w:val="center"/>
              <w:rPr>
                <w:rFonts w:ascii="Arial" w:hAnsi="Arial" w:cs="Arial"/>
                <w:sz w:val="16"/>
                <w:szCs w:val="16"/>
                <w:lang w:val="en-US" w:eastAsia="es-AR"/>
              </w:rPr>
            </w:pPr>
            <w:r w:rsidRPr="007470B7">
              <w:rPr>
                <w:rFonts w:ascii="Arial" w:hAnsi="Arial" w:cs="Arial"/>
                <w:sz w:val="16"/>
                <w:szCs w:val="16"/>
                <w:lang w:val="en-US" w:eastAsia="es-AR"/>
              </w:rPr>
              <w:t>Bullet at maturity</w:t>
            </w:r>
          </w:p>
        </w:tc>
        <w:tc>
          <w:tcPr>
            <w:tcW w:w="1417" w:type="dxa"/>
            <w:tcBorders>
              <w:top w:val="single" w:sz="4" w:space="0" w:color="auto"/>
              <w:left w:val="nil"/>
              <w:bottom w:val="single" w:sz="4" w:space="0" w:color="auto"/>
              <w:right w:val="single" w:sz="4" w:space="0" w:color="auto"/>
            </w:tcBorders>
          </w:tcPr>
          <w:p w14:paraId="769610BF" w14:textId="6741EF97" w:rsidR="007470B7" w:rsidRPr="007470B7" w:rsidRDefault="007470B7" w:rsidP="007470B7">
            <w:pPr>
              <w:jc w:val="center"/>
              <w:rPr>
                <w:rFonts w:ascii="Arial" w:hAnsi="Arial" w:cs="Arial"/>
                <w:sz w:val="16"/>
                <w:szCs w:val="16"/>
                <w:lang w:val="en-US" w:eastAsia="es-AR"/>
              </w:rPr>
            </w:pPr>
            <w:r w:rsidRPr="007470B7">
              <w:rPr>
                <w:rFonts w:ascii="Arial" w:hAnsi="Arial" w:cs="Arial"/>
                <w:sz w:val="16"/>
                <w:szCs w:val="16"/>
                <w:lang w:val="en-US" w:eastAsia="es-AR"/>
              </w:rPr>
              <w:t>7.50%</w:t>
            </w:r>
          </w:p>
        </w:tc>
        <w:tc>
          <w:tcPr>
            <w:tcW w:w="0" w:type="auto"/>
            <w:tcBorders>
              <w:top w:val="single" w:sz="4" w:space="0" w:color="auto"/>
              <w:left w:val="nil"/>
              <w:bottom w:val="single" w:sz="4" w:space="0" w:color="auto"/>
              <w:right w:val="single" w:sz="4" w:space="0" w:color="auto"/>
            </w:tcBorders>
          </w:tcPr>
          <w:p w14:paraId="760D62EC" w14:textId="4CE59142" w:rsidR="007470B7" w:rsidRPr="007470B7" w:rsidRDefault="007470B7" w:rsidP="007470B7">
            <w:pPr>
              <w:jc w:val="center"/>
              <w:rPr>
                <w:rFonts w:ascii="Arial" w:hAnsi="Arial" w:cs="Arial"/>
                <w:sz w:val="16"/>
                <w:szCs w:val="16"/>
                <w:lang w:val="en-US" w:eastAsia="es-AR"/>
              </w:rPr>
            </w:pPr>
            <w:r w:rsidRPr="007470B7">
              <w:rPr>
                <w:rFonts w:ascii="Arial" w:hAnsi="Arial" w:cs="Arial"/>
                <w:sz w:val="16"/>
                <w:szCs w:val="16"/>
                <w:lang w:val="en-US" w:eastAsia="es-AR"/>
              </w:rPr>
              <w:t>Quarterly</w:t>
            </w:r>
          </w:p>
        </w:tc>
      </w:tr>
      <w:tr w:rsidR="007470B7" w:rsidRPr="00777D3F" w14:paraId="05F8CE68" w14:textId="77777777" w:rsidTr="00194FDF">
        <w:trPr>
          <w:trHeight w:val="266"/>
          <w:jc w:val="center"/>
        </w:trPr>
        <w:tc>
          <w:tcPr>
            <w:tcW w:w="0" w:type="auto"/>
            <w:tcBorders>
              <w:top w:val="single" w:sz="4" w:space="0" w:color="auto"/>
              <w:left w:val="single" w:sz="4" w:space="0" w:color="auto"/>
              <w:bottom w:val="single" w:sz="4" w:space="0" w:color="auto"/>
              <w:right w:val="single" w:sz="4" w:space="0" w:color="auto"/>
            </w:tcBorders>
          </w:tcPr>
          <w:p w14:paraId="59F67DBA" w14:textId="5D6F899B" w:rsidR="007470B7" w:rsidRPr="007470B7" w:rsidRDefault="007470B7" w:rsidP="007470B7">
            <w:pPr>
              <w:jc w:val="center"/>
              <w:rPr>
                <w:rFonts w:ascii="Arial" w:hAnsi="Arial" w:cs="Arial"/>
                <w:sz w:val="16"/>
                <w:szCs w:val="16"/>
                <w:lang w:val="en-US" w:eastAsia="es-AR"/>
              </w:rPr>
            </w:pPr>
            <w:r w:rsidRPr="007470B7">
              <w:rPr>
                <w:rFonts w:ascii="Arial" w:hAnsi="Arial" w:cs="Arial"/>
                <w:sz w:val="16"/>
                <w:szCs w:val="16"/>
                <w:lang w:val="en-US" w:eastAsia="es-AR"/>
              </w:rPr>
              <w:t>26</w:t>
            </w:r>
          </w:p>
        </w:tc>
        <w:tc>
          <w:tcPr>
            <w:tcW w:w="0" w:type="auto"/>
            <w:tcBorders>
              <w:top w:val="single" w:sz="4" w:space="0" w:color="auto"/>
              <w:left w:val="nil"/>
              <w:bottom w:val="single" w:sz="4" w:space="0" w:color="auto"/>
              <w:right w:val="single" w:sz="4" w:space="0" w:color="auto"/>
            </w:tcBorders>
            <w:noWrap/>
          </w:tcPr>
          <w:p w14:paraId="60422302" w14:textId="3FB1E366" w:rsidR="007470B7" w:rsidRPr="007470B7" w:rsidRDefault="007470B7" w:rsidP="007470B7">
            <w:pPr>
              <w:jc w:val="center"/>
              <w:rPr>
                <w:rFonts w:ascii="Arial" w:hAnsi="Arial" w:cs="Arial"/>
                <w:sz w:val="16"/>
                <w:szCs w:val="16"/>
                <w:lang w:val="en-US" w:eastAsia="es-AR"/>
              </w:rPr>
            </w:pPr>
            <w:r w:rsidRPr="007470B7">
              <w:rPr>
                <w:rFonts w:ascii="Arial" w:hAnsi="Arial" w:cs="Arial"/>
                <w:sz w:val="16"/>
                <w:szCs w:val="16"/>
                <w:lang w:val="en-US" w:eastAsia="es-AR"/>
              </w:rPr>
              <w:t>P$</w:t>
            </w:r>
          </w:p>
        </w:tc>
        <w:tc>
          <w:tcPr>
            <w:tcW w:w="1227" w:type="dxa"/>
            <w:tcBorders>
              <w:top w:val="single" w:sz="4" w:space="0" w:color="auto"/>
              <w:left w:val="nil"/>
              <w:bottom w:val="single" w:sz="4" w:space="0" w:color="auto"/>
              <w:right w:val="single" w:sz="4" w:space="0" w:color="auto"/>
            </w:tcBorders>
          </w:tcPr>
          <w:p w14:paraId="6445E6C8" w14:textId="52B63A64" w:rsidR="007470B7" w:rsidRPr="007470B7" w:rsidRDefault="007470B7" w:rsidP="007470B7">
            <w:pPr>
              <w:jc w:val="center"/>
              <w:rPr>
                <w:rFonts w:ascii="Arial" w:hAnsi="Arial" w:cs="Arial"/>
                <w:sz w:val="16"/>
                <w:szCs w:val="16"/>
                <w:lang w:val="en-US" w:eastAsia="es-AR"/>
              </w:rPr>
            </w:pPr>
            <w:r w:rsidRPr="007470B7">
              <w:rPr>
                <w:rFonts w:ascii="Arial" w:hAnsi="Arial" w:cs="Arial"/>
                <w:sz w:val="16"/>
                <w:szCs w:val="16"/>
                <w:lang w:val="en-US" w:eastAsia="es-AR"/>
              </w:rPr>
              <w:t>57,961.8</w:t>
            </w:r>
          </w:p>
        </w:tc>
        <w:tc>
          <w:tcPr>
            <w:tcW w:w="991" w:type="dxa"/>
            <w:tcBorders>
              <w:top w:val="single" w:sz="4" w:space="0" w:color="auto"/>
              <w:left w:val="nil"/>
              <w:bottom w:val="single" w:sz="4" w:space="0" w:color="auto"/>
              <w:right w:val="single" w:sz="4" w:space="0" w:color="auto"/>
            </w:tcBorders>
          </w:tcPr>
          <w:p w14:paraId="68B36570" w14:textId="59B37EEF" w:rsidR="007470B7" w:rsidRPr="007470B7" w:rsidRDefault="007470B7" w:rsidP="007470B7">
            <w:pPr>
              <w:jc w:val="center"/>
              <w:rPr>
                <w:rFonts w:ascii="Arial" w:hAnsi="Arial" w:cs="Arial"/>
                <w:sz w:val="16"/>
                <w:szCs w:val="16"/>
                <w:lang w:val="en-US" w:eastAsia="es-AR"/>
              </w:rPr>
            </w:pPr>
            <w:r w:rsidRPr="007470B7">
              <w:rPr>
                <w:rFonts w:ascii="Arial" w:hAnsi="Arial" w:cs="Arial"/>
                <w:sz w:val="16"/>
                <w:szCs w:val="16"/>
                <w:lang w:val="en-US" w:eastAsia="es-AR"/>
              </w:rPr>
              <w:t>07/2025</w:t>
            </w:r>
          </w:p>
        </w:tc>
        <w:tc>
          <w:tcPr>
            <w:tcW w:w="1016" w:type="dxa"/>
            <w:tcBorders>
              <w:top w:val="single" w:sz="4" w:space="0" w:color="auto"/>
              <w:left w:val="single" w:sz="4" w:space="0" w:color="auto"/>
              <w:bottom w:val="single" w:sz="4" w:space="0" w:color="auto"/>
              <w:right w:val="single" w:sz="4" w:space="0" w:color="auto"/>
            </w:tcBorders>
          </w:tcPr>
          <w:p w14:paraId="45477146" w14:textId="29D5D1FE" w:rsidR="007470B7" w:rsidRPr="007470B7" w:rsidRDefault="007470B7" w:rsidP="007470B7">
            <w:pPr>
              <w:jc w:val="center"/>
              <w:rPr>
                <w:rFonts w:ascii="Arial" w:hAnsi="Arial" w:cs="Arial"/>
                <w:sz w:val="16"/>
                <w:szCs w:val="16"/>
                <w:lang w:val="en-US" w:eastAsia="es-AR"/>
              </w:rPr>
            </w:pPr>
            <w:r w:rsidRPr="007470B7">
              <w:rPr>
                <w:rFonts w:ascii="Arial" w:hAnsi="Arial" w:cs="Arial"/>
                <w:sz w:val="16"/>
                <w:szCs w:val="16"/>
                <w:lang w:val="en-US" w:eastAsia="es-AR"/>
              </w:rPr>
              <w:t>07/2026</w:t>
            </w:r>
          </w:p>
        </w:tc>
        <w:tc>
          <w:tcPr>
            <w:tcW w:w="2039" w:type="dxa"/>
            <w:tcBorders>
              <w:top w:val="single" w:sz="4" w:space="0" w:color="auto"/>
              <w:left w:val="nil"/>
              <w:bottom w:val="single" w:sz="4" w:space="0" w:color="auto"/>
              <w:right w:val="single" w:sz="4" w:space="0" w:color="auto"/>
            </w:tcBorders>
          </w:tcPr>
          <w:p w14:paraId="60D1605F" w14:textId="29921DB9" w:rsidR="007470B7" w:rsidRPr="007470B7" w:rsidRDefault="007470B7" w:rsidP="007470B7">
            <w:pPr>
              <w:jc w:val="center"/>
              <w:rPr>
                <w:rFonts w:ascii="Arial" w:hAnsi="Arial" w:cs="Arial"/>
                <w:sz w:val="16"/>
                <w:szCs w:val="16"/>
                <w:lang w:val="en-US" w:eastAsia="es-AR"/>
              </w:rPr>
            </w:pPr>
            <w:r w:rsidRPr="007470B7">
              <w:rPr>
                <w:rFonts w:ascii="Arial" w:hAnsi="Arial" w:cs="Arial"/>
                <w:sz w:val="16"/>
                <w:szCs w:val="16"/>
                <w:lang w:val="en-US" w:eastAsia="es-AR"/>
              </w:rPr>
              <w:t>Bullet at maturity</w:t>
            </w:r>
          </w:p>
        </w:tc>
        <w:tc>
          <w:tcPr>
            <w:tcW w:w="1417" w:type="dxa"/>
            <w:tcBorders>
              <w:top w:val="single" w:sz="4" w:space="0" w:color="auto"/>
              <w:left w:val="nil"/>
              <w:bottom w:val="single" w:sz="4" w:space="0" w:color="auto"/>
              <w:right w:val="single" w:sz="4" w:space="0" w:color="auto"/>
            </w:tcBorders>
          </w:tcPr>
          <w:p w14:paraId="5B6B0376" w14:textId="245B2E8F" w:rsidR="007470B7" w:rsidRPr="007470B7" w:rsidRDefault="007470B7" w:rsidP="007470B7">
            <w:pPr>
              <w:jc w:val="center"/>
              <w:rPr>
                <w:rFonts w:ascii="Arial" w:hAnsi="Arial" w:cs="Arial"/>
                <w:sz w:val="16"/>
                <w:szCs w:val="16"/>
                <w:lang w:val="en-US" w:eastAsia="es-AR"/>
              </w:rPr>
            </w:pPr>
            <w:r w:rsidRPr="007470B7">
              <w:rPr>
                <w:rFonts w:ascii="Arial" w:hAnsi="Arial" w:cs="Arial"/>
                <w:sz w:val="16"/>
                <w:szCs w:val="16"/>
                <w:lang w:val="en-US" w:eastAsia="es-AR"/>
              </w:rPr>
              <w:t>TAMAR + 4%</w:t>
            </w:r>
          </w:p>
        </w:tc>
        <w:tc>
          <w:tcPr>
            <w:tcW w:w="0" w:type="auto"/>
            <w:tcBorders>
              <w:top w:val="single" w:sz="4" w:space="0" w:color="auto"/>
              <w:left w:val="nil"/>
              <w:bottom w:val="single" w:sz="4" w:space="0" w:color="auto"/>
              <w:right w:val="single" w:sz="4" w:space="0" w:color="auto"/>
            </w:tcBorders>
          </w:tcPr>
          <w:p w14:paraId="3370B5BC" w14:textId="3A4330BD" w:rsidR="007470B7" w:rsidRPr="007470B7" w:rsidRDefault="007470B7" w:rsidP="007470B7">
            <w:pPr>
              <w:jc w:val="center"/>
              <w:rPr>
                <w:rFonts w:ascii="Arial" w:hAnsi="Arial" w:cs="Arial"/>
                <w:sz w:val="16"/>
                <w:szCs w:val="16"/>
                <w:lang w:val="en-US" w:eastAsia="es-AR"/>
              </w:rPr>
            </w:pPr>
            <w:r w:rsidRPr="007470B7">
              <w:rPr>
                <w:rFonts w:ascii="Arial" w:hAnsi="Arial" w:cs="Arial"/>
                <w:sz w:val="16"/>
                <w:szCs w:val="16"/>
                <w:lang w:val="en-US" w:eastAsia="es-AR"/>
              </w:rPr>
              <w:t>Quarterly</w:t>
            </w:r>
          </w:p>
        </w:tc>
      </w:tr>
    </w:tbl>
    <w:p w14:paraId="35132ED8" w14:textId="77777777" w:rsidR="007470B7" w:rsidRDefault="007470B7" w:rsidP="007470B7">
      <w:pPr>
        <w:pStyle w:val="Prrafodelista"/>
        <w:tabs>
          <w:tab w:val="left" w:pos="720"/>
          <w:tab w:val="left" w:pos="1440"/>
          <w:tab w:val="left" w:pos="2160"/>
          <w:tab w:val="left" w:pos="2880"/>
          <w:tab w:val="left" w:pos="3600"/>
          <w:tab w:val="left" w:pos="5760"/>
          <w:tab w:val="left" w:pos="6804"/>
          <w:tab w:val="left" w:pos="7290"/>
          <w:tab w:val="left" w:pos="7513"/>
          <w:tab w:val="left" w:pos="7830"/>
          <w:tab w:val="left" w:pos="7920"/>
          <w:tab w:val="left" w:pos="8280"/>
          <w:tab w:val="left" w:pos="8640"/>
        </w:tabs>
        <w:spacing w:before="120" w:after="120" w:line="280" w:lineRule="atLeast"/>
        <w:ind w:left="426" w:right="1984"/>
        <w:rPr>
          <w:rFonts w:ascii="Pulso" w:eastAsiaTheme="minorEastAsia" w:hAnsi="Pulso"/>
          <w:b/>
          <w:bCs/>
          <w:color w:val="B989F9"/>
          <w:sz w:val="28"/>
          <w:lang w:val="es-ES" w:eastAsia="zh-CN"/>
        </w:rPr>
      </w:pPr>
    </w:p>
    <w:p w14:paraId="2FA35EEA" w14:textId="77777777" w:rsidR="007470B7" w:rsidRPr="007470B7" w:rsidRDefault="007470B7" w:rsidP="007470B7">
      <w:pPr>
        <w:pStyle w:val="Prrafodelista"/>
        <w:tabs>
          <w:tab w:val="left" w:pos="720"/>
          <w:tab w:val="left" w:pos="1440"/>
          <w:tab w:val="left" w:pos="2160"/>
          <w:tab w:val="left" w:pos="2880"/>
          <w:tab w:val="left" w:pos="3600"/>
          <w:tab w:val="left" w:pos="5760"/>
          <w:tab w:val="left" w:pos="6804"/>
          <w:tab w:val="left" w:pos="7290"/>
          <w:tab w:val="left" w:pos="7513"/>
          <w:tab w:val="left" w:pos="7830"/>
          <w:tab w:val="left" w:pos="7920"/>
          <w:tab w:val="left" w:pos="8280"/>
          <w:tab w:val="left" w:pos="8640"/>
        </w:tabs>
        <w:spacing w:before="120" w:after="120" w:line="280" w:lineRule="atLeast"/>
        <w:ind w:left="426" w:right="1984"/>
        <w:jc w:val="both"/>
        <w:rPr>
          <w:rFonts w:ascii="Pulso" w:eastAsiaTheme="minorEastAsia" w:hAnsi="Pulso"/>
          <w:b/>
          <w:bCs/>
          <w:color w:val="B989F9"/>
          <w:sz w:val="28"/>
          <w:lang w:val="en-US" w:eastAsia="zh-CN"/>
        </w:rPr>
      </w:pPr>
      <w:r w:rsidRPr="007470B7">
        <w:rPr>
          <w:rFonts w:ascii="Pulso" w:eastAsiaTheme="minorEastAsia" w:hAnsi="Pulso"/>
          <w:b/>
          <w:bCs/>
          <w:color w:val="B989F9"/>
          <w:sz w:val="28"/>
          <w:lang w:val="en-US" w:eastAsia="zh-CN"/>
        </w:rPr>
        <w:t>Tap of International Notes – Class 24</w:t>
      </w:r>
    </w:p>
    <w:p w14:paraId="6ED5B765" w14:textId="3A2F1B89" w:rsidR="00862B86" w:rsidRPr="00862B86" w:rsidRDefault="007470B7" w:rsidP="00862B86">
      <w:pPr>
        <w:pStyle w:val="Prrafodelista"/>
        <w:tabs>
          <w:tab w:val="left" w:pos="720"/>
          <w:tab w:val="left" w:pos="1440"/>
          <w:tab w:val="left" w:pos="2160"/>
          <w:tab w:val="left" w:pos="2880"/>
          <w:tab w:val="left" w:pos="3600"/>
          <w:tab w:val="left" w:pos="5760"/>
          <w:tab w:val="left" w:pos="6804"/>
          <w:tab w:val="left" w:pos="7290"/>
          <w:tab w:val="left" w:pos="7513"/>
          <w:tab w:val="left" w:pos="7830"/>
          <w:tab w:val="left" w:pos="7920"/>
          <w:tab w:val="left" w:pos="8280"/>
          <w:tab w:val="left" w:pos="8640"/>
        </w:tabs>
        <w:spacing w:before="120" w:after="120" w:line="280" w:lineRule="atLeast"/>
        <w:ind w:left="426" w:right="1984"/>
        <w:jc w:val="both"/>
        <w:rPr>
          <w:lang w:val="en-US"/>
        </w:rPr>
      </w:pPr>
      <w:r w:rsidRPr="007470B7">
        <w:rPr>
          <w:lang w:val="en-US"/>
        </w:rPr>
        <w:t xml:space="preserve">In July 2025, </w:t>
      </w:r>
      <w:r>
        <w:rPr>
          <w:lang w:val="en-US"/>
        </w:rPr>
        <w:t>the Company</w:t>
      </w:r>
      <w:r w:rsidRPr="007470B7">
        <w:rPr>
          <w:lang w:val="en-US"/>
        </w:rPr>
        <w:t xml:space="preserve"> successfully reopened its </w:t>
      </w:r>
      <w:r>
        <w:rPr>
          <w:lang w:val="en-US"/>
        </w:rPr>
        <w:t>Class</w:t>
      </w:r>
      <w:r w:rsidRPr="007470B7">
        <w:rPr>
          <w:lang w:val="en-US"/>
        </w:rPr>
        <w:t xml:space="preserve"> 24 Notes for an amount of US$200 million, increasing the outstanding amount of the Notes to US$1,000 million. The placement achieved a yield of 8.80%, lower than that obtained in the original issuance. </w:t>
      </w:r>
    </w:p>
    <w:tbl>
      <w:tblPr>
        <w:tblW w:w="8431" w:type="dxa"/>
        <w:jc w:val="center"/>
        <w:tblCellMar>
          <w:left w:w="70" w:type="dxa"/>
          <w:right w:w="70" w:type="dxa"/>
        </w:tblCellMar>
        <w:tblLook w:val="04A0" w:firstRow="1" w:lastRow="0" w:firstColumn="1" w:lastColumn="0" w:noHBand="0" w:noVBand="1"/>
      </w:tblPr>
      <w:tblGrid>
        <w:gridCol w:w="844"/>
        <w:gridCol w:w="843"/>
        <w:gridCol w:w="1202"/>
        <w:gridCol w:w="965"/>
        <w:gridCol w:w="1057"/>
        <w:gridCol w:w="1532"/>
        <w:gridCol w:w="1003"/>
        <w:gridCol w:w="985"/>
      </w:tblGrid>
      <w:tr w:rsidR="00D9710C" w:rsidRPr="008A3981" w14:paraId="16E7BEA8" w14:textId="77777777" w:rsidTr="007470B7">
        <w:trPr>
          <w:trHeight w:val="199"/>
          <w:jc w:val="center"/>
        </w:trPr>
        <w:tc>
          <w:tcPr>
            <w:tcW w:w="0" w:type="auto"/>
            <w:vMerge w:val="restart"/>
            <w:tcBorders>
              <w:top w:val="double" w:sz="6" w:space="0" w:color="auto"/>
              <w:left w:val="double" w:sz="6" w:space="0" w:color="auto"/>
              <w:bottom w:val="single" w:sz="4" w:space="0" w:color="auto"/>
              <w:right w:val="single" w:sz="4" w:space="0" w:color="auto"/>
            </w:tcBorders>
            <w:vAlign w:val="center"/>
            <w:hideMark/>
          </w:tcPr>
          <w:p w14:paraId="42735E55" w14:textId="153BC5EB" w:rsidR="007470B7" w:rsidRPr="008A3981" w:rsidRDefault="007470B7" w:rsidP="007470B7">
            <w:pPr>
              <w:spacing w:before="120" w:after="120"/>
              <w:jc w:val="center"/>
              <w:rPr>
                <w:rFonts w:ascii="Arial" w:hAnsi="Arial" w:cs="Arial"/>
                <w:b/>
                <w:bCs/>
                <w:sz w:val="16"/>
                <w:szCs w:val="16"/>
                <w:lang w:eastAsia="es-AR"/>
              </w:rPr>
            </w:pPr>
            <w:proofErr w:type="spellStart"/>
            <w:r w:rsidRPr="008A3981">
              <w:rPr>
                <w:rFonts w:ascii="Arial" w:hAnsi="Arial" w:cs="Arial"/>
                <w:b/>
                <w:bCs/>
                <w:sz w:val="16"/>
                <w:szCs w:val="16"/>
                <w:lang w:eastAsia="es-AR"/>
              </w:rPr>
              <w:t>Clas</w:t>
            </w:r>
            <w:r>
              <w:rPr>
                <w:rFonts w:ascii="Arial" w:hAnsi="Arial" w:cs="Arial"/>
                <w:b/>
                <w:bCs/>
                <w:sz w:val="16"/>
                <w:szCs w:val="16"/>
                <w:lang w:eastAsia="es-AR"/>
              </w:rPr>
              <w:t>s</w:t>
            </w:r>
            <w:proofErr w:type="spellEnd"/>
          </w:p>
        </w:tc>
        <w:tc>
          <w:tcPr>
            <w:tcW w:w="0" w:type="auto"/>
            <w:vMerge w:val="restart"/>
            <w:tcBorders>
              <w:top w:val="double" w:sz="6" w:space="0" w:color="auto"/>
              <w:left w:val="single" w:sz="4" w:space="0" w:color="auto"/>
              <w:bottom w:val="single" w:sz="4" w:space="0" w:color="auto"/>
              <w:right w:val="single" w:sz="4" w:space="0" w:color="auto"/>
            </w:tcBorders>
            <w:vAlign w:val="center"/>
            <w:hideMark/>
          </w:tcPr>
          <w:p w14:paraId="5EF6B9A5" w14:textId="600EE13C" w:rsidR="007470B7" w:rsidRPr="008A3981" w:rsidRDefault="007470B7" w:rsidP="007470B7">
            <w:pPr>
              <w:spacing w:before="120" w:after="120"/>
              <w:jc w:val="center"/>
              <w:rPr>
                <w:rFonts w:ascii="Arial" w:hAnsi="Arial" w:cs="Arial"/>
                <w:b/>
                <w:bCs/>
                <w:sz w:val="16"/>
                <w:szCs w:val="16"/>
                <w:lang w:eastAsia="es-AR"/>
              </w:rPr>
            </w:pPr>
            <w:proofErr w:type="spellStart"/>
            <w:r>
              <w:rPr>
                <w:rFonts w:ascii="Arial" w:hAnsi="Arial" w:cs="Arial"/>
                <w:b/>
                <w:bCs/>
                <w:sz w:val="16"/>
                <w:szCs w:val="16"/>
                <w:lang w:eastAsia="es-AR"/>
              </w:rPr>
              <w:t>Currency</w:t>
            </w:r>
            <w:proofErr w:type="spellEnd"/>
          </w:p>
        </w:tc>
        <w:tc>
          <w:tcPr>
            <w:tcW w:w="1204" w:type="dxa"/>
            <w:tcBorders>
              <w:top w:val="double" w:sz="6" w:space="0" w:color="auto"/>
              <w:left w:val="nil"/>
              <w:bottom w:val="nil"/>
              <w:right w:val="single" w:sz="4" w:space="0" w:color="auto"/>
            </w:tcBorders>
            <w:vAlign w:val="center"/>
            <w:hideMark/>
          </w:tcPr>
          <w:p w14:paraId="3A3CD5D2" w14:textId="79568587" w:rsidR="007470B7" w:rsidRPr="008A3981" w:rsidRDefault="007470B7" w:rsidP="007470B7">
            <w:pPr>
              <w:spacing w:before="120" w:after="120"/>
              <w:jc w:val="center"/>
              <w:rPr>
                <w:rFonts w:ascii="Arial" w:hAnsi="Arial" w:cs="Arial"/>
                <w:b/>
                <w:bCs/>
                <w:sz w:val="16"/>
                <w:szCs w:val="16"/>
                <w:lang w:eastAsia="es-AR"/>
              </w:rPr>
            </w:pPr>
            <w:r>
              <w:rPr>
                <w:rFonts w:ascii="Arial" w:hAnsi="Arial" w:cs="Arial"/>
                <w:b/>
                <w:bCs/>
                <w:sz w:val="16"/>
                <w:szCs w:val="16"/>
                <w:lang w:eastAsia="es-AR"/>
              </w:rPr>
              <w:t xml:space="preserve">Principal Nominal </w:t>
            </w:r>
            <w:proofErr w:type="spellStart"/>
            <w:r>
              <w:rPr>
                <w:rFonts w:ascii="Arial" w:hAnsi="Arial" w:cs="Arial"/>
                <w:b/>
                <w:bCs/>
                <w:sz w:val="16"/>
                <w:szCs w:val="16"/>
                <w:lang w:eastAsia="es-AR"/>
              </w:rPr>
              <w:t>Amount</w:t>
            </w:r>
            <w:proofErr w:type="spellEnd"/>
          </w:p>
        </w:tc>
        <w:tc>
          <w:tcPr>
            <w:tcW w:w="967" w:type="dxa"/>
            <w:vMerge w:val="restart"/>
            <w:tcBorders>
              <w:top w:val="double" w:sz="6" w:space="0" w:color="auto"/>
              <w:left w:val="single" w:sz="4" w:space="0" w:color="auto"/>
              <w:right w:val="single" w:sz="4" w:space="0" w:color="auto"/>
            </w:tcBorders>
            <w:vAlign w:val="center"/>
          </w:tcPr>
          <w:p w14:paraId="4AE39BD3" w14:textId="42C298D0" w:rsidR="007470B7" w:rsidRPr="008A3981" w:rsidRDefault="007470B7" w:rsidP="007470B7">
            <w:pPr>
              <w:spacing w:before="120" w:after="120"/>
              <w:jc w:val="center"/>
              <w:rPr>
                <w:rFonts w:ascii="Arial" w:hAnsi="Arial" w:cs="Arial"/>
                <w:b/>
                <w:bCs/>
                <w:sz w:val="16"/>
                <w:szCs w:val="16"/>
                <w:lang w:eastAsia="es-AR"/>
              </w:rPr>
            </w:pPr>
            <w:proofErr w:type="spellStart"/>
            <w:r>
              <w:rPr>
                <w:rFonts w:ascii="Arial" w:hAnsi="Arial" w:cs="Arial"/>
                <w:b/>
                <w:bCs/>
                <w:sz w:val="16"/>
                <w:szCs w:val="16"/>
                <w:lang w:eastAsia="es-AR"/>
              </w:rPr>
              <w:t>Issue</w:t>
            </w:r>
            <w:proofErr w:type="spellEnd"/>
            <w:r>
              <w:rPr>
                <w:rFonts w:ascii="Arial" w:hAnsi="Arial" w:cs="Arial"/>
                <w:b/>
                <w:bCs/>
                <w:sz w:val="16"/>
                <w:szCs w:val="16"/>
                <w:lang w:eastAsia="es-AR"/>
              </w:rPr>
              <w:t xml:space="preserve"> Date</w:t>
            </w:r>
          </w:p>
        </w:tc>
        <w:tc>
          <w:tcPr>
            <w:tcW w:w="1058" w:type="dxa"/>
            <w:vMerge w:val="restart"/>
            <w:tcBorders>
              <w:top w:val="double" w:sz="6" w:space="0" w:color="auto"/>
              <w:left w:val="single" w:sz="4" w:space="0" w:color="auto"/>
              <w:bottom w:val="single" w:sz="4" w:space="0" w:color="auto"/>
              <w:right w:val="single" w:sz="4" w:space="0" w:color="auto"/>
            </w:tcBorders>
            <w:vAlign w:val="center"/>
            <w:hideMark/>
          </w:tcPr>
          <w:p w14:paraId="18DDD2E2" w14:textId="7EAB97AA" w:rsidR="007470B7" w:rsidRPr="008A3981" w:rsidRDefault="007470B7" w:rsidP="007470B7">
            <w:pPr>
              <w:spacing w:before="120" w:after="120"/>
              <w:jc w:val="center"/>
              <w:rPr>
                <w:rFonts w:ascii="Arial" w:hAnsi="Arial" w:cs="Arial"/>
                <w:b/>
                <w:bCs/>
                <w:sz w:val="16"/>
                <w:szCs w:val="16"/>
                <w:lang w:eastAsia="es-AR"/>
              </w:rPr>
            </w:pPr>
            <w:proofErr w:type="spellStart"/>
            <w:r>
              <w:rPr>
                <w:rFonts w:ascii="Arial" w:hAnsi="Arial" w:cs="Arial"/>
                <w:b/>
                <w:bCs/>
                <w:sz w:val="16"/>
                <w:szCs w:val="16"/>
                <w:lang w:eastAsia="es-AR"/>
              </w:rPr>
              <w:t>Maturity</w:t>
            </w:r>
            <w:proofErr w:type="spellEnd"/>
            <w:r>
              <w:rPr>
                <w:rFonts w:ascii="Arial" w:hAnsi="Arial" w:cs="Arial"/>
                <w:b/>
                <w:bCs/>
                <w:sz w:val="16"/>
                <w:szCs w:val="16"/>
                <w:lang w:eastAsia="es-AR"/>
              </w:rPr>
              <w:t xml:space="preserve"> Date</w:t>
            </w:r>
          </w:p>
        </w:tc>
        <w:tc>
          <w:tcPr>
            <w:tcW w:w="1534" w:type="dxa"/>
            <w:vMerge w:val="restart"/>
            <w:tcBorders>
              <w:top w:val="double" w:sz="6" w:space="0" w:color="auto"/>
              <w:left w:val="single" w:sz="4" w:space="0" w:color="auto"/>
              <w:bottom w:val="single" w:sz="4" w:space="0" w:color="auto"/>
              <w:right w:val="single" w:sz="4" w:space="0" w:color="auto"/>
            </w:tcBorders>
            <w:vAlign w:val="center"/>
            <w:hideMark/>
          </w:tcPr>
          <w:p w14:paraId="10EFEACA" w14:textId="7BE00151" w:rsidR="007470B7" w:rsidRPr="008A3981" w:rsidRDefault="007470B7" w:rsidP="007470B7">
            <w:pPr>
              <w:spacing w:before="120" w:after="120"/>
              <w:jc w:val="center"/>
              <w:rPr>
                <w:rFonts w:ascii="Arial" w:hAnsi="Arial" w:cs="Arial"/>
                <w:b/>
                <w:bCs/>
                <w:sz w:val="16"/>
                <w:szCs w:val="16"/>
                <w:lang w:eastAsia="es-AR"/>
              </w:rPr>
            </w:pPr>
            <w:r>
              <w:rPr>
                <w:rFonts w:ascii="Arial" w:hAnsi="Arial" w:cs="Arial"/>
                <w:b/>
                <w:bCs/>
                <w:sz w:val="16"/>
                <w:szCs w:val="16"/>
                <w:lang w:eastAsia="es-AR"/>
              </w:rPr>
              <w:t xml:space="preserve">Principal </w:t>
            </w:r>
            <w:proofErr w:type="spellStart"/>
            <w:r>
              <w:rPr>
                <w:rFonts w:ascii="Arial" w:hAnsi="Arial" w:cs="Arial"/>
                <w:b/>
                <w:bCs/>
                <w:sz w:val="16"/>
                <w:szCs w:val="16"/>
                <w:lang w:eastAsia="es-AR"/>
              </w:rPr>
              <w:t>Amortization</w:t>
            </w:r>
            <w:proofErr w:type="spellEnd"/>
          </w:p>
        </w:tc>
        <w:tc>
          <w:tcPr>
            <w:tcW w:w="1004" w:type="dxa"/>
            <w:vMerge w:val="restart"/>
            <w:tcBorders>
              <w:top w:val="double" w:sz="6" w:space="0" w:color="auto"/>
              <w:left w:val="single" w:sz="4" w:space="0" w:color="auto"/>
              <w:bottom w:val="single" w:sz="4" w:space="0" w:color="auto"/>
              <w:right w:val="single" w:sz="4" w:space="0" w:color="auto"/>
            </w:tcBorders>
            <w:vAlign w:val="center"/>
            <w:hideMark/>
          </w:tcPr>
          <w:p w14:paraId="5F0F142F" w14:textId="12A60056" w:rsidR="007470B7" w:rsidRPr="008A3981" w:rsidRDefault="007470B7" w:rsidP="007470B7">
            <w:pPr>
              <w:spacing w:before="120" w:after="120"/>
              <w:jc w:val="center"/>
              <w:rPr>
                <w:rFonts w:ascii="Arial" w:hAnsi="Arial" w:cs="Arial"/>
                <w:b/>
                <w:bCs/>
                <w:sz w:val="16"/>
                <w:szCs w:val="16"/>
                <w:lang w:eastAsia="es-AR"/>
              </w:rPr>
            </w:pPr>
            <w:proofErr w:type="spellStart"/>
            <w:r>
              <w:rPr>
                <w:rFonts w:ascii="Arial" w:hAnsi="Arial" w:cs="Arial"/>
                <w:b/>
                <w:bCs/>
                <w:sz w:val="16"/>
                <w:szCs w:val="16"/>
                <w:lang w:eastAsia="es-AR"/>
              </w:rPr>
              <w:t>Interest</w:t>
            </w:r>
            <w:proofErr w:type="spellEnd"/>
            <w:r>
              <w:rPr>
                <w:rFonts w:ascii="Arial" w:hAnsi="Arial" w:cs="Arial"/>
                <w:b/>
                <w:bCs/>
                <w:sz w:val="16"/>
                <w:szCs w:val="16"/>
                <w:lang w:eastAsia="es-AR"/>
              </w:rPr>
              <w:t xml:space="preserve"> </w:t>
            </w:r>
            <w:proofErr w:type="spellStart"/>
            <w:r>
              <w:rPr>
                <w:rFonts w:ascii="Arial" w:hAnsi="Arial" w:cs="Arial"/>
                <w:b/>
                <w:bCs/>
                <w:sz w:val="16"/>
                <w:szCs w:val="16"/>
                <w:lang w:eastAsia="es-AR"/>
              </w:rPr>
              <w:t>Rate</w:t>
            </w:r>
            <w:proofErr w:type="spellEnd"/>
          </w:p>
        </w:tc>
        <w:tc>
          <w:tcPr>
            <w:tcW w:w="0" w:type="auto"/>
            <w:vMerge w:val="restart"/>
            <w:tcBorders>
              <w:top w:val="double" w:sz="6" w:space="0" w:color="auto"/>
              <w:left w:val="single" w:sz="4" w:space="0" w:color="auto"/>
              <w:bottom w:val="single" w:sz="4" w:space="0" w:color="auto"/>
              <w:right w:val="double" w:sz="6" w:space="0" w:color="auto"/>
            </w:tcBorders>
            <w:vAlign w:val="center"/>
            <w:hideMark/>
          </w:tcPr>
          <w:p w14:paraId="60862FE1" w14:textId="7477E6B5" w:rsidR="007470B7" w:rsidRPr="008A3981" w:rsidRDefault="007470B7" w:rsidP="007470B7">
            <w:pPr>
              <w:spacing w:before="120" w:after="120"/>
              <w:jc w:val="center"/>
              <w:rPr>
                <w:rFonts w:ascii="Arial" w:hAnsi="Arial" w:cs="Arial"/>
                <w:b/>
                <w:bCs/>
                <w:sz w:val="16"/>
                <w:szCs w:val="16"/>
                <w:lang w:eastAsia="es-AR"/>
              </w:rPr>
            </w:pPr>
            <w:proofErr w:type="spellStart"/>
            <w:r>
              <w:rPr>
                <w:rFonts w:ascii="Arial" w:hAnsi="Arial" w:cs="Arial"/>
                <w:b/>
                <w:bCs/>
                <w:sz w:val="16"/>
                <w:szCs w:val="16"/>
                <w:lang w:eastAsia="es-AR"/>
              </w:rPr>
              <w:t>Interest</w:t>
            </w:r>
            <w:proofErr w:type="spellEnd"/>
            <w:r>
              <w:rPr>
                <w:rFonts w:ascii="Arial" w:hAnsi="Arial" w:cs="Arial"/>
                <w:b/>
                <w:bCs/>
                <w:sz w:val="16"/>
                <w:szCs w:val="16"/>
                <w:lang w:eastAsia="es-AR"/>
              </w:rPr>
              <w:t xml:space="preserve"> </w:t>
            </w:r>
            <w:proofErr w:type="spellStart"/>
            <w:r>
              <w:rPr>
                <w:rFonts w:ascii="Arial" w:hAnsi="Arial" w:cs="Arial"/>
                <w:b/>
                <w:bCs/>
                <w:sz w:val="16"/>
                <w:szCs w:val="16"/>
                <w:lang w:eastAsia="es-AR"/>
              </w:rPr>
              <w:t>Payment</w:t>
            </w:r>
            <w:proofErr w:type="spellEnd"/>
          </w:p>
        </w:tc>
      </w:tr>
      <w:tr w:rsidR="00D9710C" w:rsidRPr="008A3981" w14:paraId="1B178663" w14:textId="77777777" w:rsidTr="007470B7">
        <w:trPr>
          <w:trHeight w:val="20"/>
          <w:jc w:val="center"/>
        </w:trPr>
        <w:tc>
          <w:tcPr>
            <w:tcW w:w="0" w:type="auto"/>
            <w:vMerge/>
            <w:tcBorders>
              <w:top w:val="double" w:sz="6" w:space="0" w:color="auto"/>
              <w:left w:val="double" w:sz="6" w:space="0" w:color="auto"/>
              <w:bottom w:val="single" w:sz="4" w:space="0" w:color="auto"/>
              <w:right w:val="single" w:sz="4" w:space="0" w:color="auto"/>
            </w:tcBorders>
            <w:vAlign w:val="center"/>
            <w:hideMark/>
          </w:tcPr>
          <w:p w14:paraId="5389E66E" w14:textId="77777777" w:rsidR="007470B7" w:rsidRPr="008A3981" w:rsidRDefault="007470B7" w:rsidP="00B44B30">
            <w:pPr>
              <w:rPr>
                <w:rFonts w:ascii="Arial" w:hAnsi="Arial" w:cs="Arial"/>
                <w:b/>
                <w:bCs/>
                <w:sz w:val="16"/>
                <w:szCs w:val="16"/>
                <w:lang w:eastAsia="es-AR"/>
              </w:rPr>
            </w:pPr>
          </w:p>
        </w:tc>
        <w:tc>
          <w:tcPr>
            <w:tcW w:w="0" w:type="auto"/>
            <w:vMerge/>
            <w:tcBorders>
              <w:top w:val="double" w:sz="6" w:space="0" w:color="auto"/>
              <w:left w:val="single" w:sz="4" w:space="0" w:color="auto"/>
              <w:bottom w:val="single" w:sz="4" w:space="0" w:color="auto"/>
              <w:right w:val="single" w:sz="4" w:space="0" w:color="auto"/>
            </w:tcBorders>
            <w:vAlign w:val="center"/>
            <w:hideMark/>
          </w:tcPr>
          <w:p w14:paraId="6C59FB06" w14:textId="77777777" w:rsidR="007470B7" w:rsidRPr="008A3981" w:rsidRDefault="007470B7" w:rsidP="00B44B30">
            <w:pPr>
              <w:rPr>
                <w:rFonts w:ascii="Arial" w:hAnsi="Arial" w:cs="Arial"/>
                <w:b/>
                <w:bCs/>
                <w:sz w:val="16"/>
                <w:szCs w:val="16"/>
                <w:lang w:eastAsia="es-AR"/>
              </w:rPr>
            </w:pPr>
          </w:p>
        </w:tc>
        <w:tc>
          <w:tcPr>
            <w:tcW w:w="1204" w:type="dxa"/>
            <w:tcBorders>
              <w:top w:val="nil"/>
              <w:left w:val="single" w:sz="4" w:space="0" w:color="auto"/>
              <w:bottom w:val="single" w:sz="4" w:space="0" w:color="auto"/>
              <w:right w:val="single" w:sz="4" w:space="0" w:color="auto"/>
            </w:tcBorders>
            <w:vAlign w:val="center"/>
            <w:hideMark/>
          </w:tcPr>
          <w:p w14:paraId="5300190D" w14:textId="79C35256" w:rsidR="007470B7" w:rsidRPr="008A3981" w:rsidRDefault="007470B7" w:rsidP="00B44B30">
            <w:pPr>
              <w:jc w:val="center"/>
              <w:rPr>
                <w:rFonts w:ascii="Arial" w:hAnsi="Arial" w:cs="Arial"/>
                <w:b/>
                <w:bCs/>
                <w:sz w:val="16"/>
                <w:szCs w:val="16"/>
                <w:lang w:eastAsia="es-AR"/>
              </w:rPr>
            </w:pPr>
            <w:r w:rsidRPr="008A3981">
              <w:rPr>
                <w:rFonts w:ascii="Arial" w:hAnsi="Arial" w:cs="Arial"/>
                <w:b/>
                <w:bCs/>
                <w:sz w:val="16"/>
                <w:szCs w:val="16"/>
                <w:lang w:eastAsia="es-AR"/>
              </w:rPr>
              <w:t>(</w:t>
            </w:r>
            <w:r>
              <w:rPr>
                <w:rFonts w:ascii="Arial" w:hAnsi="Arial" w:cs="Arial"/>
                <w:b/>
                <w:bCs/>
                <w:sz w:val="16"/>
                <w:szCs w:val="16"/>
                <w:lang w:eastAsia="es-AR"/>
              </w:rPr>
              <w:t xml:space="preserve">in </w:t>
            </w:r>
            <w:proofErr w:type="spellStart"/>
            <w:r>
              <w:rPr>
                <w:rFonts w:ascii="Arial" w:hAnsi="Arial" w:cs="Arial"/>
                <w:b/>
                <w:bCs/>
                <w:sz w:val="16"/>
                <w:szCs w:val="16"/>
                <w:lang w:eastAsia="es-AR"/>
              </w:rPr>
              <w:t>million</w:t>
            </w:r>
            <w:r w:rsidR="0037040C">
              <w:rPr>
                <w:rFonts w:ascii="Arial" w:hAnsi="Arial" w:cs="Arial"/>
                <w:b/>
                <w:bCs/>
                <w:sz w:val="16"/>
                <w:szCs w:val="16"/>
                <w:lang w:eastAsia="es-AR"/>
              </w:rPr>
              <w:t>s</w:t>
            </w:r>
            <w:proofErr w:type="spellEnd"/>
            <w:r w:rsidRPr="008A3981">
              <w:rPr>
                <w:rFonts w:ascii="Arial" w:hAnsi="Arial" w:cs="Arial"/>
                <w:b/>
                <w:bCs/>
                <w:sz w:val="16"/>
                <w:szCs w:val="16"/>
                <w:lang w:eastAsia="es-AR"/>
              </w:rPr>
              <w:t>)</w:t>
            </w:r>
          </w:p>
        </w:tc>
        <w:tc>
          <w:tcPr>
            <w:tcW w:w="967" w:type="dxa"/>
            <w:vMerge/>
            <w:tcBorders>
              <w:left w:val="single" w:sz="4" w:space="0" w:color="auto"/>
              <w:bottom w:val="single" w:sz="4" w:space="0" w:color="auto"/>
              <w:right w:val="single" w:sz="4" w:space="0" w:color="auto"/>
            </w:tcBorders>
            <w:vAlign w:val="center"/>
          </w:tcPr>
          <w:p w14:paraId="45CDFBF0" w14:textId="77777777" w:rsidR="007470B7" w:rsidRPr="008A3981" w:rsidRDefault="007470B7" w:rsidP="00B44B30">
            <w:pPr>
              <w:rPr>
                <w:rFonts w:ascii="Arial" w:hAnsi="Arial" w:cs="Arial"/>
                <w:b/>
                <w:bCs/>
                <w:sz w:val="16"/>
                <w:szCs w:val="16"/>
                <w:lang w:eastAsia="es-AR"/>
              </w:rPr>
            </w:pPr>
          </w:p>
        </w:tc>
        <w:tc>
          <w:tcPr>
            <w:tcW w:w="1058" w:type="dxa"/>
            <w:vMerge/>
            <w:tcBorders>
              <w:top w:val="double" w:sz="6" w:space="0" w:color="auto"/>
              <w:left w:val="single" w:sz="4" w:space="0" w:color="auto"/>
              <w:bottom w:val="single" w:sz="4" w:space="0" w:color="auto"/>
              <w:right w:val="single" w:sz="4" w:space="0" w:color="auto"/>
            </w:tcBorders>
            <w:vAlign w:val="center"/>
            <w:hideMark/>
          </w:tcPr>
          <w:p w14:paraId="0A46F577" w14:textId="77777777" w:rsidR="007470B7" w:rsidRPr="008A3981" w:rsidRDefault="007470B7" w:rsidP="00B44B30">
            <w:pPr>
              <w:rPr>
                <w:rFonts w:ascii="Arial" w:hAnsi="Arial" w:cs="Arial"/>
                <w:b/>
                <w:bCs/>
                <w:sz w:val="16"/>
                <w:szCs w:val="16"/>
                <w:lang w:eastAsia="es-AR"/>
              </w:rPr>
            </w:pPr>
          </w:p>
        </w:tc>
        <w:tc>
          <w:tcPr>
            <w:tcW w:w="1534" w:type="dxa"/>
            <w:vMerge/>
            <w:tcBorders>
              <w:top w:val="double" w:sz="6" w:space="0" w:color="auto"/>
              <w:left w:val="single" w:sz="4" w:space="0" w:color="auto"/>
              <w:bottom w:val="single" w:sz="4" w:space="0" w:color="auto"/>
              <w:right w:val="single" w:sz="4" w:space="0" w:color="auto"/>
            </w:tcBorders>
            <w:vAlign w:val="center"/>
            <w:hideMark/>
          </w:tcPr>
          <w:p w14:paraId="5F439073" w14:textId="77777777" w:rsidR="007470B7" w:rsidRPr="008A3981" w:rsidRDefault="007470B7" w:rsidP="00B44B30">
            <w:pPr>
              <w:rPr>
                <w:rFonts w:ascii="Arial" w:hAnsi="Arial" w:cs="Arial"/>
                <w:b/>
                <w:bCs/>
                <w:sz w:val="16"/>
                <w:szCs w:val="16"/>
                <w:lang w:eastAsia="es-AR"/>
              </w:rPr>
            </w:pPr>
          </w:p>
        </w:tc>
        <w:tc>
          <w:tcPr>
            <w:tcW w:w="1004" w:type="dxa"/>
            <w:vMerge/>
            <w:tcBorders>
              <w:top w:val="double" w:sz="6" w:space="0" w:color="auto"/>
              <w:left w:val="single" w:sz="4" w:space="0" w:color="auto"/>
              <w:bottom w:val="single" w:sz="4" w:space="0" w:color="auto"/>
              <w:right w:val="single" w:sz="4" w:space="0" w:color="auto"/>
            </w:tcBorders>
            <w:vAlign w:val="center"/>
            <w:hideMark/>
          </w:tcPr>
          <w:p w14:paraId="3E096AC9" w14:textId="77777777" w:rsidR="007470B7" w:rsidRPr="008A3981" w:rsidRDefault="007470B7" w:rsidP="00B44B30">
            <w:pPr>
              <w:rPr>
                <w:rFonts w:ascii="Arial" w:hAnsi="Arial" w:cs="Arial"/>
                <w:b/>
                <w:bCs/>
                <w:sz w:val="16"/>
                <w:szCs w:val="16"/>
                <w:lang w:eastAsia="es-AR"/>
              </w:rPr>
            </w:pPr>
          </w:p>
        </w:tc>
        <w:tc>
          <w:tcPr>
            <w:tcW w:w="0" w:type="auto"/>
            <w:vMerge/>
            <w:tcBorders>
              <w:top w:val="double" w:sz="6" w:space="0" w:color="auto"/>
              <w:left w:val="single" w:sz="4" w:space="0" w:color="auto"/>
              <w:bottom w:val="single" w:sz="4" w:space="0" w:color="auto"/>
              <w:right w:val="double" w:sz="6" w:space="0" w:color="auto"/>
            </w:tcBorders>
            <w:vAlign w:val="center"/>
            <w:hideMark/>
          </w:tcPr>
          <w:p w14:paraId="0A528727" w14:textId="77777777" w:rsidR="007470B7" w:rsidRPr="008A3981" w:rsidRDefault="007470B7" w:rsidP="00B44B30">
            <w:pPr>
              <w:rPr>
                <w:rFonts w:ascii="Arial" w:hAnsi="Arial" w:cs="Arial"/>
                <w:b/>
                <w:bCs/>
                <w:sz w:val="16"/>
                <w:szCs w:val="16"/>
                <w:lang w:eastAsia="es-AR"/>
              </w:rPr>
            </w:pPr>
          </w:p>
        </w:tc>
      </w:tr>
      <w:tr w:rsidR="00D9710C" w:rsidRPr="008A3981" w14:paraId="6ADCA45E" w14:textId="77777777" w:rsidTr="007470B7">
        <w:trPr>
          <w:trHeight w:val="557"/>
          <w:jc w:val="center"/>
        </w:trPr>
        <w:tc>
          <w:tcPr>
            <w:tcW w:w="0" w:type="auto"/>
            <w:tcBorders>
              <w:top w:val="nil"/>
              <w:left w:val="double" w:sz="6" w:space="0" w:color="auto"/>
              <w:bottom w:val="double" w:sz="6" w:space="0" w:color="auto"/>
              <w:right w:val="single" w:sz="4" w:space="0" w:color="auto"/>
            </w:tcBorders>
          </w:tcPr>
          <w:p w14:paraId="708B45AD" w14:textId="672AD2EB" w:rsidR="007470B7" w:rsidRPr="008A3981" w:rsidRDefault="007470B7" w:rsidP="007470B7">
            <w:pPr>
              <w:jc w:val="center"/>
              <w:rPr>
                <w:rFonts w:ascii="Arial" w:hAnsi="Arial" w:cs="Arial"/>
                <w:sz w:val="16"/>
                <w:szCs w:val="16"/>
                <w:lang w:val="en-US" w:eastAsia="es-AR"/>
              </w:rPr>
            </w:pPr>
            <w:r w:rsidRPr="007470B7">
              <w:rPr>
                <w:rFonts w:ascii="Arial" w:hAnsi="Arial" w:cs="Arial"/>
                <w:sz w:val="16"/>
                <w:szCs w:val="16"/>
                <w:lang w:val="en-US" w:eastAsia="es-AR"/>
              </w:rPr>
              <w:t>Add</w:t>
            </w:r>
            <w:r w:rsidR="00D9710C">
              <w:rPr>
                <w:rFonts w:ascii="Arial" w:hAnsi="Arial" w:cs="Arial"/>
                <w:sz w:val="16"/>
                <w:szCs w:val="16"/>
                <w:lang w:val="en-US" w:eastAsia="es-AR"/>
              </w:rPr>
              <w:t xml:space="preserve">itional </w:t>
            </w:r>
            <w:r w:rsidRPr="007470B7">
              <w:rPr>
                <w:rFonts w:ascii="Arial" w:hAnsi="Arial" w:cs="Arial"/>
                <w:sz w:val="16"/>
                <w:szCs w:val="16"/>
                <w:lang w:val="en-US" w:eastAsia="es-AR"/>
              </w:rPr>
              <w:t>24</w:t>
            </w:r>
          </w:p>
        </w:tc>
        <w:tc>
          <w:tcPr>
            <w:tcW w:w="0" w:type="auto"/>
            <w:tcBorders>
              <w:top w:val="nil"/>
              <w:left w:val="nil"/>
              <w:bottom w:val="double" w:sz="6" w:space="0" w:color="auto"/>
              <w:right w:val="single" w:sz="4" w:space="0" w:color="auto"/>
            </w:tcBorders>
            <w:noWrap/>
          </w:tcPr>
          <w:p w14:paraId="29FCE327" w14:textId="2E31D643" w:rsidR="007470B7" w:rsidRPr="007470B7" w:rsidRDefault="007470B7" w:rsidP="007470B7">
            <w:pPr>
              <w:jc w:val="center"/>
              <w:rPr>
                <w:rFonts w:ascii="Arial" w:hAnsi="Arial" w:cs="Arial"/>
                <w:sz w:val="16"/>
                <w:szCs w:val="16"/>
                <w:lang w:val="en-US" w:eastAsia="es-AR"/>
              </w:rPr>
            </w:pPr>
            <w:r w:rsidRPr="007470B7">
              <w:rPr>
                <w:rFonts w:ascii="Arial" w:hAnsi="Arial" w:cs="Arial"/>
                <w:sz w:val="16"/>
                <w:szCs w:val="16"/>
                <w:lang w:val="en-US" w:eastAsia="es-AR"/>
              </w:rPr>
              <w:t>US$</w:t>
            </w:r>
          </w:p>
        </w:tc>
        <w:tc>
          <w:tcPr>
            <w:tcW w:w="1204" w:type="dxa"/>
            <w:tcBorders>
              <w:top w:val="nil"/>
              <w:left w:val="nil"/>
              <w:bottom w:val="double" w:sz="6" w:space="0" w:color="auto"/>
              <w:right w:val="single" w:sz="4" w:space="0" w:color="auto"/>
            </w:tcBorders>
          </w:tcPr>
          <w:p w14:paraId="65A318D2" w14:textId="0EBDFA07" w:rsidR="007470B7" w:rsidRPr="007470B7" w:rsidRDefault="007470B7" w:rsidP="007470B7">
            <w:pPr>
              <w:jc w:val="center"/>
              <w:rPr>
                <w:rFonts w:ascii="Arial" w:hAnsi="Arial" w:cs="Arial"/>
                <w:sz w:val="16"/>
                <w:szCs w:val="16"/>
                <w:lang w:val="en-US" w:eastAsia="es-AR"/>
              </w:rPr>
            </w:pPr>
            <w:r w:rsidRPr="007470B7">
              <w:rPr>
                <w:rFonts w:ascii="Arial" w:hAnsi="Arial" w:cs="Arial"/>
                <w:sz w:val="16"/>
                <w:szCs w:val="16"/>
                <w:lang w:val="en-US" w:eastAsia="es-AR"/>
              </w:rPr>
              <w:t>200</w:t>
            </w:r>
          </w:p>
        </w:tc>
        <w:tc>
          <w:tcPr>
            <w:tcW w:w="967" w:type="dxa"/>
            <w:tcBorders>
              <w:top w:val="nil"/>
              <w:left w:val="nil"/>
              <w:bottom w:val="double" w:sz="6" w:space="0" w:color="auto"/>
              <w:right w:val="single" w:sz="4" w:space="0" w:color="auto"/>
            </w:tcBorders>
          </w:tcPr>
          <w:p w14:paraId="3CFC1F55" w14:textId="579A7535" w:rsidR="007470B7" w:rsidRPr="007470B7" w:rsidRDefault="007470B7" w:rsidP="007470B7">
            <w:pPr>
              <w:jc w:val="center"/>
              <w:rPr>
                <w:rFonts w:ascii="Arial" w:hAnsi="Arial" w:cs="Arial"/>
                <w:sz w:val="16"/>
                <w:szCs w:val="16"/>
                <w:lang w:val="en-US" w:eastAsia="es-AR"/>
              </w:rPr>
            </w:pPr>
            <w:r w:rsidRPr="007470B7">
              <w:rPr>
                <w:rFonts w:ascii="Arial" w:hAnsi="Arial" w:cs="Arial"/>
                <w:sz w:val="16"/>
                <w:szCs w:val="16"/>
                <w:lang w:val="en-US" w:eastAsia="es-AR"/>
              </w:rPr>
              <w:t>July 29, 2025</w:t>
            </w:r>
          </w:p>
        </w:tc>
        <w:tc>
          <w:tcPr>
            <w:tcW w:w="1058" w:type="dxa"/>
            <w:tcBorders>
              <w:top w:val="nil"/>
              <w:left w:val="single" w:sz="4" w:space="0" w:color="auto"/>
              <w:bottom w:val="double" w:sz="6" w:space="0" w:color="auto"/>
              <w:right w:val="single" w:sz="4" w:space="0" w:color="auto"/>
            </w:tcBorders>
          </w:tcPr>
          <w:p w14:paraId="2F4AE110" w14:textId="2480B9B8" w:rsidR="007470B7" w:rsidRPr="007470B7" w:rsidRDefault="007470B7" w:rsidP="007470B7">
            <w:pPr>
              <w:jc w:val="center"/>
              <w:rPr>
                <w:rFonts w:ascii="Arial" w:hAnsi="Arial" w:cs="Arial"/>
                <w:sz w:val="16"/>
                <w:szCs w:val="16"/>
                <w:lang w:val="en-US" w:eastAsia="es-AR"/>
              </w:rPr>
            </w:pPr>
            <w:r w:rsidRPr="007470B7">
              <w:rPr>
                <w:rFonts w:ascii="Arial" w:hAnsi="Arial" w:cs="Arial"/>
                <w:sz w:val="16"/>
                <w:szCs w:val="16"/>
                <w:lang w:val="en-US" w:eastAsia="es-AR"/>
              </w:rPr>
              <w:t>May 28, 2033</w:t>
            </w:r>
          </w:p>
        </w:tc>
        <w:tc>
          <w:tcPr>
            <w:tcW w:w="1534" w:type="dxa"/>
            <w:tcBorders>
              <w:top w:val="nil"/>
              <w:left w:val="nil"/>
              <w:bottom w:val="double" w:sz="6" w:space="0" w:color="auto"/>
              <w:right w:val="single" w:sz="4" w:space="0" w:color="auto"/>
            </w:tcBorders>
          </w:tcPr>
          <w:p w14:paraId="7992DFA0" w14:textId="2E6B2BF1" w:rsidR="007470B7" w:rsidRPr="007470B7" w:rsidRDefault="007470B7" w:rsidP="007470B7">
            <w:pPr>
              <w:jc w:val="center"/>
              <w:rPr>
                <w:rFonts w:ascii="Arial" w:hAnsi="Arial" w:cs="Arial"/>
                <w:sz w:val="16"/>
                <w:szCs w:val="16"/>
                <w:lang w:val="en-US" w:eastAsia="es-AR"/>
              </w:rPr>
            </w:pPr>
            <w:r w:rsidRPr="007470B7">
              <w:rPr>
                <w:rFonts w:ascii="Arial" w:hAnsi="Arial" w:cs="Arial"/>
                <w:sz w:val="16"/>
                <w:szCs w:val="16"/>
                <w:lang w:val="en-US" w:eastAsia="es-AR"/>
              </w:rPr>
              <w:t>- 50% on May 28, 2032</w:t>
            </w:r>
            <w:r w:rsidRPr="007470B7">
              <w:rPr>
                <w:rFonts w:ascii="Arial" w:hAnsi="Arial" w:cs="Arial"/>
                <w:sz w:val="16"/>
                <w:szCs w:val="16"/>
                <w:lang w:val="en-US" w:eastAsia="es-AR"/>
              </w:rPr>
              <w:br/>
              <w:t>- 50% on May 28, 2033</w:t>
            </w:r>
          </w:p>
        </w:tc>
        <w:tc>
          <w:tcPr>
            <w:tcW w:w="1004" w:type="dxa"/>
            <w:tcBorders>
              <w:top w:val="nil"/>
              <w:left w:val="nil"/>
              <w:bottom w:val="double" w:sz="6" w:space="0" w:color="auto"/>
              <w:right w:val="single" w:sz="4" w:space="0" w:color="auto"/>
            </w:tcBorders>
          </w:tcPr>
          <w:p w14:paraId="07C600ED" w14:textId="6081889A" w:rsidR="007470B7" w:rsidRPr="007470B7" w:rsidRDefault="007470B7" w:rsidP="007470B7">
            <w:pPr>
              <w:jc w:val="center"/>
              <w:rPr>
                <w:rFonts w:ascii="Arial" w:hAnsi="Arial" w:cs="Arial"/>
                <w:sz w:val="16"/>
                <w:szCs w:val="16"/>
                <w:lang w:val="en-US" w:eastAsia="es-AR"/>
              </w:rPr>
            </w:pPr>
            <w:r w:rsidRPr="007470B7">
              <w:rPr>
                <w:rFonts w:ascii="Arial" w:hAnsi="Arial" w:cs="Arial"/>
                <w:sz w:val="16"/>
                <w:szCs w:val="16"/>
                <w:lang w:val="en-US" w:eastAsia="es-AR"/>
              </w:rPr>
              <w:t>9.25% (8.80% yield*)</w:t>
            </w:r>
          </w:p>
        </w:tc>
        <w:tc>
          <w:tcPr>
            <w:tcW w:w="0" w:type="auto"/>
            <w:tcBorders>
              <w:top w:val="nil"/>
              <w:left w:val="nil"/>
              <w:bottom w:val="double" w:sz="6" w:space="0" w:color="auto"/>
              <w:right w:val="double" w:sz="6" w:space="0" w:color="auto"/>
            </w:tcBorders>
          </w:tcPr>
          <w:p w14:paraId="521E2E22" w14:textId="2D9B5982" w:rsidR="007470B7" w:rsidRPr="007470B7" w:rsidRDefault="007470B7" w:rsidP="007470B7">
            <w:pPr>
              <w:jc w:val="center"/>
              <w:rPr>
                <w:rFonts w:ascii="Arial" w:hAnsi="Arial" w:cs="Arial"/>
                <w:sz w:val="16"/>
                <w:szCs w:val="16"/>
                <w:lang w:val="en-US" w:eastAsia="es-AR"/>
              </w:rPr>
            </w:pPr>
            <w:r w:rsidRPr="007470B7">
              <w:rPr>
                <w:rFonts w:ascii="Arial" w:hAnsi="Arial" w:cs="Arial"/>
                <w:sz w:val="16"/>
                <w:szCs w:val="16"/>
                <w:lang w:val="en-US" w:eastAsia="es-AR"/>
              </w:rPr>
              <w:t>Semiannual</w:t>
            </w:r>
          </w:p>
        </w:tc>
      </w:tr>
    </w:tbl>
    <w:p w14:paraId="2D9A9812" w14:textId="46FAAF52" w:rsidR="007470B7" w:rsidRPr="00D9710C" w:rsidRDefault="007470B7" w:rsidP="007470B7">
      <w:pPr>
        <w:tabs>
          <w:tab w:val="left" w:pos="1440"/>
          <w:tab w:val="left" w:pos="2160"/>
          <w:tab w:val="left" w:pos="2880"/>
          <w:tab w:val="left" w:pos="3600"/>
          <w:tab w:val="left" w:pos="4320"/>
          <w:tab w:val="left" w:pos="5040"/>
          <w:tab w:val="left" w:pos="5760"/>
          <w:tab w:val="left" w:pos="6804"/>
          <w:tab w:val="left" w:pos="7290"/>
          <w:tab w:val="left" w:pos="7513"/>
          <w:tab w:val="left" w:pos="7830"/>
          <w:tab w:val="left" w:pos="7920"/>
          <w:tab w:val="left" w:pos="8280"/>
          <w:tab w:val="left" w:pos="8640"/>
        </w:tabs>
        <w:spacing w:after="0" w:line="240" w:lineRule="auto"/>
        <w:ind w:right="1984" w:firstLine="709"/>
        <w:jc w:val="both"/>
        <w:rPr>
          <w:lang w:val="en-US"/>
        </w:rPr>
      </w:pPr>
      <w:r w:rsidRPr="00D9710C">
        <w:rPr>
          <w:rFonts w:ascii="Arial" w:hAnsi="Arial" w:cs="Arial"/>
          <w:sz w:val="14"/>
          <w:szCs w:val="14"/>
          <w:lang w:val="en-US"/>
        </w:rPr>
        <w:t>*</w:t>
      </w:r>
      <w:r w:rsidR="00D9710C" w:rsidRPr="00D9710C">
        <w:rPr>
          <w:rFonts w:ascii="Segoe UI" w:hAnsi="Segoe UI" w:cs="Segoe UI"/>
          <w:color w:val="424242"/>
          <w:shd w:val="clear" w:color="auto" w:fill="FAFAFA"/>
          <w:lang w:val="en-US"/>
        </w:rPr>
        <w:t xml:space="preserve"> </w:t>
      </w:r>
      <w:r w:rsidR="00D9710C" w:rsidRPr="00D9710C">
        <w:rPr>
          <w:rFonts w:ascii="Arial" w:hAnsi="Arial" w:cs="Arial"/>
          <w:sz w:val="14"/>
          <w:szCs w:val="14"/>
          <w:lang w:val="en-US"/>
        </w:rPr>
        <w:t>Issue price: 102.369% of the Notes’ Nominal Value</w:t>
      </w:r>
    </w:p>
    <w:p w14:paraId="1EC8B000" w14:textId="77777777" w:rsidR="007470B7" w:rsidRPr="00D9710C" w:rsidRDefault="007470B7" w:rsidP="007470B7">
      <w:pPr>
        <w:pStyle w:val="Prrafodelista"/>
        <w:tabs>
          <w:tab w:val="left" w:pos="720"/>
          <w:tab w:val="left" w:pos="1440"/>
          <w:tab w:val="left" w:pos="2160"/>
          <w:tab w:val="left" w:pos="2880"/>
          <w:tab w:val="left" w:pos="3600"/>
          <w:tab w:val="left" w:pos="4320"/>
          <w:tab w:val="left" w:pos="5040"/>
          <w:tab w:val="left" w:pos="5760"/>
          <w:tab w:val="left" w:pos="6804"/>
          <w:tab w:val="left" w:pos="7290"/>
          <w:tab w:val="left" w:pos="7513"/>
          <w:tab w:val="left" w:pos="7830"/>
          <w:tab w:val="left" w:pos="7920"/>
          <w:tab w:val="left" w:pos="8280"/>
          <w:tab w:val="left" w:pos="8640"/>
        </w:tabs>
        <w:spacing w:before="240" w:after="120" w:line="280" w:lineRule="atLeast"/>
        <w:ind w:left="426" w:right="1984"/>
        <w:jc w:val="both"/>
        <w:rPr>
          <w:rFonts w:ascii="Arial" w:hAnsi="Arial" w:cs="Arial"/>
          <w:lang w:val="en-US"/>
        </w:rPr>
      </w:pPr>
    </w:p>
    <w:p w14:paraId="6380E433" w14:textId="1CF69862" w:rsidR="0054467A" w:rsidRPr="007A578E" w:rsidRDefault="0015410F" w:rsidP="007A578E">
      <w:pPr>
        <w:ind w:right="1984"/>
        <w:jc w:val="center"/>
        <w:rPr>
          <w:rStyle w:val="nfasissutil"/>
          <w:lang w:val="en-US"/>
        </w:rPr>
      </w:pPr>
      <w:r w:rsidRPr="00D77CA4">
        <w:rPr>
          <w:rFonts w:ascii="Calibri" w:hAnsi="Calibri"/>
          <w:b/>
          <w:color w:val="808080"/>
          <w:sz w:val="18"/>
          <w:szCs w:val="18"/>
          <w:lang w:val="en-US"/>
        </w:rPr>
        <w:t>*******</w:t>
      </w:r>
    </w:p>
    <w:p w14:paraId="2652D6FC" w14:textId="0AA127CF" w:rsidR="00E929B9" w:rsidRPr="00384725" w:rsidRDefault="006462F3" w:rsidP="00D92436">
      <w:pPr>
        <w:pStyle w:val="Textoindependiente2"/>
        <w:spacing w:line="240" w:lineRule="auto"/>
        <w:ind w:right="-142"/>
        <w:jc w:val="both"/>
        <w:rPr>
          <w:i/>
          <w:iCs/>
          <w:color w:val="808080" w:themeColor="background1" w:themeShade="80"/>
          <w:sz w:val="15"/>
          <w:lang w:val="en-US"/>
        </w:rPr>
      </w:pPr>
      <w:r w:rsidRPr="00384725">
        <w:rPr>
          <w:rStyle w:val="nfasissutil"/>
          <w:color w:val="808080" w:themeColor="background1" w:themeShade="80"/>
          <w:lang w:val="en-US"/>
        </w:rPr>
        <w:lastRenderedPageBreak/>
        <w:t xml:space="preserve">Telecom Argentina is a leading telecommunications company in Argentina, </w:t>
      </w:r>
      <w:r w:rsidR="00371B5F">
        <w:rPr>
          <w:rStyle w:val="nfasissutil"/>
          <w:color w:val="808080" w:themeColor="background1" w:themeShade="80"/>
          <w:lang w:val="en-US"/>
        </w:rPr>
        <w:t xml:space="preserve">offering </w:t>
      </w:r>
      <w:r w:rsidRPr="00384725">
        <w:rPr>
          <w:rStyle w:val="nfasissutil"/>
          <w:color w:val="808080" w:themeColor="background1" w:themeShade="80"/>
          <w:lang w:val="en-US"/>
        </w:rPr>
        <w:t>local and long distance fixed-line telephon</w:t>
      </w:r>
      <w:r w:rsidR="00270C46" w:rsidRPr="00384725">
        <w:rPr>
          <w:rStyle w:val="nfasissutil"/>
          <w:color w:val="808080" w:themeColor="background1" w:themeShade="80"/>
          <w:lang w:val="en-US"/>
        </w:rPr>
        <w:t>e</w:t>
      </w:r>
      <w:r w:rsidRPr="00384725">
        <w:rPr>
          <w:rStyle w:val="nfasissutil"/>
          <w:color w:val="808080" w:themeColor="background1" w:themeShade="80"/>
          <w:lang w:val="en-US"/>
        </w:rPr>
        <w:t>, cellular, data transmission, and pay TV and Internet services, among other services. Additionally, Telecom Argentina offers mobile, broadband and satellite TV services in Paraguay and pay TV services in Uruguay. The Company commenced operations on November 8, 1990, upon the Argentine government</w:t>
      </w:r>
      <w:r w:rsidR="003971BB" w:rsidRPr="00384725">
        <w:rPr>
          <w:rStyle w:val="nfasissutil"/>
          <w:color w:val="808080" w:themeColor="background1" w:themeShade="80"/>
          <w:lang w:val="en-US"/>
        </w:rPr>
        <w:t>’</w:t>
      </w:r>
      <w:r w:rsidRPr="00384725">
        <w:rPr>
          <w:rStyle w:val="nfasissutil"/>
          <w:color w:val="808080" w:themeColor="background1" w:themeShade="80"/>
          <w:lang w:val="en-US"/>
        </w:rPr>
        <w:t>s transfer of the telecommunications system in the northern region of Argentina.</w:t>
      </w:r>
      <w:r w:rsidR="00E929B9" w:rsidRPr="00384725">
        <w:rPr>
          <w:rStyle w:val="nfasissutil"/>
          <w:color w:val="808080" w:themeColor="background1" w:themeShade="80"/>
          <w:lang w:val="en-US"/>
        </w:rPr>
        <w:t xml:space="preserve">  </w:t>
      </w:r>
    </w:p>
    <w:p w14:paraId="530E4DD3" w14:textId="4E7613C1" w:rsidR="00E929B9" w:rsidRPr="00D80360" w:rsidRDefault="006462F3" w:rsidP="005A5745">
      <w:pPr>
        <w:pStyle w:val="Textoindependiente2"/>
        <w:spacing w:after="0" w:line="240" w:lineRule="auto"/>
        <w:ind w:right="-142"/>
        <w:jc w:val="both"/>
        <w:rPr>
          <w:lang w:val="en-US"/>
        </w:rPr>
      </w:pPr>
      <w:r w:rsidRPr="00946182">
        <w:rPr>
          <w:lang w:val="en-US"/>
        </w:rPr>
        <w:t xml:space="preserve">As of </w:t>
      </w:r>
      <w:r w:rsidR="00B22DC4">
        <w:rPr>
          <w:lang w:val="en-US"/>
        </w:rPr>
        <w:t>June 30</w:t>
      </w:r>
      <w:r w:rsidR="000C3681">
        <w:rPr>
          <w:lang w:val="en-US"/>
        </w:rPr>
        <w:t xml:space="preserve">, </w:t>
      </w:r>
      <w:r w:rsidR="0039328C">
        <w:rPr>
          <w:lang w:val="en-US"/>
        </w:rPr>
        <w:t>2025</w:t>
      </w:r>
      <w:r w:rsidRPr="00946182">
        <w:rPr>
          <w:lang w:val="en-US"/>
        </w:rPr>
        <w:t>, Telecom Argentina owns 2,153,688,011 issued and outstanding shares</w:t>
      </w:r>
      <w:r w:rsidR="00E929B9" w:rsidRPr="00946182">
        <w:rPr>
          <w:lang w:val="en-US"/>
        </w:rPr>
        <w:t>.</w:t>
      </w:r>
      <w:r w:rsidR="00333573" w:rsidRPr="00D80360">
        <w:rPr>
          <w:lang w:val="en-US"/>
        </w:rPr>
        <w:t xml:space="preserve"> </w:t>
      </w:r>
    </w:p>
    <w:p w14:paraId="4BA68665" w14:textId="78E40912" w:rsidR="00E929B9" w:rsidRPr="00D80360" w:rsidRDefault="00E929B9" w:rsidP="00D92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2"/>
        <w:rPr>
          <w:rFonts w:ascii="Calibri" w:hAnsi="Calibri" w:cs="Arial"/>
          <w:color w:val="808080"/>
          <w:sz w:val="16"/>
          <w:szCs w:val="16"/>
          <w:lang w:val="en-US"/>
        </w:rPr>
      </w:pPr>
    </w:p>
    <w:p w14:paraId="293F37FE" w14:textId="3F791234" w:rsidR="00E929B9" w:rsidRPr="00D77CA4" w:rsidRDefault="006462F3" w:rsidP="00AB5AB0">
      <w:pPr>
        <w:ind w:right="-142"/>
        <w:rPr>
          <w:rFonts w:cs="Arial"/>
          <w:b/>
          <w:color w:val="28096A"/>
          <w:szCs w:val="16"/>
          <w:lang w:val="en-US"/>
        </w:rPr>
      </w:pPr>
      <w:r w:rsidRPr="006462F3">
        <w:rPr>
          <w:rFonts w:cs="Arial"/>
          <w:b/>
          <w:color w:val="28096A"/>
          <w:szCs w:val="16"/>
          <w:lang w:val="en-US"/>
        </w:rPr>
        <w:t>For more information, please contact Investor Relations</w:t>
      </w:r>
      <w:r w:rsidR="00E929B9" w:rsidRPr="00D77CA4">
        <w:rPr>
          <w:rFonts w:cs="Arial"/>
          <w:b/>
          <w:color w:val="28096A"/>
          <w:szCs w:val="16"/>
          <w:lang w:val="en-US"/>
        </w:rPr>
        <w:t>:</w:t>
      </w:r>
    </w:p>
    <w:tbl>
      <w:tblPr>
        <w:tblW w:w="9830" w:type="dxa"/>
        <w:tblLook w:val="01E0" w:firstRow="1" w:lastRow="1" w:firstColumn="1" w:lastColumn="1" w:noHBand="0" w:noVBand="0"/>
      </w:tblPr>
      <w:tblGrid>
        <w:gridCol w:w="2977"/>
        <w:gridCol w:w="2671"/>
        <w:gridCol w:w="1619"/>
        <w:gridCol w:w="2563"/>
      </w:tblGrid>
      <w:tr w:rsidR="0039328C" w:rsidRPr="001013A3" w14:paraId="56380AFC" w14:textId="77777777" w:rsidTr="0039328C">
        <w:trPr>
          <w:trHeight w:val="652"/>
        </w:trPr>
        <w:tc>
          <w:tcPr>
            <w:tcW w:w="2977" w:type="dxa"/>
            <w:shd w:val="clear" w:color="auto" w:fill="DFDCF6"/>
            <w:vAlign w:val="center"/>
          </w:tcPr>
          <w:p w14:paraId="28AAB660" w14:textId="77777777" w:rsidR="0039328C" w:rsidRPr="008D1B0E" w:rsidRDefault="0039328C" w:rsidP="00FF5898">
            <w:pPr>
              <w:tabs>
                <w:tab w:val="left" w:pos="1935"/>
              </w:tabs>
              <w:spacing w:after="0"/>
              <w:ind w:right="-172"/>
              <w:rPr>
                <w:rFonts w:cs="Arial"/>
                <w:b/>
                <w:color w:val="28096A"/>
                <w:szCs w:val="16"/>
                <w:lang w:val="en-US"/>
                <w14:shadow w14:blurRad="50800" w14:dist="50800" w14:dir="5400000" w14:sx="0" w14:sy="0" w14:kx="0" w14:ky="0" w14:algn="ctr">
                  <w14:srgbClr w14:val="000000"/>
                </w14:shadow>
              </w:rPr>
            </w:pPr>
            <w:bookmarkStart w:id="2" w:name="_Hlk98750222"/>
          </w:p>
          <w:p w14:paraId="38235B8A" w14:textId="77777777" w:rsidR="0039328C" w:rsidRPr="008D1B0E" w:rsidRDefault="0039328C" w:rsidP="00FF5898">
            <w:pPr>
              <w:tabs>
                <w:tab w:val="left" w:pos="1935"/>
              </w:tabs>
              <w:spacing w:after="0"/>
              <w:ind w:right="-172"/>
              <w:rPr>
                <w:rFonts w:cs="Arial"/>
                <w:b/>
                <w:color w:val="28096A"/>
                <w:szCs w:val="16"/>
                <w:lang w:val="pt-BR"/>
                <w14:shadow w14:blurRad="50800" w14:dist="50800" w14:dir="5400000" w14:sx="0" w14:sy="0" w14:kx="0" w14:ky="0" w14:algn="ctr">
                  <w14:srgbClr w14:val="000000"/>
                </w14:shadow>
              </w:rPr>
            </w:pPr>
            <w:r w:rsidRPr="008D1B0E">
              <w:rPr>
                <w:rFonts w:cs="Arial"/>
                <w:b/>
                <w:color w:val="28096A"/>
                <w:szCs w:val="16"/>
                <w:lang w:val="pt-BR"/>
                <w14:shadow w14:blurRad="50800" w14:dist="50800" w14:dir="5400000" w14:sx="0" w14:sy="0" w14:kx="0" w14:ky="0" w14:algn="ctr">
                  <w14:srgbClr w14:val="000000"/>
                </w14:shadow>
              </w:rPr>
              <w:t>Luis Fernando Rial Ubago</w:t>
            </w:r>
          </w:p>
          <w:p w14:paraId="3F7B8EBB" w14:textId="77777777" w:rsidR="0039328C" w:rsidRPr="008D1B0E" w:rsidRDefault="0039328C" w:rsidP="00FF5898">
            <w:pPr>
              <w:tabs>
                <w:tab w:val="left" w:pos="1681"/>
                <w:tab w:val="left" w:pos="1935"/>
              </w:tabs>
              <w:spacing w:after="0"/>
              <w:ind w:right="-172"/>
              <w:rPr>
                <w:rFonts w:cs="Arial"/>
                <w:color w:val="28096A"/>
                <w:szCs w:val="16"/>
                <w:lang w:val="pt-BR"/>
                <w14:shadow w14:blurRad="50800" w14:dist="50800" w14:dir="5400000" w14:sx="0" w14:sy="0" w14:kx="0" w14:ky="0" w14:algn="ctr">
                  <w14:srgbClr w14:val="000000"/>
                </w14:shadow>
              </w:rPr>
            </w:pPr>
            <w:r w:rsidRPr="008D1B0E">
              <w:rPr>
                <w:rFonts w:cs="Arial"/>
                <w:color w:val="28096A"/>
                <w:szCs w:val="16"/>
                <w:lang w:val="pt-BR"/>
                <w14:shadow w14:blurRad="50800" w14:dist="50800" w14:dir="5400000" w14:sx="0" w14:sy="0" w14:kx="0" w14:ky="0" w14:algn="ctr">
                  <w14:srgbClr w14:val="000000"/>
                </w14:shadow>
              </w:rPr>
              <w:t>lfrialubago@teco.com.ar</w:t>
            </w:r>
          </w:p>
          <w:p w14:paraId="021F6E5C" w14:textId="77777777" w:rsidR="0039328C" w:rsidRPr="008D1B0E" w:rsidRDefault="0039328C" w:rsidP="00FF5898">
            <w:pPr>
              <w:tabs>
                <w:tab w:val="left" w:pos="1681"/>
                <w:tab w:val="left" w:pos="1935"/>
              </w:tabs>
              <w:spacing w:after="0"/>
              <w:ind w:right="-172"/>
              <w:rPr>
                <w:rFonts w:cs="Arial"/>
                <w:color w:val="28096A"/>
                <w:szCs w:val="16"/>
                <w:lang w:val="pt-BR"/>
                <w14:shadow w14:blurRad="50800" w14:dist="50800" w14:dir="5400000" w14:sx="0" w14:sy="0" w14:kx="0" w14:ky="0" w14:algn="ctr">
                  <w14:srgbClr w14:val="000000"/>
                </w14:shadow>
              </w:rPr>
            </w:pPr>
          </w:p>
        </w:tc>
        <w:tc>
          <w:tcPr>
            <w:tcW w:w="2671" w:type="dxa"/>
            <w:shd w:val="clear" w:color="auto" w:fill="DFDCF6"/>
          </w:tcPr>
          <w:p w14:paraId="0AD96B69" w14:textId="77777777" w:rsidR="0039328C" w:rsidRPr="008D1B0E" w:rsidRDefault="0039328C" w:rsidP="00FF5898">
            <w:pPr>
              <w:spacing w:after="0"/>
              <w:ind w:right="-379"/>
              <w:rPr>
                <w:rFonts w:cs="Arial"/>
                <w:color w:val="28096A"/>
                <w:szCs w:val="16"/>
                <w:lang w:val="pt-BR"/>
                <w14:shadow w14:blurRad="50800" w14:dist="50800" w14:dir="5400000" w14:sx="0" w14:sy="0" w14:kx="0" w14:ky="0" w14:algn="ctr">
                  <w14:srgbClr w14:val="000000"/>
                </w14:shadow>
              </w:rPr>
            </w:pPr>
            <w:r w:rsidRPr="008D1B0E">
              <w:rPr>
                <w:rFonts w:cs="Arial"/>
                <w:color w:val="28096A"/>
                <w:szCs w:val="16"/>
                <w:lang w:val="pt-BR"/>
                <w14:shadow w14:blurRad="50800" w14:dist="50800" w14:dir="5400000" w14:sx="0" w14:sy="0" w14:kx="0" w14:ky="0" w14:algn="ctr">
                  <w14:srgbClr w14:val="000000"/>
                </w14:shadow>
              </w:rPr>
              <w:t xml:space="preserve"> </w:t>
            </w:r>
          </w:p>
          <w:p w14:paraId="51FA4029" w14:textId="77777777" w:rsidR="0039328C" w:rsidRPr="005009D3" w:rsidRDefault="0039328C" w:rsidP="00FF5898">
            <w:pPr>
              <w:spacing w:after="0"/>
              <w:ind w:right="-379"/>
              <w:rPr>
                <w:rFonts w:cs="Arial"/>
                <w:b/>
                <w:color w:val="28096A"/>
                <w:szCs w:val="16"/>
                <w14:shadow w14:blurRad="50800" w14:dist="50800" w14:dir="5400000" w14:sx="0" w14:sy="0" w14:kx="0" w14:ky="0" w14:algn="ctr">
                  <w14:srgbClr w14:val="000000"/>
                </w14:shadow>
              </w:rPr>
            </w:pPr>
            <w:r w:rsidRPr="005009D3">
              <w:rPr>
                <w:rFonts w:cs="Arial"/>
                <w:b/>
                <w:color w:val="28096A"/>
                <w:szCs w:val="16"/>
                <w14:shadow w14:blurRad="50800" w14:dist="50800" w14:dir="5400000" w14:sx="0" w14:sy="0" w14:kx="0" w14:ky="0" w14:algn="ctr">
                  <w14:srgbClr w14:val="000000"/>
                </w14:shadow>
              </w:rPr>
              <w:t>Tomás Pellicori</w:t>
            </w:r>
          </w:p>
          <w:p w14:paraId="087C4B64" w14:textId="77777777" w:rsidR="0039328C" w:rsidRPr="008D1B0E" w:rsidRDefault="0039328C" w:rsidP="00FF5898">
            <w:pPr>
              <w:tabs>
                <w:tab w:val="left" w:pos="1876"/>
              </w:tabs>
              <w:spacing w:after="0"/>
              <w:ind w:right="-172"/>
              <w:rPr>
                <w:rFonts w:cs="Arial"/>
                <w:color w:val="28096A"/>
                <w:szCs w:val="16"/>
                <w14:shadow w14:blurRad="50800" w14:dist="50800" w14:dir="5400000" w14:sx="0" w14:sy="0" w14:kx="0" w14:ky="0" w14:algn="ctr">
                  <w14:srgbClr w14:val="000000"/>
                </w14:shadow>
              </w:rPr>
            </w:pPr>
            <w:r w:rsidRPr="008D1B0E">
              <w:rPr>
                <w:rFonts w:cs="Arial"/>
                <w:color w:val="28096A"/>
                <w:szCs w:val="16"/>
                <w14:shadow w14:blurRad="50800" w14:dist="50800" w14:dir="5400000" w14:sx="0" w14:sy="0" w14:kx="0" w14:ky="0" w14:algn="ctr">
                  <w14:srgbClr w14:val="000000"/>
                </w14:shadow>
              </w:rPr>
              <w:t>tlpellicori@teco.com.ar</w:t>
            </w:r>
          </w:p>
        </w:tc>
        <w:tc>
          <w:tcPr>
            <w:tcW w:w="1619" w:type="dxa"/>
          </w:tcPr>
          <w:p w14:paraId="4A2E55CE" w14:textId="77777777" w:rsidR="0039328C" w:rsidRPr="00FE78E1" w:rsidRDefault="0039328C" w:rsidP="00FF5898">
            <w:pPr>
              <w:spacing w:after="0"/>
              <w:ind w:right="-379"/>
              <w:rPr>
                <w:rFonts w:cs="Arial"/>
                <w:color w:val="28096A"/>
                <w:szCs w:val="16"/>
                <w14:shadow w14:blurRad="50800" w14:dist="50800" w14:dir="5400000" w14:sx="0" w14:sy="0" w14:kx="0" w14:ky="0" w14:algn="ctr">
                  <w14:srgbClr w14:val="000000"/>
                </w14:shadow>
              </w:rPr>
            </w:pPr>
          </w:p>
        </w:tc>
        <w:tc>
          <w:tcPr>
            <w:tcW w:w="2563" w:type="dxa"/>
          </w:tcPr>
          <w:p w14:paraId="6E9E9E9E" w14:textId="77777777" w:rsidR="0039328C" w:rsidRPr="00FE78E1" w:rsidRDefault="0039328C" w:rsidP="00FF5898">
            <w:pPr>
              <w:spacing w:after="0"/>
              <w:rPr>
                <w:rFonts w:cs="Arial"/>
                <w:color w:val="28096A"/>
                <w:szCs w:val="16"/>
                <w14:shadow w14:blurRad="50800" w14:dist="50800" w14:dir="5400000" w14:sx="0" w14:sy="0" w14:kx="0" w14:ky="0" w14:algn="ctr">
                  <w14:srgbClr w14:val="000000"/>
                </w14:shadow>
              </w:rPr>
            </w:pPr>
          </w:p>
        </w:tc>
      </w:tr>
      <w:bookmarkEnd w:id="2"/>
    </w:tbl>
    <w:p w14:paraId="24A600B0" w14:textId="77777777" w:rsidR="0080059D" w:rsidRPr="00FE78E1" w:rsidRDefault="0080059D" w:rsidP="00CD0477">
      <w:pPr>
        <w:spacing w:line="240" w:lineRule="auto"/>
        <w:jc w:val="both"/>
        <w:rPr>
          <w:rFonts w:cs="Arial"/>
          <w:color w:val="28096A"/>
          <w:sz w:val="16"/>
          <w:szCs w:val="16"/>
        </w:rPr>
      </w:pPr>
    </w:p>
    <w:p w14:paraId="01165281" w14:textId="44C8BE4A" w:rsidR="00E929B9" w:rsidRPr="00D77CA4" w:rsidRDefault="006462F3" w:rsidP="005009D3">
      <w:pPr>
        <w:ind w:right="-142"/>
        <w:rPr>
          <w:rFonts w:cs="Arial"/>
          <w:b/>
          <w:color w:val="28096A"/>
          <w:szCs w:val="16"/>
          <w:lang w:val="en-US"/>
        </w:rPr>
      </w:pPr>
      <w:r w:rsidRPr="006462F3">
        <w:rPr>
          <w:rFonts w:cs="Arial"/>
          <w:b/>
          <w:color w:val="28096A"/>
          <w:szCs w:val="16"/>
          <w:lang w:val="en-US"/>
        </w:rPr>
        <w:t>For information about Telecom Argentina</w:t>
      </w:r>
      <w:r w:rsidR="003971BB">
        <w:rPr>
          <w:rFonts w:cs="Arial"/>
          <w:b/>
          <w:color w:val="28096A"/>
          <w:szCs w:val="16"/>
          <w:lang w:val="en-US"/>
        </w:rPr>
        <w:t>’</w:t>
      </w:r>
      <w:r w:rsidRPr="006462F3">
        <w:rPr>
          <w:rFonts w:cs="Arial"/>
          <w:b/>
          <w:color w:val="28096A"/>
          <w:szCs w:val="16"/>
          <w:lang w:val="en-US"/>
        </w:rPr>
        <w:t>s services, visit</w:t>
      </w:r>
      <w:r w:rsidR="00E929B9" w:rsidRPr="00D77CA4">
        <w:rPr>
          <w:rFonts w:cs="Arial"/>
          <w:b/>
          <w:color w:val="28096A"/>
          <w:szCs w:val="16"/>
          <w:lang w:val="en-US"/>
        </w:rPr>
        <w:t>:</w:t>
      </w:r>
    </w:p>
    <w:p w14:paraId="5067C560" w14:textId="54BB9A04" w:rsidR="00E929B9" w:rsidRPr="00D77CA4" w:rsidRDefault="00E929B9" w:rsidP="00E77646">
      <w:pPr>
        <w:spacing w:after="0" w:line="240" w:lineRule="auto"/>
        <w:jc w:val="both"/>
        <w:rPr>
          <w:rFonts w:cs="Calibri"/>
          <w:color w:val="B989F9"/>
          <w:szCs w:val="16"/>
          <w:lang w:val="en-US"/>
        </w:rPr>
      </w:pPr>
      <w:hyperlink r:id="rId12" w:history="1">
        <w:r w:rsidRPr="00D77CA4">
          <w:rPr>
            <w:rStyle w:val="Hipervnculo"/>
            <w:rFonts w:ascii="Roboto" w:hAnsi="Roboto" w:cs="Calibri"/>
            <w:szCs w:val="16"/>
            <w:lang w:val="en-US"/>
          </w:rPr>
          <w:t>www.telecom.com.ar</w:t>
        </w:r>
      </w:hyperlink>
    </w:p>
    <w:p w14:paraId="380BDBA7" w14:textId="60438F4A" w:rsidR="00E929B9" w:rsidRPr="00D77CA4" w:rsidRDefault="00E929B9" w:rsidP="00E77646">
      <w:pPr>
        <w:spacing w:after="0" w:line="240" w:lineRule="auto"/>
        <w:jc w:val="both"/>
        <w:rPr>
          <w:rFonts w:cs="Calibri"/>
          <w:color w:val="B989F9"/>
          <w:szCs w:val="16"/>
          <w:lang w:val="en-US"/>
        </w:rPr>
      </w:pPr>
      <w:hyperlink r:id="rId13" w:history="1">
        <w:r w:rsidRPr="00D77CA4">
          <w:rPr>
            <w:rStyle w:val="Hipervnculo"/>
            <w:rFonts w:ascii="Roboto" w:hAnsi="Roboto" w:cs="Calibri"/>
            <w:szCs w:val="16"/>
            <w:lang w:val="en-US"/>
          </w:rPr>
          <w:t>www.personal.com.ar</w:t>
        </w:r>
      </w:hyperlink>
    </w:p>
    <w:p w14:paraId="39F66A90" w14:textId="2A889A4F" w:rsidR="00E929B9" w:rsidRPr="00D77CA4" w:rsidRDefault="00E929B9" w:rsidP="00E77646">
      <w:pPr>
        <w:spacing w:after="0" w:line="240" w:lineRule="auto"/>
        <w:jc w:val="both"/>
        <w:rPr>
          <w:rFonts w:cs="Calibri"/>
          <w:color w:val="B989F9"/>
          <w:szCs w:val="16"/>
          <w:lang w:val="en-US"/>
        </w:rPr>
      </w:pPr>
      <w:hyperlink r:id="rId14" w:history="1">
        <w:r w:rsidRPr="00D77CA4">
          <w:rPr>
            <w:rStyle w:val="Hipervnculo"/>
            <w:rFonts w:ascii="Roboto" w:hAnsi="Roboto" w:cs="Calibri"/>
            <w:szCs w:val="16"/>
            <w:lang w:val="en-US"/>
          </w:rPr>
          <w:t>www.personal.com.py</w:t>
        </w:r>
      </w:hyperlink>
    </w:p>
    <w:p w14:paraId="167BC72A" w14:textId="32CE1E16" w:rsidR="00E77646" w:rsidRPr="00D77CA4" w:rsidRDefault="00E77646" w:rsidP="00E77646">
      <w:pPr>
        <w:spacing w:after="0" w:line="240" w:lineRule="auto"/>
        <w:jc w:val="both"/>
        <w:rPr>
          <w:lang w:val="en-US"/>
        </w:rPr>
      </w:pPr>
    </w:p>
    <w:p w14:paraId="2864F5F4" w14:textId="77777777" w:rsidR="007B5EAC" w:rsidRPr="00D77CA4" w:rsidRDefault="007B5EAC" w:rsidP="005009D3">
      <w:pPr>
        <w:pStyle w:val="Piedepgina"/>
        <w:jc w:val="both"/>
        <w:rPr>
          <w:rStyle w:val="EncabezadoTelecom"/>
          <w:color w:val="BFBFBF" w:themeColor="background1" w:themeShade="BF"/>
          <w:lang w:val="en-US"/>
        </w:rPr>
      </w:pPr>
    </w:p>
    <w:p w14:paraId="4DD56644" w14:textId="77777777" w:rsidR="006462F3" w:rsidRPr="00E31C2E" w:rsidRDefault="006462F3" w:rsidP="006462F3">
      <w:pPr>
        <w:pStyle w:val="Sinespaciado"/>
        <w:jc w:val="both"/>
        <w:rPr>
          <w:rStyle w:val="EncabezadoTelecom"/>
          <w:rFonts w:eastAsiaTheme="minorHAnsi"/>
          <w:color w:val="808080" w:themeColor="background1" w:themeShade="80"/>
          <w:sz w:val="12"/>
          <w:szCs w:val="18"/>
          <w:u w:val="single"/>
          <w:lang w:eastAsia="en-US"/>
        </w:rPr>
      </w:pPr>
      <w:bookmarkStart w:id="3" w:name="_Hlk142386768"/>
      <w:bookmarkStart w:id="4" w:name="_Hlk191493938"/>
      <w:r w:rsidRPr="00E31C2E">
        <w:rPr>
          <w:rStyle w:val="EncabezadoTelecom"/>
          <w:rFonts w:eastAsiaTheme="minorHAnsi"/>
          <w:color w:val="808080" w:themeColor="background1" w:themeShade="80"/>
          <w:sz w:val="12"/>
          <w:szCs w:val="18"/>
          <w:u w:val="single"/>
          <w:lang w:eastAsia="en-US"/>
        </w:rPr>
        <w:t>Disclaimer</w:t>
      </w:r>
    </w:p>
    <w:p w14:paraId="0EC1164C" w14:textId="54515E8E" w:rsidR="006462F3" w:rsidRPr="00384725" w:rsidRDefault="006462F3" w:rsidP="006462F3">
      <w:pPr>
        <w:pStyle w:val="Sinespaciado"/>
        <w:jc w:val="both"/>
        <w:rPr>
          <w:rStyle w:val="EncabezadoTelecom"/>
          <w:rFonts w:eastAsiaTheme="minorHAnsi"/>
          <w:color w:val="808080" w:themeColor="background1" w:themeShade="80"/>
          <w:sz w:val="12"/>
          <w:szCs w:val="18"/>
          <w:lang w:eastAsia="en-US"/>
        </w:rPr>
      </w:pPr>
      <w:r w:rsidRPr="00384725">
        <w:rPr>
          <w:rStyle w:val="EncabezadoTelecom"/>
          <w:rFonts w:eastAsiaTheme="minorHAnsi"/>
          <w:color w:val="808080" w:themeColor="background1" w:themeShade="80"/>
          <w:sz w:val="12"/>
          <w:szCs w:val="18"/>
          <w:lang w:eastAsia="en-US"/>
        </w:rPr>
        <w:t>This document may contain statements that could constitute forward-looking statements, including, but not limited to (i) the Company</w:t>
      </w:r>
      <w:r w:rsidR="003971BB" w:rsidRPr="00384725">
        <w:rPr>
          <w:rStyle w:val="EncabezadoTelecom"/>
          <w:rFonts w:eastAsiaTheme="minorHAnsi"/>
          <w:color w:val="808080" w:themeColor="background1" w:themeShade="80"/>
          <w:sz w:val="12"/>
          <w:szCs w:val="18"/>
          <w:lang w:eastAsia="en-US"/>
        </w:rPr>
        <w:t>’</w:t>
      </w:r>
      <w:r w:rsidRPr="00384725">
        <w:rPr>
          <w:rStyle w:val="EncabezadoTelecom"/>
          <w:rFonts w:eastAsiaTheme="minorHAnsi"/>
          <w:color w:val="808080" w:themeColor="background1" w:themeShade="80"/>
          <w:sz w:val="12"/>
          <w:szCs w:val="18"/>
          <w:lang w:eastAsia="en-US"/>
        </w:rPr>
        <w:t xml:space="preserve">s expectations for its future performance, revenues, income, earnings per share, capital expenditures, dividends, liquidity and capital structure; (ii) the continued synergies expected from the merger between the Company and </w:t>
      </w:r>
      <w:proofErr w:type="spellStart"/>
      <w:r w:rsidRPr="00384725">
        <w:rPr>
          <w:rStyle w:val="EncabezadoTelecom"/>
          <w:rFonts w:eastAsiaTheme="minorHAnsi"/>
          <w:color w:val="808080" w:themeColor="background1" w:themeShade="80"/>
          <w:sz w:val="12"/>
          <w:szCs w:val="18"/>
          <w:lang w:eastAsia="en-US"/>
        </w:rPr>
        <w:t>Cablevisión</w:t>
      </w:r>
      <w:proofErr w:type="spellEnd"/>
      <w:r w:rsidRPr="00384725">
        <w:rPr>
          <w:rStyle w:val="EncabezadoTelecom"/>
          <w:rFonts w:eastAsiaTheme="minorHAnsi"/>
          <w:color w:val="808080" w:themeColor="background1" w:themeShade="80"/>
          <w:sz w:val="12"/>
          <w:szCs w:val="18"/>
          <w:lang w:eastAsia="en-US"/>
        </w:rPr>
        <w:t xml:space="preserve"> S.A. (or the Merger); (iii) the implementation of the Company</w:t>
      </w:r>
      <w:r w:rsidR="003971BB" w:rsidRPr="00384725">
        <w:rPr>
          <w:rStyle w:val="EncabezadoTelecom"/>
          <w:rFonts w:eastAsiaTheme="minorHAnsi"/>
          <w:color w:val="808080" w:themeColor="background1" w:themeShade="80"/>
          <w:sz w:val="12"/>
          <w:szCs w:val="18"/>
          <w:lang w:eastAsia="en-US"/>
        </w:rPr>
        <w:t>’</w:t>
      </w:r>
      <w:r w:rsidRPr="00384725">
        <w:rPr>
          <w:rStyle w:val="EncabezadoTelecom"/>
          <w:rFonts w:eastAsiaTheme="minorHAnsi"/>
          <w:color w:val="808080" w:themeColor="background1" w:themeShade="80"/>
          <w:sz w:val="12"/>
          <w:szCs w:val="18"/>
          <w:lang w:eastAsia="en-US"/>
        </w:rPr>
        <w:t>s business strategy; (iv) the changing dynamics and growth in the telecommunications and cable markets in Argentina, Paraguay, Uruguay and the United States; (v) the Company</w:t>
      </w:r>
      <w:r w:rsidR="003971BB" w:rsidRPr="00384725">
        <w:rPr>
          <w:rStyle w:val="EncabezadoTelecom"/>
          <w:rFonts w:eastAsiaTheme="minorHAnsi"/>
          <w:color w:val="808080" w:themeColor="background1" w:themeShade="80"/>
          <w:sz w:val="12"/>
          <w:szCs w:val="18"/>
          <w:lang w:eastAsia="en-US"/>
        </w:rPr>
        <w:t>’</w:t>
      </w:r>
      <w:r w:rsidRPr="00384725">
        <w:rPr>
          <w:rStyle w:val="EncabezadoTelecom"/>
          <w:rFonts w:eastAsiaTheme="minorHAnsi"/>
          <w:color w:val="808080" w:themeColor="background1" w:themeShade="80"/>
          <w:sz w:val="12"/>
          <w:szCs w:val="18"/>
          <w:lang w:eastAsia="en-US"/>
        </w:rPr>
        <w:t xml:space="preserve">s outlook for new and enhanced technologies; (vi) the effects of operating in a competitive environment; (vii) the industry conditions; (viii) the outcome of certain legal proceedings; and (ix) regulatory and legal developments. Forward-looking statements may be identified by words such as </w:t>
      </w:r>
      <w:r w:rsidR="003971BB" w:rsidRPr="00384725">
        <w:rPr>
          <w:rStyle w:val="EncabezadoTelecom"/>
          <w:rFonts w:eastAsiaTheme="minorHAnsi"/>
          <w:color w:val="808080" w:themeColor="background1" w:themeShade="80"/>
          <w:sz w:val="12"/>
          <w:szCs w:val="18"/>
          <w:lang w:eastAsia="en-US"/>
        </w:rPr>
        <w:t>“</w:t>
      </w:r>
      <w:r w:rsidRPr="00384725">
        <w:rPr>
          <w:rStyle w:val="EncabezadoTelecom"/>
          <w:rFonts w:eastAsiaTheme="minorHAnsi"/>
          <w:color w:val="808080" w:themeColor="background1" w:themeShade="80"/>
          <w:sz w:val="12"/>
          <w:szCs w:val="18"/>
          <w:lang w:eastAsia="en-US"/>
        </w:rPr>
        <w:t>anticipate,</w:t>
      </w:r>
      <w:r w:rsidR="003971BB" w:rsidRPr="00384725">
        <w:rPr>
          <w:rStyle w:val="EncabezadoTelecom"/>
          <w:rFonts w:eastAsiaTheme="minorHAnsi"/>
          <w:color w:val="808080" w:themeColor="background1" w:themeShade="80"/>
          <w:sz w:val="12"/>
          <w:szCs w:val="18"/>
          <w:lang w:eastAsia="en-US"/>
        </w:rPr>
        <w:t>”</w:t>
      </w:r>
      <w:r w:rsidRPr="00384725">
        <w:rPr>
          <w:rStyle w:val="EncabezadoTelecom"/>
          <w:rFonts w:eastAsiaTheme="minorHAnsi"/>
          <w:color w:val="808080" w:themeColor="background1" w:themeShade="80"/>
          <w:sz w:val="12"/>
          <w:szCs w:val="18"/>
          <w:lang w:eastAsia="en-US"/>
        </w:rPr>
        <w:t xml:space="preserve"> </w:t>
      </w:r>
      <w:r w:rsidR="003971BB" w:rsidRPr="00384725">
        <w:rPr>
          <w:rStyle w:val="EncabezadoTelecom"/>
          <w:rFonts w:eastAsiaTheme="minorHAnsi"/>
          <w:color w:val="808080" w:themeColor="background1" w:themeShade="80"/>
          <w:sz w:val="12"/>
          <w:szCs w:val="18"/>
          <w:lang w:eastAsia="en-US"/>
        </w:rPr>
        <w:t>“</w:t>
      </w:r>
      <w:r w:rsidRPr="00384725">
        <w:rPr>
          <w:rStyle w:val="EncabezadoTelecom"/>
          <w:rFonts w:eastAsiaTheme="minorHAnsi"/>
          <w:color w:val="808080" w:themeColor="background1" w:themeShade="80"/>
          <w:sz w:val="12"/>
          <w:szCs w:val="18"/>
          <w:lang w:eastAsia="en-US"/>
        </w:rPr>
        <w:t>believe,</w:t>
      </w:r>
      <w:r w:rsidR="003971BB" w:rsidRPr="00384725">
        <w:rPr>
          <w:rStyle w:val="EncabezadoTelecom"/>
          <w:rFonts w:eastAsiaTheme="minorHAnsi"/>
          <w:color w:val="808080" w:themeColor="background1" w:themeShade="80"/>
          <w:sz w:val="12"/>
          <w:szCs w:val="18"/>
          <w:lang w:eastAsia="en-US"/>
        </w:rPr>
        <w:t>”</w:t>
      </w:r>
      <w:r w:rsidRPr="00384725">
        <w:rPr>
          <w:rStyle w:val="EncabezadoTelecom"/>
          <w:rFonts w:eastAsiaTheme="minorHAnsi"/>
          <w:color w:val="808080" w:themeColor="background1" w:themeShade="80"/>
          <w:sz w:val="12"/>
          <w:szCs w:val="18"/>
          <w:lang w:eastAsia="en-US"/>
        </w:rPr>
        <w:t xml:space="preserve"> </w:t>
      </w:r>
      <w:r w:rsidR="003971BB" w:rsidRPr="00384725">
        <w:rPr>
          <w:rStyle w:val="EncabezadoTelecom"/>
          <w:rFonts w:eastAsiaTheme="minorHAnsi"/>
          <w:color w:val="808080" w:themeColor="background1" w:themeShade="80"/>
          <w:sz w:val="12"/>
          <w:szCs w:val="18"/>
          <w:lang w:eastAsia="en-US"/>
        </w:rPr>
        <w:t>“</w:t>
      </w:r>
      <w:r w:rsidRPr="00384725">
        <w:rPr>
          <w:rStyle w:val="EncabezadoTelecom"/>
          <w:rFonts w:eastAsiaTheme="minorHAnsi"/>
          <w:color w:val="808080" w:themeColor="background1" w:themeShade="80"/>
          <w:sz w:val="12"/>
          <w:szCs w:val="18"/>
          <w:lang w:eastAsia="en-US"/>
        </w:rPr>
        <w:t>estimate,</w:t>
      </w:r>
      <w:r w:rsidR="003971BB" w:rsidRPr="00384725">
        <w:rPr>
          <w:rStyle w:val="EncabezadoTelecom"/>
          <w:rFonts w:eastAsiaTheme="minorHAnsi"/>
          <w:color w:val="808080" w:themeColor="background1" w:themeShade="80"/>
          <w:sz w:val="12"/>
          <w:szCs w:val="18"/>
          <w:lang w:eastAsia="en-US"/>
        </w:rPr>
        <w:t>”</w:t>
      </w:r>
      <w:r w:rsidRPr="00384725">
        <w:rPr>
          <w:rStyle w:val="EncabezadoTelecom"/>
          <w:rFonts w:eastAsiaTheme="minorHAnsi"/>
          <w:color w:val="808080" w:themeColor="background1" w:themeShade="80"/>
          <w:sz w:val="12"/>
          <w:szCs w:val="18"/>
          <w:lang w:eastAsia="en-US"/>
        </w:rPr>
        <w:t xml:space="preserve"> </w:t>
      </w:r>
      <w:r w:rsidR="003971BB" w:rsidRPr="00384725">
        <w:rPr>
          <w:rStyle w:val="EncabezadoTelecom"/>
          <w:rFonts w:eastAsiaTheme="minorHAnsi"/>
          <w:color w:val="808080" w:themeColor="background1" w:themeShade="80"/>
          <w:sz w:val="12"/>
          <w:szCs w:val="18"/>
          <w:lang w:eastAsia="en-US"/>
        </w:rPr>
        <w:t>“</w:t>
      </w:r>
      <w:r w:rsidRPr="00384725">
        <w:rPr>
          <w:rStyle w:val="EncabezadoTelecom"/>
          <w:rFonts w:eastAsiaTheme="minorHAnsi"/>
          <w:color w:val="808080" w:themeColor="background1" w:themeShade="80"/>
          <w:sz w:val="12"/>
          <w:szCs w:val="18"/>
          <w:lang w:eastAsia="en-US"/>
        </w:rPr>
        <w:t>expect,</w:t>
      </w:r>
      <w:r w:rsidR="003971BB" w:rsidRPr="00384725">
        <w:rPr>
          <w:rStyle w:val="EncabezadoTelecom"/>
          <w:rFonts w:eastAsiaTheme="minorHAnsi"/>
          <w:color w:val="808080" w:themeColor="background1" w:themeShade="80"/>
          <w:sz w:val="12"/>
          <w:szCs w:val="18"/>
          <w:lang w:eastAsia="en-US"/>
        </w:rPr>
        <w:t>”</w:t>
      </w:r>
      <w:r w:rsidRPr="00384725">
        <w:rPr>
          <w:rStyle w:val="EncabezadoTelecom"/>
          <w:rFonts w:eastAsiaTheme="minorHAnsi"/>
          <w:color w:val="808080" w:themeColor="background1" w:themeShade="80"/>
          <w:sz w:val="12"/>
          <w:szCs w:val="18"/>
          <w:lang w:eastAsia="en-US"/>
        </w:rPr>
        <w:t xml:space="preserve"> </w:t>
      </w:r>
      <w:r w:rsidR="003971BB" w:rsidRPr="00384725">
        <w:rPr>
          <w:rStyle w:val="EncabezadoTelecom"/>
          <w:rFonts w:eastAsiaTheme="minorHAnsi"/>
          <w:color w:val="808080" w:themeColor="background1" w:themeShade="80"/>
          <w:sz w:val="12"/>
          <w:szCs w:val="18"/>
          <w:lang w:eastAsia="en-US"/>
        </w:rPr>
        <w:t>“</w:t>
      </w:r>
      <w:r w:rsidRPr="00384725">
        <w:rPr>
          <w:rStyle w:val="EncabezadoTelecom"/>
          <w:rFonts w:eastAsiaTheme="minorHAnsi"/>
          <w:color w:val="808080" w:themeColor="background1" w:themeShade="80"/>
          <w:sz w:val="12"/>
          <w:szCs w:val="18"/>
          <w:lang w:eastAsia="en-US"/>
        </w:rPr>
        <w:t>intend,</w:t>
      </w:r>
      <w:r w:rsidR="003971BB" w:rsidRPr="00384725">
        <w:rPr>
          <w:rStyle w:val="EncabezadoTelecom"/>
          <w:rFonts w:eastAsiaTheme="minorHAnsi"/>
          <w:color w:val="808080" w:themeColor="background1" w:themeShade="80"/>
          <w:sz w:val="12"/>
          <w:szCs w:val="18"/>
          <w:lang w:eastAsia="en-US"/>
        </w:rPr>
        <w:t>”</w:t>
      </w:r>
      <w:r w:rsidRPr="00384725">
        <w:rPr>
          <w:rStyle w:val="EncabezadoTelecom"/>
          <w:rFonts w:eastAsiaTheme="minorHAnsi"/>
          <w:color w:val="808080" w:themeColor="background1" w:themeShade="80"/>
          <w:sz w:val="12"/>
          <w:szCs w:val="18"/>
          <w:lang w:eastAsia="en-US"/>
        </w:rPr>
        <w:t xml:space="preserve"> </w:t>
      </w:r>
      <w:r w:rsidR="003971BB" w:rsidRPr="00384725">
        <w:rPr>
          <w:rStyle w:val="EncabezadoTelecom"/>
          <w:rFonts w:eastAsiaTheme="minorHAnsi"/>
          <w:color w:val="808080" w:themeColor="background1" w:themeShade="80"/>
          <w:sz w:val="12"/>
          <w:szCs w:val="18"/>
          <w:lang w:eastAsia="en-US"/>
        </w:rPr>
        <w:t>“</w:t>
      </w:r>
      <w:r w:rsidRPr="00384725">
        <w:rPr>
          <w:rStyle w:val="EncabezadoTelecom"/>
          <w:rFonts w:eastAsiaTheme="minorHAnsi"/>
          <w:color w:val="808080" w:themeColor="background1" w:themeShade="80"/>
          <w:sz w:val="12"/>
          <w:szCs w:val="18"/>
          <w:lang w:eastAsia="en-US"/>
        </w:rPr>
        <w:t>plan,</w:t>
      </w:r>
      <w:r w:rsidR="003971BB" w:rsidRPr="00384725">
        <w:rPr>
          <w:rStyle w:val="EncabezadoTelecom"/>
          <w:rFonts w:eastAsiaTheme="minorHAnsi"/>
          <w:color w:val="808080" w:themeColor="background1" w:themeShade="80"/>
          <w:sz w:val="12"/>
          <w:szCs w:val="18"/>
          <w:lang w:eastAsia="en-US"/>
        </w:rPr>
        <w:t>”</w:t>
      </w:r>
      <w:r w:rsidRPr="00384725">
        <w:rPr>
          <w:rStyle w:val="EncabezadoTelecom"/>
          <w:rFonts w:eastAsiaTheme="minorHAnsi"/>
          <w:color w:val="808080" w:themeColor="background1" w:themeShade="80"/>
          <w:sz w:val="12"/>
          <w:szCs w:val="18"/>
          <w:lang w:eastAsia="en-US"/>
        </w:rPr>
        <w:t xml:space="preserve"> </w:t>
      </w:r>
      <w:r w:rsidR="003971BB" w:rsidRPr="00384725">
        <w:rPr>
          <w:rStyle w:val="EncabezadoTelecom"/>
          <w:rFonts w:eastAsiaTheme="minorHAnsi"/>
          <w:color w:val="808080" w:themeColor="background1" w:themeShade="80"/>
          <w:sz w:val="12"/>
          <w:szCs w:val="18"/>
          <w:lang w:eastAsia="en-US"/>
        </w:rPr>
        <w:t>“</w:t>
      </w:r>
      <w:r w:rsidRPr="00384725">
        <w:rPr>
          <w:rStyle w:val="EncabezadoTelecom"/>
          <w:rFonts w:eastAsiaTheme="minorHAnsi"/>
          <w:color w:val="808080" w:themeColor="background1" w:themeShade="80"/>
          <w:sz w:val="12"/>
          <w:szCs w:val="18"/>
          <w:lang w:eastAsia="en-US"/>
        </w:rPr>
        <w:t>project,</w:t>
      </w:r>
      <w:r w:rsidR="003971BB" w:rsidRPr="00384725">
        <w:rPr>
          <w:rStyle w:val="EncabezadoTelecom"/>
          <w:rFonts w:eastAsiaTheme="minorHAnsi"/>
          <w:color w:val="808080" w:themeColor="background1" w:themeShade="80"/>
          <w:sz w:val="12"/>
          <w:szCs w:val="18"/>
          <w:lang w:eastAsia="en-US"/>
        </w:rPr>
        <w:t>”</w:t>
      </w:r>
      <w:r w:rsidRPr="00384725">
        <w:rPr>
          <w:rStyle w:val="EncabezadoTelecom"/>
          <w:rFonts w:eastAsiaTheme="minorHAnsi"/>
          <w:color w:val="808080" w:themeColor="background1" w:themeShade="80"/>
          <w:sz w:val="12"/>
          <w:szCs w:val="18"/>
          <w:lang w:eastAsia="en-US"/>
        </w:rPr>
        <w:t xml:space="preserve"> </w:t>
      </w:r>
      <w:r w:rsidR="003971BB" w:rsidRPr="00384725">
        <w:rPr>
          <w:rStyle w:val="EncabezadoTelecom"/>
          <w:rFonts w:eastAsiaTheme="minorHAnsi"/>
          <w:color w:val="808080" w:themeColor="background1" w:themeShade="80"/>
          <w:sz w:val="12"/>
          <w:szCs w:val="18"/>
          <w:lang w:eastAsia="en-US"/>
        </w:rPr>
        <w:t>“</w:t>
      </w:r>
      <w:r w:rsidRPr="00384725">
        <w:rPr>
          <w:rStyle w:val="EncabezadoTelecom"/>
          <w:rFonts w:eastAsiaTheme="minorHAnsi"/>
          <w:color w:val="808080" w:themeColor="background1" w:themeShade="80"/>
          <w:sz w:val="12"/>
          <w:szCs w:val="18"/>
          <w:lang w:eastAsia="en-US"/>
        </w:rPr>
        <w:t>will,</w:t>
      </w:r>
      <w:r w:rsidR="003971BB" w:rsidRPr="00384725">
        <w:rPr>
          <w:rStyle w:val="EncabezadoTelecom"/>
          <w:rFonts w:eastAsiaTheme="minorHAnsi"/>
          <w:color w:val="808080" w:themeColor="background1" w:themeShade="80"/>
          <w:sz w:val="12"/>
          <w:szCs w:val="18"/>
          <w:lang w:eastAsia="en-US"/>
        </w:rPr>
        <w:t>”</w:t>
      </w:r>
      <w:r w:rsidRPr="00384725">
        <w:rPr>
          <w:rStyle w:val="EncabezadoTelecom"/>
          <w:rFonts w:eastAsiaTheme="minorHAnsi"/>
          <w:color w:val="808080" w:themeColor="background1" w:themeShade="80"/>
          <w:sz w:val="12"/>
          <w:szCs w:val="18"/>
          <w:lang w:eastAsia="en-US"/>
        </w:rPr>
        <w:t xml:space="preserve"> </w:t>
      </w:r>
      <w:r w:rsidR="003971BB" w:rsidRPr="00384725">
        <w:rPr>
          <w:rStyle w:val="EncabezadoTelecom"/>
          <w:rFonts w:eastAsiaTheme="minorHAnsi"/>
          <w:color w:val="808080" w:themeColor="background1" w:themeShade="80"/>
          <w:sz w:val="12"/>
          <w:szCs w:val="18"/>
          <w:lang w:eastAsia="en-US"/>
        </w:rPr>
        <w:t>“</w:t>
      </w:r>
      <w:r w:rsidRPr="00384725">
        <w:rPr>
          <w:rStyle w:val="EncabezadoTelecom"/>
          <w:rFonts w:eastAsiaTheme="minorHAnsi"/>
          <w:color w:val="808080" w:themeColor="background1" w:themeShade="80"/>
          <w:sz w:val="12"/>
          <w:szCs w:val="18"/>
          <w:lang w:eastAsia="en-US"/>
        </w:rPr>
        <w:t>may</w:t>
      </w:r>
      <w:r w:rsidR="003971BB" w:rsidRPr="00384725">
        <w:rPr>
          <w:rStyle w:val="EncabezadoTelecom"/>
          <w:rFonts w:eastAsiaTheme="minorHAnsi"/>
          <w:color w:val="808080" w:themeColor="background1" w:themeShade="80"/>
          <w:sz w:val="12"/>
          <w:szCs w:val="18"/>
          <w:lang w:eastAsia="en-US"/>
        </w:rPr>
        <w:t>”</w:t>
      </w:r>
      <w:r w:rsidRPr="00384725">
        <w:rPr>
          <w:rStyle w:val="EncabezadoTelecom"/>
          <w:rFonts w:eastAsiaTheme="minorHAnsi"/>
          <w:color w:val="808080" w:themeColor="background1" w:themeShade="80"/>
          <w:sz w:val="12"/>
          <w:szCs w:val="18"/>
          <w:lang w:eastAsia="en-US"/>
        </w:rPr>
        <w:t xml:space="preserve"> and </w:t>
      </w:r>
      <w:r w:rsidR="003971BB" w:rsidRPr="00384725">
        <w:rPr>
          <w:rStyle w:val="EncabezadoTelecom"/>
          <w:rFonts w:eastAsiaTheme="minorHAnsi"/>
          <w:color w:val="808080" w:themeColor="background1" w:themeShade="80"/>
          <w:sz w:val="12"/>
          <w:szCs w:val="18"/>
          <w:lang w:eastAsia="en-US"/>
        </w:rPr>
        <w:t>“</w:t>
      </w:r>
      <w:r w:rsidRPr="00384725">
        <w:rPr>
          <w:rStyle w:val="EncabezadoTelecom"/>
          <w:rFonts w:eastAsiaTheme="minorHAnsi"/>
          <w:color w:val="808080" w:themeColor="background1" w:themeShade="80"/>
          <w:sz w:val="12"/>
          <w:szCs w:val="18"/>
          <w:lang w:eastAsia="en-US"/>
        </w:rPr>
        <w:t>should</w:t>
      </w:r>
      <w:r w:rsidR="003971BB" w:rsidRPr="00384725">
        <w:rPr>
          <w:rStyle w:val="EncabezadoTelecom"/>
          <w:rFonts w:eastAsiaTheme="minorHAnsi"/>
          <w:color w:val="808080" w:themeColor="background1" w:themeShade="80"/>
          <w:sz w:val="12"/>
          <w:szCs w:val="18"/>
          <w:lang w:eastAsia="en-US"/>
        </w:rPr>
        <w:t>”</w:t>
      </w:r>
      <w:r w:rsidRPr="00384725">
        <w:rPr>
          <w:rStyle w:val="EncabezadoTelecom"/>
          <w:rFonts w:eastAsiaTheme="minorHAnsi"/>
          <w:color w:val="808080" w:themeColor="background1" w:themeShade="80"/>
          <w:sz w:val="12"/>
          <w:szCs w:val="18"/>
          <w:lang w:eastAsia="en-US"/>
        </w:rPr>
        <w:t xml:space="preserve"> or other similar expressions. Forward-looking statements are not guarantees of future performance and involve certain risks and uncertainties that are difficult to predict. In addition, certain forward-looking statements are based upon assumptions as to future events that may not prove to be accurate. Many factors could cause actual results, performance or achievements of the Company to be materially different from any future results, performance or achievements that may be expressed or implied by forward-looking statements. These factors include, among others: (i) the Company</w:t>
      </w:r>
      <w:r w:rsidR="003971BB" w:rsidRPr="00384725">
        <w:rPr>
          <w:rStyle w:val="EncabezadoTelecom"/>
          <w:rFonts w:eastAsiaTheme="minorHAnsi"/>
          <w:color w:val="808080" w:themeColor="background1" w:themeShade="80"/>
          <w:sz w:val="12"/>
          <w:szCs w:val="18"/>
          <w:lang w:eastAsia="en-US"/>
        </w:rPr>
        <w:t>’</w:t>
      </w:r>
      <w:r w:rsidRPr="00384725">
        <w:rPr>
          <w:rStyle w:val="EncabezadoTelecom"/>
          <w:rFonts w:eastAsiaTheme="minorHAnsi"/>
          <w:color w:val="808080" w:themeColor="background1" w:themeShade="80"/>
          <w:sz w:val="12"/>
          <w:szCs w:val="18"/>
          <w:lang w:eastAsia="en-US"/>
        </w:rPr>
        <w:t>s ability to successfully implement our business strategy and to achieve synergies resulting from the Merger; (ii) the Company</w:t>
      </w:r>
      <w:r w:rsidR="003971BB" w:rsidRPr="00384725">
        <w:rPr>
          <w:rStyle w:val="EncabezadoTelecom"/>
          <w:rFonts w:eastAsiaTheme="minorHAnsi"/>
          <w:color w:val="808080" w:themeColor="background1" w:themeShade="80"/>
          <w:sz w:val="12"/>
          <w:szCs w:val="18"/>
          <w:lang w:eastAsia="en-US"/>
        </w:rPr>
        <w:t>’</w:t>
      </w:r>
      <w:r w:rsidRPr="00384725">
        <w:rPr>
          <w:rStyle w:val="EncabezadoTelecom"/>
          <w:rFonts w:eastAsiaTheme="minorHAnsi"/>
          <w:color w:val="808080" w:themeColor="background1" w:themeShade="80"/>
          <w:sz w:val="12"/>
          <w:szCs w:val="18"/>
          <w:lang w:eastAsia="en-US"/>
        </w:rPr>
        <w:t xml:space="preserve">s ability to introduce new products and services that enable business growth; (iii) uncertainties relating to political and economic conditions in Argentina, Paraguay, Uruguay and the United States, including the policies of the new government in Argentina; (iv) the impact of political developments, including the policies of the new government in Argentina, on the demand for securities of Argentine companies; (v) inflation, the devaluation of the peso, the Guaraní and the Uruguayan peso and exchange rate risks in Argentina, Paraguay and Uruguay; (vi) restrictions on the ability to exchange Argentine or Uruguayan pesos or Paraguayan </w:t>
      </w:r>
      <w:proofErr w:type="spellStart"/>
      <w:r w:rsidRPr="00384725">
        <w:rPr>
          <w:rStyle w:val="EncabezadoTelecom"/>
          <w:rFonts w:eastAsiaTheme="minorHAnsi"/>
          <w:color w:val="808080" w:themeColor="background1" w:themeShade="80"/>
          <w:sz w:val="12"/>
          <w:szCs w:val="18"/>
          <w:lang w:eastAsia="en-US"/>
        </w:rPr>
        <w:t>guaraníes</w:t>
      </w:r>
      <w:proofErr w:type="spellEnd"/>
      <w:r w:rsidRPr="00384725">
        <w:rPr>
          <w:rStyle w:val="EncabezadoTelecom"/>
          <w:rFonts w:eastAsiaTheme="minorHAnsi"/>
          <w:color w:val="808080" w:themeColor="background1" w:themeShade="80"/>
          <w:sz w:val="12"/>
          <w:szCs w:val="18"/>
          <w:lang w:eastAsia="en-US"/>
        </w:rPr>
        <w:t xml:space="preserve"> into foreign currencies and transfer funds abroad; (vii) the impact of currency and exchange measures or restrictions on our ability to access the international markets and our ability to repay our dollar-denominated indebtedness; (viii) the creditworthiness of our actual or potential customers; (ix) the nationalization, expropriation and/or increased government intervention in companies; (x) technological changes; (xi) the impact of legal or regulatory matters, changes in the interpretation of current or future regulations or reform and changes in the legal or regulatory environment in which the Company operates, including regulatory developments such as sanctions regimes in other jurisdictions (e.g., the United States) which impact on the Company</w:t>
      </w:r>
      <w:r w:rsidR="003971BB" w:rsidRPr="00384725">
        <w:rPr>
          <w:rStyle w:val="EncabezadoTelecom"/>
          <w:rFonts w:eastAsiaTheme="minorHAnsi"/>
          <w:color w:val="808080" w:themeColor="background1" w:themeShade="80"/>
          <w:sz w:val="12"/>
          <w:szCs w:val="18"/>
          <w:lang w:eastAsia="en-US"/>
        </w:rPr>
        <w:t>’</w:t>
      </w:r>
      <w:r w:rsidRPr="00384725">
        <w:rPr>
          <w:rStyle w:val="EncabezadoTelecom"/>
          <w:rFonts w:eastAsiaTheme="minorHAnsi"/>
          <w:color w:val="808080" w:themeColor="background1" w:themeShade="80"/>
          <w:sz w:val="12"/>
          <w:szCs w:val="18"/>
          <w:lang w:eastAsia="en-US"/>
        </w:rPr>
        <w:t>s suppliers; (xii) the effects of increased competition; (xiii) reliance on content produced by third parties; (xiv) increasing cost of the Company</w:t>
      </w:r>
      <w:r w:rsidR="003971BB" w:rsidRPr="00384725">
        <w:rPr>
          <w:rStyle w:val="EncabezadoTelecom"/>
          <w:rFonts w:eastAsiaTheme="minorHAnsi"/>
          <w:color w:val="808080" w:themeColor="background1" w:themeShade="80"/>
          <w:sz w:val="12"/>
          <w:szCs w:val="18"/>
          <w:lang w:eastAsia="en-US"/>
        </w:rPr>
        <w:t>’</w:t>
      </w:r>
      <w:r w:rsidRPr="00384725">
        <w:rPr>
          <w:rStyle w:val="EncabezadoTelecom"/>
          <w:rFonts w:eastAsiaTheme="minorHAnsi"/>
          <w:color w:val="808080" w:themeColor="background1" w:themeShade="80"/>
          <w:sz w:val="12"/>
          <w:szCs w:val="18"/>
          <w:lang w:eastAsia="en-US"/>
        </w:rPr>
        <w:t>s supplies; (xv) inability to finance on reasonable terms capital expenditures required to remain competitive; (xvi) fluctuations, whether seasonal or in response to adverse macro-economic developments, in the demand for advertising; (xvii) the Company</w:t>
      </w:r>
      <w:r w:rsidR="003971BB" w:rsidRPr="00384725">
        <w:rPr>
          <w:rStyle w:val="EncabezadoTelecom"/>
          <w:rFonts w:eastAsiaTheme="minorHAnsi"/>
          <w:color w:val="808080" w:themeColor="background1" w:themeShade="80"/>
          <w:sz w:val="12"/>
          <w:szCs w:val="18"/>
          <w:lang w:eastAsia="en-US"/>
        </w:rPr>
        <w:t>’</w:t>
      </w:r>
      <w:r w:rsidRPr="00384725">
        <w:rPr>
          <w:rStyle w:val="EncabezadoTelecom"/>
          <w:rFonts w:eastAsiaTheme="minorHAnsi"/>
          <w:color w:val="808080" w:themeColor="background1" w:themeShade="80"/>
          <w:sz w:val="12"/>
          <w:szCs w:val="18"/>
          <w:lang w:eastAsia="en-US"/>
        </w:rPr>
        <w:t>s ability to compete and develop our business in the future; (xviii) the impact of increased national or international restrictions on the transfer or use of telecommunications technology; and (xix) the impact of the outbreak of COVID-19 on the global economy and specifically on the economies of the countries in which we operate, as well as on our operations and financial performance. Many of these factors are macroeconomic and regulatory in nature and therefore beyond the control of the Company</w:t>
      </w:r>
      <w:r w:rsidR="003971BB" w:rsidRPr="00384725">
        <w:rPr>
          <w:rStyle w:val="EncabezadoTelecom"/>
          <w:rFonts w:eastAsiaTheme="minorHAnsi"/>
          <w:color w:val="808080" w:themeColor="background1" w:themeShade="80"/>
          <w:sz w:val="12"/>
          <w:szCs w:val="18"/>
          <w:lang w:eastAsia="en-US"/>
        </w:rPr>
        <w:t>’</w:t>
      </w:r>
      <w:r w:rsidRPr="00384725">
        <w:rPr>
          <w:rStyle w:val="EncabezadoTelecom"/>
          <w:rFonts w:eastAsiaTheme="minorHAnsi"/>
          <w:color w:val="808080" w:themeColor="background1" w:themeShade="80"/>
          <w:sz w:val="12"/>
          <w:szCs w:val="18"/>
          <w:lang w:eastAsia="en-US"/>
        </w:rPr>
        <w:t xml:space="preserve">s management. Should one or more of these risks or uncertainties materialize, or underlying assumptions prove incorrect, actual results may vary materially from those described herein as anticipated, believed, estimated, expected, intended, planned or projected. The Company does not intend and does not assume any obligation to update the forward-looking statements contained in this document. These forward-looking statements are based upon </w:t>
      </w:r>
      <w:proofErr w:type="gramStart"/>
      <w:r w:rsidRPr="00384725">
        <w:rPr>
          <w:rStyle w:val="EncabezadoTelecom"/>
          <w:rFonts w:eastAsiaTheme="minorHAnsi"/>
          <w:color w:val="808080" w:themeColor="background1" w:themeShade="80"/>
          <w:sz w:val="12"/>
          <w:szCs w:val="18"/>
          <w:lang w:eastAsia="en-US"/>
        </w:rPr>
        <w:t>a number of</w:t>
      </w:r>
      <w:proofErr w:type="gramEnd"/>
      <w:r w:rsidRPr="00384725">
        <w:rPr>
          <w:rStyle w:val="EncabezadoTelecom"/>
          <w:rFonts w:eastAsiaTheme="minorHAnsi"/>
          <w:color w:val="808080" w:themeColor="background1" w:themeShade="80"/>
          <w:sz w:val="12"/>
          <w:szCs w:val="18"/>
          <w:lang w:eastAsia="en-US"/>
        </w:rPr>
        <w:t xml:space="preserve"> assumptions and other important factors that could cause our actual results, performance or achievements to differ materially from our future results, performance or achievements expressed or implied by such forward-looking statements. Readers are encouraged to consult the Company</w:t>
      </w:r>
      <w:r w:rsidR="003971BB" w:rsidRPr="00384725">
        <w:rPr>
          <w:rStyle w:val="EncabezadoTelecom"/>
          <w:rFonts w:eastAsiaTheme="minorHAnsi"/>
          <w:color w:val="808080" w:themeColor="background1" w:themeShade="80"/>
          <w:sz w:val="12"/>
          <w:szCs w:val="18"/>
          <w:lang w:eastAsia="en-US"/>
        </w:rPr>
        <w:t>’</w:t>
      </w:r>
      <w:r w:rsidRPr="00384725">
        <w:rPr>
          <w:rStyle w:val="EncabezadoTelecom"/>
          <w:rFonts w:eastAsiaTheme="minorHAnsi"/>
          <w:color w:val="808080" w:themeColor="background1" w:themeShade="80"/>
          <w:sz w:val="12"/>
          <w:szCs w:val="18"/>
          <w:lang w:eastAsia="en-US"/>
        </w:rPr>
        <w:t>s Annual Report on Form 20-F and the periodic filings made on Form 6-K, which are periodically filed with or furnished to the United States Securities and Exchange Commission, as well as the presentations periodically filed before the Argentine Securities and Exchange Commission (Comisión Nacional de Valores) and the Buenos Aires Stock Exchange (</w:t>
      </w:r>
      <w:proofErr w:type="spellStart"/>
      <w:r w:rsidRPr="00384725">
        <w:rPr>
          <w:rStyle w:val="EncabezadoTelecom"/>
          <w:rFonts w:eastAsiaTheme="minorHAnsi"/>
          <w:color w:val="808080" w:themeColor="background1" w:themeShade="80"/>
          <w:sz w:val="12"/>
          <w:szCs w:val="18"/>
          <w:lang w:eastAsia="en-US"/>
        </w:rPr>
        <w:t>Bolsas</w:t>
      </w:r>
      <w:proofErr w:type="spellEnd"/>
      <w:r w:rsidRPr="00384725">
        <w:rPr>
          <w:rStyle w:val="EncabezadoTelecom"/>
          <w:rFonts w:eastAsiaTheme="minorHAnsi"/>
          <w:color w:val="808080" w:themeColor="background1" w:themeShade="80"/>
          <w:sz w:val="12"/>
          <w:szCs w:val="18"/>
          <w:lang w:eastAsia="en-US"/>
        </w:rPr>
        <w:t xml:space="preserve"> y Mercados Argentinos), for further information concerning risks and uncertainties faced by the Company</w:t>
      </w:r>
      <w:bookmarkEnd w:id="3"/>
      <w:r w:rsidRPr="00384725">
        <w:rPr>
          <w:rStyle w:val="EncabezadoTelecom"/>
          <w:rFonts w:eastAsiaTheme="minorHAnsi"/>
          <w:color w:val="808080" w:themeColor="background1" w:themeShade="80"/>
          <w:sz w:val="12"/>
          <w:szCs w:val="18"/>
          <w:lang w:eastAsia="en-US"/>
        </w:rPr>
        <w:t>.</w:t>
      </w:r>
    </w:p>
    <w:p w14:paraId="2081220D" w14:textId="77777777" w:rsidR="006462F3" w:rsidRPr="006462F3" w:rsidRDefault="006462F3" w:rsidP="006462F3">
      <w:pPr>
        <w:pStyle w:val="Sinespaciado"/>
        <w:jc w:val="center"/>
        <w:rPr>
          <w:rStyle w:val="EncabezadoTelecom"/>
          <w:rFonts w:eastAsiaTheme="minorHAnsi"/>
          <w:color w:val="BFBFBF" w:themeColor="background1" w:themeShade="BF"/>
          <w:sz w:val="12"/>
          <w:szCs w:val="18"/>
          <w:lang w:eastAsia="en-US"/>
        </w:rPr>
      </w:pPr>
    </w:p>
    <w:bookmarkEnd w:id="4"/>
    <w:p w14:paraId="22636889" w14:textId="77777777" w:rsidR="00E929B9" w:rsidRPr="00D77CA4" w:rsidRDefault="00E929B9" w:rsidP="005009D3">
      <w:pPr>
        <w:pStyle w:val="Sinespaciado"/>
        <w:jc w:val="center"/>
        <w:rPr>
          <w:b/>
        </w:rPr>
      </w:pPr>
    </w:p>
    <w:p w14:paraId="4B25FE48" w14:textId="0A9FFD9F" w:rsidR="00573D4A" w:rsidRPr="007A578E" w:rsidRDefault="00E929B9" w:rsidP="007A578E">
      <w:pPr>
        <w:ind w:firstLine="708"/>
        <w:jc w:val="center"/>
        <w:rPr>
          <w:rFonts w:ascii="Calibri" w:hAnsi="Calibri"/>
          <w:b/>
          <w:color w:val="808080"/>
          <w:sz w:val="18"/>
          <w:szCs w:val="18"/>
          <w:lang w:val="en-US"/>
        </w:rPr>
      </w:pPr>
      <w:r w:rsidRPr="00D77CA4">
        <w:rPr>
          <w:rFonts w:ascii="Calibri" w:hAnsi="Calibri"/>
          <w:b/>
          <w:color w:val="808080"/>
          <w:sz w:val="18"/>
          <w:szCs w:val="18"/>
          <w:lang w:val="en-US"/>
        </w:rPr>
        <w:t>*******</w:t>
      </w:r>
    </w:p>
    <w:sectPr w:rsidR="00573D4A" w:rsidRPr="007A578E" w:rsidSect="007A578E">
      <w:headerReference w:type="default" r:id="rId15"/>
      <w:footerReference w:type="default" r:id="rId16"/>
      <w:pgSz w:w="11906" w:h="16838"/>
      <w:pgMar w:top="1336" w:right="1263" w:bottom="720" w:left="100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196A6" w14:textId="77777777" w:rsidR="00BE49ED" w:rsidRDefault="00BE49ED" w:rsidP="00E929B9">
      <w:pPr>
        <w:spacing w:after="0" w:line="240" w:lineRule="auto"/>
      </w:pPr>
      <w:r>
        <w:separator/>
      </w:r>
    </w:p>
  </w:endnote>
  <w:endnote w:type="continuationSeparator" w:id="0">
    <w:p w14:paraId="27EA868F" w14:textId="77777777" w:rsidR="00BE49ED" w:rsidRDefault="00BE49ED" w:rsidP="00E92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ulso">
    <w:altName w:val="Pulso"/>
    <w:panose1 w:val="00000000000000000000"/>
    <w:charset w:val="00"/>
    <w:family w:val="auto"/>
    <w:pitch w:val="variable"/>
    <w:sig w:usb0="80000047" w:usb1="00000010" w:usb2="00000000" w:usb3="00000000" w:csb0="00000001" w:csb1="00000000"/>
  </w:font>
  <w:font w:name="FrutigerBlack">
    <w:altName w:val="Courier New"/>
    <w:charset w:val="00"/>
    <w:family w:val="auto"/>
    <w:pitch w:val="variable"/>
    <w:sig w:usb0="00000003" w:usb1="00000000" w:usb2="00000000" w:usb3="00000000" w:csb0="00000001" w:csb1="00000000"/>
  </w:font>
  <w:font w:name="robo">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173" w:type="pct"/>
      <w:tblInd w:w="-993" w:type="dxa"/>
      <w:shd w:val="clear" w:color="auto" w:fill="5B9BD5" w:themeFill="accent1"/>
      <w:tblCellMar>
        <w:left w:w="115" w:type="dxa"/>
        <w:right w:w="115" w:type="dxa"/>
      </w:tblCellMar>
      <w:tblLook w:val="04A0" w:firstRow="1" w:lastRow="0" w:firstColumn="1" w:lastColumn="0" w:noHBand="0" w:noVBand="1"/>
    </w:tblPr>
    <w:tblGrid>
      <w:gridCol w:w="6088"/>
      <w:gridCol w:w="5812"/>
    </w:tblGrid>
    <w:tr w:rsidR="009169F7" w14:paraId="112C12DD" w14:textId="77777777" w:rsidTr="009E1118">
      <w:trPr>
        <w:trHeight w:val="926"/>
      </w:trPr>
      <w:tc>
        <w:tcPr>
          <w:tcW w:w="2558" w:type="pct"/>
          <w:shd w:val="clear" w:color="auto" w:fill="3C009F"/>
          <w:vAlign w:val="center"/>
        </w:tcPr>
        <w:p w14:paraId="064F577D" w14:textId="44645734" w:rsidR="009169F7" w:rsidRDefault="0024660E">
          <w:pPr>
            <w:pStyle w:val="Piedepgina"/>
            <w:spacing w:before="80" w:after="80"/>
            <w:jc w:val="both"/>
            <w:rPr>
              <w:caps/>
              <w:color w:val="FFFFFF" w:themeColor="background1"/>
              <w:sz w:val="18"/>
              <w:szCs w:val="18"/>
            </w:rPr>
          </w:pPr>
          <w:sdt>
            <w:sdtPr>
              <w:rPr>
                <w:b/>
                <w:caps/>
                <w:color w:val="FFFFFF" w:themeColor="background1"/>
                <w:szCs w:val="18"/>
              </w:rPr>
              <w:alias w:val="Título"/>
              <w:tag w:val=""/>
              <w:id w:val="-578829839"/>
              <w:placeholder>
                <w:docPart w:val="1261648A7A84594B96FFD2F00135B5B5"/>
              </w:placeholder>
              <w:dataBinding w:prefixMappings="xmlns:ns0='http://purl.org/dc/elements/1.1/' xmlns:ns1='http://schemas.openxmlformats.org/package/2006/metadata/core-properties' " w:xpath="/ns1:coreProperties[1]/ns0:title[1]" w:storeItemID="{6C3C8BC8-F283-45AE-878A-BAB7291924A1}"/>
              <w:text/>
            </w:sdtPr>
            <w:sdtEndPr/>
            <w:sdtContent>
              <w:r w:rsidR="009169F7">
                <w:rPr>
                  <w:b/>
                  <w:caps/>
                  <w:color w:val="FFFFFF" w:themeColor="background1"/>
                  <w:szCs w:val="18"/>
                </w:rPr>
                <w:t>Telecom Argentina</w:t>
              </w:r>
            </w:sdtContent>
          </w:sdt>
        </w:p>
      </w:tc>
      <w:tc>
        <w:tcPr>
          <w:tcW w:w="2442" w:type="pct"/>
          <w:shd w:val="clear" w:color="auto" w:fill="3C009F"/>
          <w:vAlign w:val="center"/>
        </w:tcPr>
        <w:p w14:paraId="3F3BB315" w14:textId="77777777" w:rsidR="009169F7" w:rsidRDefault="009169F7" w:rsidP="001B3B04">
          <w:pPr>
            <w:pStyle w:val="Piedepgina"/>
            <w:spacing w:before="80" w:after="80"/>
            <w:jc w:val="center"/>
            <w:rPr>
              <w:b/>
              <w:caps/>
              <w:color w:val="FFFFFF" w:themeColor="background1"/>
              <w:sz w:val="18"/>
              <w:szCs w:val="18"/>
            </w:rPr>
          </w:pPr>
          <w:r>
            <w:rPr>
              <w:b/>
              <w:caps/>
              <w:noProof/>
              <w:color w:val="FFFFFF" w:themeColor="background1"/>
              <w:szCs w:val="18"/>
              <w:lang w:eastAsia="es-AR"/>
            </w:rPr>
            <mc:AlternateContent>
              <mc:Choice Requires="wps">
                <w:drawing>
                  <wp:anchor distT="0" distB="0" distL="114300" distR="114300" simplePos="0" relativeHeight="251658239" behindDoc="1" locked="0" layoutInCell="1" allowOverlap="1" wp14:anchorId="415E8891" wp14:editId="70BCDAC6">
                    <wp:simplePos x="0" y="0"/>
                    <wp:positionH relativeFrom="page">
                      <wp:posOffset>-4287520</wp:posOffset>
                    </wp:positionH>
                    <wp:positionV relativeFrom="paragraph">
                      <wp:posOffset>7620</wp:posOffset>
                    </wp:positionV>
                    <wp:extent cx="8603615" cy="827405"/>
                    <wp:effectExtent l="0" t="0" r="6985" b="0"/>
                    <wp:wrapNone/>
                    <wp:docPr id="50" name="Rectángulo 50"/>
                    <wp:cNvGraphicFramePr/>
                    <a:graphic xmlns:a="http://schemas.openxmlformats.org/drawingml/2006/main">
                      <a:graphicData uri="http://schemas.microsoft.com/office/word/2010/wordprocessingShape">
                        <wps:wsp>
                          <wps:cNvSpPr/>
                          <wps:spPr>
                            <a:xfrm>
                              <a:off x="0" y="0"/>
                              <a:ext cx="8603615" cy="827405"/>
                            </a:xfrm>
                            <a:prstGeom prst="rect">
                              <a:avLst/>
                            </a:prstGeom>
                            <a:solidFill>
                              <a:srgbClr val="3C009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DC25B4" w14:textId="77777777" w:rsidR="009169F7" w:rsidRDefault="009169F7" w:rsidP="00AD799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E8891" id="Rectángulo 50" o:spid="_x0000_s1027" style="position:absolute;left:0;text-align:left;margin-left:-337.6pt;margin-top:.6pt;width:677.45pt;height:6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nQRhwIAAGoFAAAOAAAAZHJzL2Uyb0RvYy54bWysVE1v2zAMvQ/YfxB0X+2kSdcGdYogRYYB&#10;RVusHXpWZCk2IIuapMTOfv0oyXa6rthhWA4KJT4+fpjk9U3XKHIQ1tWgCzo5yykRmkNZ611Bvz9v&#10;Pl1S4jzTJVOgRUGPwtGb5ccP161ZiClUoEphCZJot2hNQSvvzSLLHK9Ew9wZGKFRKcE2zOPV7rLS&#10;shbZG5VN8/wia8GWxgIXzuHrbVLSZeSXUnD/IKUTnqiCYmw+njae23Bmy2u22Flmqpr3YbB/iKJh&#10;tUanI9Ut84zsbf0HVVNzCw6kP+PQZCBlzUXMAbOZ5G+yeaqYETEXLI4zY5nc/6Pl94cn82ixDK1x&#10;C4diyKKTtgn/GB/pYrGOY7FE5wnHx8uL/PxiMqeEo+5y+nmWz0M1s5O1sc5/EdCQIBTU4seINWKH&#10;O+cTdIAEZw5UXW5qpeLF7rZrZcmB4Yc7X+f51aZn/w2mdABrCGaJMbxkp1yi5I9KBJzS34QkdYnR&#10;T2Mksc3E6IdxLrSfJFXFSpHcz3P8Dd5DYwaLmGkkDMwS/Y/cPcGATCQDd4qyxwdTEbt0NM7/Flgy&#10;Hi2iZ9B+NG5qDfY9AoVZ9Z4TfihSKk2oku+2HUKCuIXy+GiJhTQuzvBNjZ/wjjn/yCzOB04Szrx/&#10;wEMqaAsKvURJBfbne+8Bj22LWkpanLeCuh97ZgUl6qvGhr6azGZhQONlNv88xYt9rdm+1uh9swbs&#10;jAluF8OjGPBeDaK00LzgalgFr6himqPvgnJvh8vapz2Ay4WL1SrCcCgN83f6yfBAHgocWvS5e2HW&#10;9H3scQLuYZhNtnjTzgkbLDWs9h5kHXv9VNe+9DjQsYf65RM2xut7RJ1W5PIXAAAA//8DAFBLAwQU&#10;AAYACAAAACEAF8RsUOAAAAAKAQAADwAAAGRycy9kb3ducmV2LnhtbEyPQU/CQBCF7yb+h82YeIMt&#10;CC2UbokxwQsSAxrOS3dsG7qzTXdb6r93POlp8vK+vHkv2462EQN2vnakYDaNQCAVztRUKvj82E1W&#10;IHzQZHTjCBV8o4dtfn+X6dS4Gx1xOIVScAj5VCuoQmhTKX1RodV+6lok9r5cZ3Vg2ZXSdPrG4baR&#10;8yiKpdU18YdKt/hSYXE99VbBEO32dnG4Hl/tuVy8v1XrVb8PSj0+jM8bEAHH8AfDb32uDjl3urie&#10;jBeNgkmcLOfMssOHgThZJyAurJ9mS5B5Jv9PyH8AAAD//wMAUEsBAi0AFAAGAAgAAAAhALaDOJL+&#10;AAAA4QEAABMAAAAAAAAAAAAAAAAAAAAAAFtDb250ZW50X1R5cGVzXS54bWxQSwECLQAUAAYACAAA&#10;ACEAOP0h/9YAAACUAQAACwAAAAAAAAAAAAAAAAAvAQAAX3JlbHMvLnJlbHNQSwECLQAUAAYACAAA&#10;ACEAzp50EYcCAABqBQAADgAAAAAAAAAAAAAAAAAuAgAAZHJzL2Uyb0RvYy54bWxQSwECLQAUAAYA&#10;CAAAACEAF8RsUOAAAAAKAQAADwAAAAAAAAAAAAAAAADhBAAAZHJzL2Rvd25yZXYueG1sUEsFBgAA&#10;AAAEAAQA8wAAAO4FAAAAAA==&#10;" fillcolor="#3c009f" stroked="f" strokeweight="1pt">
                    <v:textbox>
                      <w:txbxContent>
                        <w:p w14:paraId="2ADC25B4" w14:textId="77777777" w:rsidR="009169F7" w:rsidRDefault="009169F7" w:rsidP="00AD7999">
                          <w:pPr>
                            <w:jc w:val="center"/>
                          </w:pPr>
                        </w:p>
                      </w:txbxContent>
                    </v:textbox>
                    <w10:wrap anchorx="page"/>
                  </v:rect>
                </w:pict>
              </mc:Fallback>
            </mc:AlternateContent>
          </w:r>
          <w:r>
            <w:rPr>
              <w:b/>
              <w:caps/>
              <w:color w:val="FFFFFF" w:themeColor="background1"/>
              <w:sz w:val="18"/>
              <w:szCs w:val="18"/>
            </w:rPr>
            <w:t xml:space="preserve">                                                                                                                     </w:t>
          </w:r>
        </w:p>
        <w:p w14:paraId="2CDC0EAF" w14:textId="296C50C4" w:rsidR="009169F7" w:rsidRPr="001B3B04" w:rsidRDefault="009169F7" w:rsidP="00AD7999">
          <w:pPr>
            <w:pStyle w:val="Piedepgina"/>
            <w:tabs>
              <w:tab w:val="left" w:pos="5001"/>
            </w:tabs>
            <w:spacing w:before="80" w:after="80"/>
            <w:ind w:right="437"/>
            <w:jc w:val="right"/>
            <w:rPr>
              <w:b/>
              <w:caps/>
              <w:color w:val="FFFFFF" w:themeColor="background1"/>
              <w:sz w:val="18"/>
              <w:szCs w:val="18"/>
            </w:rPr>
          </w:pPr>
          <w:r>
            <w:rPr>
              <w:b/>
              <w:caps/>
              <w:color w:val="FFFFFF" w:themeColor="background1"/>
              <w:sz w:val="18"/>
              <w:szCs w:val="18"/>
            </w:rPr>
            <w:t xml:space="preserve">    </w:t>
          </w:r>
          <w:r w:rsidRPr="001B3B04">
            <w:rPr>
              <w:b/>
              <w:caps/>
              <w:color w:val="FFFFFF" w:themeColor="background1"/>
              <w:sz w:val="18"/>
              <w:szCs w:val="18"/>
            </w:rPr>
            <w:fldChar w:fldCharType="begin"/>
          </w:r>
          <w:r w:rsidRPr="001B3B04">
            <w:rPr>
              <w:b/>
              <w:caps/>
              <w:color w:val="FFFFFF" w:themeColor="background1"/>
              <w:sz w:val="18"/>
              <w:szCs w:val="18"/>
            </w:rPr>
            <w:instrText xml:space="preserve"> PAGE  \* MERGEFORMAT </w:instrText>
          </w:r>
          <w:r w:rsidRPr="001B3B04">
            <w:rPr>
              <w:b/>
              <w:caps/>
              <w:color w:val="FFFFFF" w:themeColor="background1"/>
              <w:sz w:val="18"/>
              <w:szCs w:val="18"/>
            </w:rPr>
            <w:fldChar w:fldCharType="separate"/>
          </w:r>
          <w:r w:rsidR="00501679">
            <w:rPr>
              <w:b/>
              <w:caps/>
              <w:noProof/>
              <w:color w:val="FFFFFF" w:themeColor="background1"/>
              <w:sz w:val="18"/>
              <w:szCs w:val="18"/>
            </w:rPr>
            <w:t>15</w:t>
          </w:r>
          <w:r w:rsidRPr="001B3B04">
            <w:rPr>
              <w:b/>
              <w:caps/>
              <w:color w:val="FFFFFF" w:themeColor="background1"/>
              <w:sz w:val="18"/>
              <w:szCs w:val="18"/>
            </w:rPr>
            <w:fldChar w:fldCharType="end"/>
          </w:r>
          <w:r>
            <w:rPr>
              <w:b/>
              <w:caps/>
              <w:color w:val="FFFFFF" w:themeColor="background1"/>
              <w:sz w:val="18"/>
              <w:szCs w:val="18"/>
            </w:rPr>
            <w:t xml:space="preserve">                </w:t>
          </w:r>
          <w:r w:rsidRPr="001B3B04">
            <w:rPr>
              <w:b/>
              <w:caps/>
              <w:color w:val="FFFFFF" w:themeColor="background1"/>
              <w:sz w:val="18"/>
              <w:szCs w:val="18"/>
            </w:rPr>
            <w:t xml:space="preserve">      </w:t>
          </w:r>
        </w:p>
      </w:tc>
    </w:tr>
  </w:tbl>
  <w:p w14:paraId="7EA970BB" w14:textId="5142A581" w:rsidR="009169F7" w:rsidRDefault="009169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AAD1E" w14:textId="77777777" w:rsidR="00BE49ED" w:rsidRDefault="00BE49ED" w:rsidP="00E929B9">
      <w:pPr>
        <w:spacing w:after="0" w:line="240" w:lineRule="auto"/>
      </w:pPr>
      <w:r>
        <w:separator/>
      </w:r>
    </w:p>
  </w:footnote>
  <w:footnote w:type="continuationSeparator" w:id="0">
    <w:p w14:paraId="5F66A085" w14:textId="77777777" w:rsidR="00BE49ED" w:rsidRDefault="00BE49ED" w:rsidP="00E92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11B3" w14:textId="746DBAF6" w:rsidR="009169F7" w:rsidRDefault="009169F7">
    <w:pPr>
      <w:pStyle w:val="Encabezado"/>
    </w:pPr>
    <w:r>
      <w:rPr>
        <w:noProof/>
        <w:lang w:eastAsia="es-AR"/>
      </w:rPr>
      <w:drawing>
        <wp:anchor distT="0" distB="0" distL="114300" distR="114300" simplePos="0" relativeHeight="251659264" behindDoc="0" locked="0" layoutInCell="1" allowOverlap="1" wp14:anchorId="30AA5951" wp14:editId="0E1FFF0F">
          <wp:simplePos x="0" y="0"/>
          <wp:positionH relativeFrom="margin">
            <wp:posOffset>4946552</wp:posOffset>
          </wp:positionH>
          <wp:positionV relativeFrom="paragraph">
            <wp:posOffset>31115</wp:posOffset>
          </wp:positionV>
          <wp:extent cx="1507490" cy="523240"/>
          <wp:effectExtent l="0" t="0" r="0" b="0"/>
          <wp:wrapSquare wrapText="bothSides"/>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Logo Telecom.png"/>
                  <pic:cNvPicPr/>
                </pic:nvPicPr>
                <pic:blipFill>
                  <a:blip r:embed="rId1">
                    <a:extLst>
                      <a:ext uri="{28A0092B-C50C-407E-A947-70E740481C1C}">
                        <a14:useLocalDpi xmlns:a14="http://schemas.microsoft.com/office/drawing/2010/main" val="0"/>
                      </a:ext>
                    </a:extLst>
                  </a:blip>
                  <a:stretch>
                    <a:fillRect/>
                  </a:stretch>
                </pic:blipFill>
                <pic:spPr>
                  <a:xfrm>
                    <a:off x="0" y="0"/>
                    <a:ext cx="1507490" cy="523240"/>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inline distT="0" distB="0" distL="0" distR="0" wp14:anchorId="009B2ACF" wp14:editId="16632421">
              <wp:extent cx="304800" cy="304800"/>
              <wp:effectExtent l="0" t="0" r="0" b="0"/>
              <wp:docPr id="22" name="Rectángulo 22" descr="blob:https://cablevisionfibertel-my.sharepoint.com/659684f7-7248-4aee-b25b-57b54c201d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0FCCD2" id="Rectángulo 22" o:spid="_x0000_s1026" alt="blob:https://cablevisionfibertel-my.sharepoint.com/659684f7-7248-4aee-b25b-57b54c201d6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lang w:eastAsia="es-AR"/>
      </w:rPr>
      <mc:AlternateContent>
        <mc:Choice Requires="wps">
          <w:drawing>
            <wp:inline distT="0" distB="0" distL="0" distR="0" wp14:anchorId="0EECCCB2" wp14:editId="74434168">
              <wp:extent cx="304800" cy="304800"/>
              <wp:effectExtent l="0" t="0" r="0" b="0"/>
              <wp:docPr id="26" name="AutoShape 2" descr="blob:https://cablevisionfibertel-my.sharepoint.com/659684f7-7248-4aee-b25b-57b54c201d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7663D4" id="AutoShape 2" o:spid="_x0000_s1026" alt="blob:https://cablevisionfibertel-my.sharepoint.com/659684f7-7248-4aee-b25b-57b54c201d6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E178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800382"/>
    <w:multiLevelType w:val="hybridMultilevel"/>
    <w:tmpl w:val="714E1B9A"/>
    <w:lvl w:ilvl="0" w:tplc="43CC4440">
      <w:start w:val="1"/>
      <w:numFmt w:val="bullet"/>
      <w:lvlText w:val=""/>
      <w:lvlJc w:val="left"/>
      <w:pPr>
        <w:ind w:left="720" w:hanging="360"/>
      </w:pPr>
      <w:rPr>
        <w:rFonts w:ascii="Symbol" w:hAnsi="Symbol" w:hint="default"/>
        <w:color w:val="B989F9"/>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9B209B8"/>
    <w:multiLevelType w:val="hybridMultilevel"/>
    <w:tmpl w:val="F34C5CC0"/>
    <w:lvl w:ilvl="0" w:tplc="5B9E54D2">
      <w:start w:val="1"/>
      <w:numFmt w:val="lowerRoman"/>
      <w:lvlText w:val="%1)"/>
      <w:lvlJc w:val="left"/>
      <w:pPr>
        <w:ind w:left="720" w:hanging="360"/>
      </w:pPr>
      <w:rPr>
        <w:rFonts w:hint="default"/>
        <w:color w:val="B989F9"/>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30322237"/>
    <w:multiLevelType w:val="hybridMultilevel"/>
    <w:tmpl w:val="EDC65558"/>
    <w:lvl w:ilvl="0" w:tplc="FFFFFFFF">
      <w:start w:val="1"/>
      <w:numFmt w:val="decimal"/>
      <w:lvlText w:val="(%1)"/>
      <w:lvlJc w:val="left"/>
      <w:pPr>
        <w:ind w:left="360" w:hanging="360"/>
      </w:pPr>
      <w:rPr>
        <w:rFonts w:ascii="Arial" w:eastAsia="MS Mincho" w:hAnsi="Arial" w:cs="Arial"/>
      </w:rPr>
    </w:lvl>
    <w:lvl w:ilvl="1" w:tplc="FFFFFFFF">
      <w:numFmt w:val="bullet"/>
      <w:lvlText w:val="•"/>
      <w:lvlJc w:val="left"/>
      <w:pPr>
        <w:ind w:left="1080" w:hanging="360"/>
      </w:pPr>
      <w:rPr>
        <w:rFonts w:ascii="Times New Roman" w:eastAsia="MS Mincho" w:hAnsi="Times New Roman"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54201640"/>
    <w:multiLevelType w:val="hybridMultilevel"/>
    <w:tmpl w:val="130298E8"/>
    <w:lvl w:ilvl="0" w:tplc="929C16E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6513609E"/>
    <w:multiLevelType w:val="multilevel"/>
    <w:tmpl w:val="9F78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A21088"/>
    <w:multiLevelType w:val="hybridMultilevel"/>
    <w:tmpl w:val="D0EC81C2"/>
    <w:lvl w:ilvl="0" w:tplc="43CC4440">
      <w:start w:val="1"/>
      <w:numFmt w:val="bullet"/>
      <w:lvlText w:val=""/>
      <w:lvlJc w:val="left"/>
      <w:pPr>
        <w:ind w:left="720" w:hanging="360"/>
      </w:pPr>
      <w:rPr>
        <w:rFonts w:ascii="Symbol" w:hAnsi="Symbol" w:hint="default"/>
        <w:color w:val="B989F9"/>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A63703B"/>
    <w:multiLevelType w:val="hybridMultilevel"/>
    <w:tmpl w:val="6AB07DD6"/>
    <w:lvl w:ilvl="0" w:tplc="43CC4440">
      <w:start w:val="1"/>
      <w:numFmt w:val="bullet"/>
      <w:lvlText w:val=""/>
      <w:lvlJc w:val="left"/>
      <w:pPr>
        <w:ind w:left="720" w:hanging="360"/>
      </w:pPr>
      <w:rPr>
        <w:rFonts w:ascii="Symbol" w:hAnsi="Symbol" w:hint="default"/>
        <w:color w:val="B989F9"/>
      </w:rPr>
    </w:lvl>
    <w:lvl w:ilvl="1" w:tplc="43CC4440">
      <w:start w:val="1"/>
      <w:numFmt w:val="bullet"/>
      <w:lvlText w:val=""/>
      <w:lvlJc w:val="left"/>
      <w:pPr>
        <w:ind w:left="1120" w:hanging="360"/>
      </w:pPr>
      <w:rPr>
        <w:rFonts w:ascii="Symbol" w:hAnsi="Symbol" w:hint="default"/>
        <w:color w:val="B989F9"/>
      </w:rPr>
    </w:lvl>
    <w:lvl w:ilvl="2" w:tplc="040A0005" w:tentative="1">
      <w:start w:val="1"/>
      <w:numFmt w:val="bullet"/>
      <w:lvlText w:val=""/>
      <w:lvlJc w:val="left"/>
      <w:pPr>
        <w:ind w:left="1840" w:hanging="360"/>
      </w:pPr>
      <w:rPr>
        <w:rFonts w:ascii="Wingdings" w:hAnsi="Wingdings" w:hint="default"/>
      </w:rPr>
    </w:lvl>
    <w:lvl w:ilvl="3" w:tplc="040A0001" w:tentative="1">
      <w:start w:val="1"/>
      <w:numFmt w:val="bullet"/>
      <w:lvlText w:val=""/>
      <w:lvlJc w:val="left"/>
      <w:pPr>
        <w:ind w:left="2560" w:hanging="360"/>
      </w:pPr>
      <w:rPr>
        <w:rFonts w:ascii="Symbol" w:hAnsi="Symbol" w:hint="default"/>
      </w:rPr>
    </w:lvl>
    <w:lvl w:ilvl="4" w:tplc="040A0003" w:tentative="1">
      <w:start w:val="1"/>
      <w:numFmt w:val="bullet"/>
      <w:lvlText w:val="o"/>
      <w:lvlJc w:val="left"/>
      <w:pPr>
        <w:ind w:left="3280" w:hanging="360"/>
      </w:pPr>
      <w:rPr>
        <w:rFonts w:ascii="Courier New" w:hAnsi="Courier New" w:cs="Courier New" w:hint="default"/>
      </w:rPr>
    </w:lvl>
    <w:lvl w:ilvl="5" w:tplc="040A0005" w:tentative="1">
      <w:start w:val="1"/>
      <w:numFmt w:val="bullet"/>
      <w:lvlText w:val=""/>
      <w:lvlJc w:val="left"/>
      <w:pPr>
        <w:ind w:left="4000" w:hanging="360"/>
      </w:pPr>
      <w:rPr>
        <w:rFonts w:ascii="Wingdings" w:hAnsi="Wingdings" w:hint="default"/>
      </w:rPr>
    </w:lvl>
    <w:lvl w:ilvl="6" w:tplc="040A0001" w:tentative="1">
      <w:start w:val="1"/>
      <w:numFmt w:val="bullet"/>
      <w:lvlText w:val=""/>
      <w:lvlJc w:val="left"/>
      <w:pPr>
        <w:ind w:left="4720" w:hanging="360"/>
      </w:pPr>
      <w:rPr>
        <w:rFonts w:ascii="Symbol" w:hAnsi="Symbol" w:hint="default"/>
      </w:rPr>
    </w:lvl>
    <w:lvl w:ilvl="7" w:tplc="040A0003" w:tentative="1">
      <w:start w:val="1"/>
      <w:numFmt w:val="bullet"/>
      <w:lvlText w:val="o"/>
      <w:lvlJc w:val="left"/>
      <w:pPr>
        <w:ind w:left="5440" w:hanging="360"/>
      </w:pPr>
      <w:rPr>
        <w:rFonts w:ascii="Courier New" w:hAnsi="Courier New" w:cs="Courier New" w:hint="default"/>
      </w:rPr>
    </w:lvl>
    <w:lvl w:ilvl="8" w:tplc="040A0005" w:tentative="1">
      <w:start w:val="1"/>
      <w:numFmt w:val="bullet"/>
      <w:lvlText w:val=""/>
      <w:lvlJc w:val="left"/>
      <w:pPr>
        <w:ind w:left="6160" w:hanging="360"/>
      </w:pPr>
      <w:rPr>
        <w:rFonts w:ascii="Wingdings" w:hAnsi="Wingdings" w:hint="default"/>
      </w:rPr>
    </w:lvl>
  </w:abstractNum>
  <w:num w:numId="1" w16cid:durableId="1814639285">
    <w:abstractNumId w:val="6"/>
  </w:num>
  <w:num w:numId="2" w16cid:durableId="941228611">
    <w:abstractNumId w:val="7"/>
  </w:num>
  <w:num w:numId="3" w16cid:durableId="541600400">
    <w:abstractNumId w:val="1"/>
  </w:num>
  <w:num w:numId="4" w16cid:durableId="1463500815">
    <w:abstractNumId w:val="2"/>
  </w:num>
  <w:num w:numId="5" w16cid:durableId="1802191020">
    <w:abstractNumId w:val="4"/>
  </w:num>
  <w:num w:numId="6" w16cid:durableId="442893140">
    <w:abstractNumId w:val="0"/>
  </w:num>
  <w:num w:numId="7" w16cid:durableId="1519275216">
    <w:abstractNumId w:val="3"/>
  </w:num>
  <w:num w:numId="8" w16cid:durableId="184254898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6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9B9"/>
    <w:rsid w:val="00000734"/>
    <w:rsid w:val="00000BE0"/>
    <w:rsid w:val="00001BB5"/>
    <w:rsid w:val="000021F2"/>
    <w:rsid w:val="00003676"/>
    <w:rsid w:val="00003F62"/>
    <w:rsid w:val="00004555"/>
    <w:rsid w:val="00004718"/>
    <w:rsid w:val="00007086"/>
    <w:rsid w:val="00007462"/>
    <w:rsid w:val="00007DFF"/>
    <w:rsid w:val="00010911"/>
    <w:rsid w:val="000115E9"/>
    <w:rsid w:val="0001333E"/>
    <w:rsid w:val="00013984"/>
    <w:rsid w:val="0001549C"/>
    <w:rsid w:val="000164BC"/>
    <w:rsid w:val="000204B7"/>
    <w:rsid w:val="00021293"/>
    <w:rsid w:val="00021C7E"/>
    <w:rsid w:val="00022744"/>
    <w:rsid w:val="00022939"/>
    <w:rsid w:val="000232A2"/>
    <w:rsid w:val="00023CD7"/>
    <w:rsid w:val="00024059"/>
    <w:rsid w:val="000256B8"/>
    <w:rsid w:val="00025BB8"/>
    <w:rsid w:val="0002696F"/>
    <w:rsid w:val="00026988"/>
    <w:rsid w:val="00026A1E"/>
    <w:rsid w:val="00026D28"/>
    <w:rsid w:val="000276D4"/>
    <w:rsid w:val="00027959"/>
    <w:rsid w:val="00027E73"/>
    <w:rsid w:val="000324C0"/>
    <w:rsid w:val="00033821"/>
    <w:rsid w:val="00033A66"/>
    <w:rsid w:val="00034824"/>
    <w:rsid w:val="00035468"/>
    <w:rsid w:val="00035AB0"/>
    <w:rsid w:val="00035DFB"/>
    <w:rsid w:val="00035F4B"/>
    <w:rsid w:val="00036147"/>
    <w:rsid w:val="000369EF"/>
    <w:rsid w:val="00036AAD"/>
    <w:rsid w:val="00037424"/>
    <w:rsid w:val="00041672"/>
    <w:rsid w:val="000416AA"/>
    <w:rsid w:val="00041BA0"/>
    <w:rsid w:val="00042217"/>
    <w:rsid w:val="000459F9"/>
    <w:rsid w:val="00045CC1"/>
    <w:rsid w:val="00045CC3"/>
    <w:rsid w:val="0005013F"/>
    <w:rsid w:val="00050310"/>
    <w:rsid w:val="000510FD"/>
    <w:rsid w:val="000514C9"/>
    <w:rsid w:val="0005164D"/>
    <w:rsid w:val="00052650"/>
    <w:rsid w:val="00053B90"/>
    <w:rsid w:val="00054355"/>
    <w:rsid w:val="00055995"/>
    <w:rsid w:val="00056140"/>
    <w:rsid w:val="000608EC"/>
    <w:rsid w:val="000643A8"/>
    <w:rsid w:val="00064D8D"/>
    <w:rsid w:val="00064FDE"/>
    <w:rsid w:val="00066146"/>
    <w:rsid w:val="00066691"/>
    <w:rsid w:val="0006685A"/>
    <w:rsid w:val="00067BA0"/>
    <w:rsid w:val="00071743"/>
    <w:rsid w:val="0007205D"/>
    <w:rsid w:val="000726FB"/>
    <w:rsid w:val="00073A35"/>
    <w:rsid w:val="00074056"/>
    <w:rsid w:val="0007412D"/>
    <w:rsid w:val="0007416C"/>
    <w:rsid w:val="00074EF1"/>
    <w:rsid w:val="00075257"/>
    <w:rsid w:val="00075C9C"/>
    <w:rsid w:val="00076AA6"/>
    <w:rsid w:val="00080EB5"/>
    <w:rsid w:val="00083B6A"/>
    <w:rsid w:val="00084EB4"/>
    <w:rsid w:val="00084F43"/>
    <w:rsid w:val="00086456"/>
    <w:rsid w:val="000877AC"/>
    <w:rsid w:val="00087CE2"/>
    <w:rsid w:val="00091950"/>
    <w:rsid w:val="00092131"/>
    <w:rsid w:val="000923CA"/>
    <w:rsid w:val="00094859"/>
    <w:rsid w:val="00095938"/>
    <w:rsid w:val="0009789F"/>
    <w:rsid w:val="000A0C62"/>
    <w:rsid w:val="000A0F50"/>
    <w:rsid w:val="000A4778"/>
    <w:rsid w:val="000A4A35"/>
    <w:rsid w:val="000A61DF"/>
    <w:rsid w:val="000A6DFB"/>
    <w:rsid w:val="000A79C8"/>
    <w:rsid w:val="000A7F9F"/>
    <w:rsid w:val="000B0F00"/>
    <w:rsid w:val="000B1EF5"/>
    <w:rsid w:val="000B3C9D"/>
    <w:rsid w:val="000B6596"/>
    <w:rsid w:val="000B786C"/>
    <w:rsid w:val="000C3681"/>
    <w:rsid w:val="000C50AB"/>
    <w:rsid w:val="000C524E"/>
    <w:rsid w:val="000D291E"/>
    <w:rsid w:val="000D3A6E"/>
    <w:rsid w:val="000D4BBA"/>
    <w:rsid w:val="000D5C7D"/>
    <w:rsid w:val="000D610A"/>
    <w:rsid w:val="000D6337"/>
    <w:rsid w:val="000D6A2C"/>
    <w:rsid w:val="000D70AE"/>
    <w:rsid w:val="000E0124"/>
    <w:rsid w:val="000E0DEE"/>
    <w:rsid w:val="000E2338"/>
    <w:rsid w:val="000E27F6"/>
    <w:rsid w:val="000E2B28"/>
    <w:rsid w:val="000E2B4A"/>
    <w:rsid w:val="000E3805"/>
    <w:rsid w:val="000E4534"/>
    <w:rsid w:val="000E4CE7"/>
    <w:rsid w:val="000E50D1"/>
    <w:rsid w:val="000E5CA2"/>
    <w:rsid w:val="000F0AA3"/>
    <w:rsid w:val="000F4A8E"/>
    <w:rsid w:val="000F4BA0"/>
    <w:rsid w:val="000F5076"/>
    <w:rsid w:val="000F50C3"/>
    <w:rsid w:val="000F5CA4"/>
    <w:rsid w:val="000F68B1"/>
    <w:rsid w:val="000F71F4"/>
    <w:rsid w:val="000F7210"/>
    <w:rsid w:val="000F7F84"/>
    <w:rsid w:val="001003D4"/>
    <w:rsid w:val="001013A3"/>
    <w:rsid w:val="00103BFC"/>
    <w:rsid w:val="001062EA"/>
    <w:rsid w:val="0011064E"/>
    <w:rsid w:val="00110A4D"/>
    <w:rsid w:val="00110F49"/>
    <w:rsid w:val="00111DC9"/>
    <w:rsid w:val="00112CAC"/>
    <w:rsid w:val="001139D5"/>
    <w:rsid w:val="00114738"/>
    <w:rsid w:val="00114914"/>
    <w:rsid w:val="00116ABC"/>
    <w:rsid w:val="001172D4"/>
    <w:rsid w:val="00117534"/>
    <w:rsid w:val="0012499B"/>
    <w:rsid w:val="001305E5"/>
    <w:rsid w:val="00130BAF"/>
    <w:rsid w:val="001322BE"/>
    <w:rsid w:val="001372A7"/>
    <w:rsid w:val="00140EA9"/>
    <w:rsid w:val="00140F62"/>
    <w:rsid w:val="001413C7"/>
    <w:rsid w:val="00141575"/>
    <w:rsid w:val="001421EC"/>
    <w:rsid w:val="00142ACB"/>
    <w:rsid w:val="00145DE3"/>
    <w:rsid w:val="001468B0"/>
    <w:rsid w:val="00150EAA"/>
    <w:rsid w:val="00151745"/>
    <w:rsid w:val="00153C79"/>
    <w:rsid w:val="0015410F"/>
    <w:rsid w:val="00154146"/>
    <w:rsid w:val="00160C08"/>
    <w:rsid w:val="00161939"/>
    <w:rsid w:val="00161F67"/>
    <w:rsid w:val="00162A9C"/>
    <w:rsid w:val="00162F14"/>
    <w:rsid w:val="00163286"/>
    <w:rsid w:val="00167E52"/>
    <w:rsid w:val="00170C25"/>
    <w:rsid w:val="00170CD9"/>
    <w:rsid w:val="00173FBC"/>
    <w:rsid w:val="00174218"/>
    <w:rsid w:val="00174B30"/>
    <w:rsid w:val="0017502C"/>
    <w:rsid w:val="001777BC"/>
    <w:rsid w:val="00177CA5"/>
    <w:rsid w:val="00180B8E"/>
    <w:rsid w:val="00181296"/>
    <w:rsid w:val="0018148F"/>
    <w:rsid w:val="00184CC4"/>
    <w:rsid w:val="00185868"/>
    <w:rsid w:val="00187804"/>
    <w:rsid w:val="001912D7"/>
    <w:rsid w:val="001917BC"/>
    <w:rsid w:val="00192924"/>
    <w:rsid w:val="00193B9F"/>
    <w:rsid w:val="001951D2"/>
    <w:rsid w:val="001953C2"/>
    <w:rsid w:val="001A0E1F"/>
    <w:rsid w:val="001A12ED"/>
    <w:rsid w:val="001A1D6E"/>
    <w:rsid w:val="001A26D5"/>
    <w:rsid w:val="001A27B5"/>
    <w:rsid w:val="001A3DCB"/>
    <w:rsid w:val="001A3F2C"/>
    <w:rsid w:val="001A46AF"/>
    <w:rsid w:val="001A51F8"/>
    <w:rsid w:val="001A54B6"/>
    <w:rsid w:val="001A676D"/>
    <w:rsid w:val="001A6EA9"/>
    <w:rsid w:val="001A70FE"/>
    <w:rsid w:val="001A781E"/>
    <w:rsid w:val="001B0945"/>
    <w:rsid w:val="001B279C"/>
    <w:rsid w:val="001B2ADA"/>
    <w:rsid w:val="001B3061"/>
    <w:rsid w:val="001B3570"/>
    <w:rsid w:val="001B3B04"/>
    <w:rsid w:val="001B3CDC"/>
    <w:rsid w:val="001B3E15"/>
    <w:rsid w:val="001B45CA"/>
    <w:rsid w:val="001B493D"/>
    <w:rsid w:val="001B556C"/>
    <w:rsid w:val="001B5EC9"/>
    <w:rsid w:val="001B6EB4"/>
    <w:rsid w:val="001B73D5"/>
    <w:rsid w:val="001B791E"/>
    <w:rsid w:val="001C1371"/>
    <w:rsid w:val="001C156B"/>
    <w:rsid w:val="001C23FF"/>
    <w:rsid w:val="001C3511"/>
    <w:rsid w:val="001C36F2"/>
    <w:rsid w:val="001C5D1C"/>
    <w:rsid w:val="001D2CE0"/>
    <w:rsid w:val="001D389E"/>
    <w:rsid w:val="001D3CBC"/>
    <w:rsid w:val="001D540A"/>
    <w:rsid w:val="001D6085"/>
    <w:rsid w:val="001D68DC"/>
    <w:rsid w:val="001D6D3F"/>
    <w:rsid w:val="001D6EF2"/>
    <w:rsid w:val="001D78E3"/>
    <w:rsid w:val="001E1F09"/>
    <w:rsid w:val="001E4207"/>
    <w:rsid w:val="001E458F"/>
    <w:rsid w:val="001E46DC"/>
    <w:rsid w:val="001E4908"/>
    <w:rsid w:val="001E6466"/>
    <w:rsid w:val="001E71E9"/>
    <w:rsid w:val="001E756A"/>
    <w:rsid w:val="001F09A7"/>
    <w:rsid w:val="001F0F32"/>
    <w:rsid w:val="001F179F"/>
    <w:rsid w:val="001F1A2C"/>
    <w:rsid w:val="001F2051"/>
    <w:rsid w:val="001F34ED"/>
    <w:rsid w:val="001F45FB"/>
    <w:rsid w:val="001F5530"/>
    <w:rsid w:val="001F6554"/>
    <w:rsid w:val="001F75B7"/>
    <w:rsid w:val="001F7F08"/>
    <w:rsid w:val="002008FA"/>
    <w:rsid w:val="00200FDC"/>
    <w:rsid w:val="00202182"/>
    <w:rsid w:val="00205064"/>
    <w:rsid w:val="00205D2C"/>
    <w:rsid w:val="00205D6C"/>
    <w:rsid w:val="00206A96"/>
    <w:rsid w:val="00207077"/>
    <w:rsid w:val="00210DD7"/>
    <w:rsid w:val="002112FE"/>
    <w:rsid w:val="00211DC1"/>
    <w:rsid w:val="002120FF"/>
    <w:rsid w:val="00212DD7"/>
    <w:rsid w:val="002144E1"/>
    <w:rsid w:val="002153E6"/>
    <w:rsid w:val="00215B5D"/>
    <w:rsid w:val="00215CB9"/>
    <w:rsid w:val="00215D5D"/>
    <w:rsid w:val="00216A9E"/>
    <w:rsid w:val="0021747B"/>
    <w:rsid w:val="002174CF"/>
    <w:rsid w:val="002218D0"/>
    <w:rsid w:val="002231E7"/>
    <w:rsid w:val="00223591"/>
    <w:rsid w:val="00223DDE"/>
    <w:rsid w:val="00224919"/>
    <w:rsid w:val="00224E0E"/>
    <w:rsid w:val="00224F89"/>
    <w:rsid w:val="002253CA"/>
    <w:rsid w:val="002268E7"/>
    <w:rsid w:val="00232211"/>
    <w:rsid w:val="0023360B"/>
    <w:rsid w:val="0023505B"/>
    <w:rsid w:val="00235484"/>
    <w:rsid w:val="0023777A"/>
    <w:rsid w:val="00240099"/>
    <w:rsid w:val="0024238D"/>
    <w:rsid w:val="0024460E"/>
    <w:rsid w:val="0024483A"/>
    <w:rsid w:val="00244ACD"/>
    <w:rsid w:val="0024563F"/>
    <w:rsid w:val="00245751"/>
    <w:rsid w:val="00245B67"/>
    <w:rsid w:val="0024621B"/>
    <w:rsid w:val="0024660E"/>
    <w:rsid w:val="00246DD9"/>
    <w:rsid w:val="002477C6"/>
    <w:rsid w:val="00247FE2"/>
    <w:rsid w:val="00251015"/>
    <w:rsid w:val="00252196"/>
    <w:rsid w:val="00253A3A"/>
    <w:rsid w:val="00253F53"/>
    <w:rsid w:val="002544F5"/>
    <w:rsid w:val="00255249"/>
    <w:rsid w:val="0025556A"/>
    <w:rsid w:val="00255644"/>
    <w:rsid w:val="002604C1"/>
    <w:rsid w:val="00260EF8"/>
    <w:rsid w:val="00262D7A"/>
    <w:rsid w:val="002634C6"/>
    <w:rsid w:val="00263722"/>
    <w:rsid w:val="002641E9"/>
    <w:rsid w:val="00264AC2"/>
    <w:rsid w:val="00264E7B"/>
    <w:rsid w:val="0026574E"/>
    <w:rsid w:val="0026631C"/>
    <w:rsid w:val="002705F5"/>
    <w:rsid w:val="00270C46"/>
    <w:rsid w:val="00271E11"/>
    <w:rsid w:val="00271F85"/>
    <w:rsid w:val="00271FE9"/>
    <w:rsid w:val="002724C9"/>
    <w:rsid w:val="00273527"/>
    <w:rsid w:val="002745D5"/>
    <w:rsid w:val="0027477A"/>
    <w:rsid w:val="00274921"/>
    <w:rsid w:val="002758A5"/>
    <w:rsid w:val="0027777E"/>
    <w:rsid w:val="002825E4"/>
    <w:rsid w:val="00282B0E"/>
    <w:rsid w:val="00282B7D"/>
    <w:rsid w:val="00282CF0"/>
    <w:rsid w:val="00283911"/>
    <w:rsid w:val="0028457A"/>
    <w:rsid w:val="00285051"/>
    <w:rsid w:val="00285FCE"/>
    <w:rsid w:val="0028708A"/>
    <w:rsid w:val="00290723"/>
    <w:rsid w:val="00291C05"/>
    <w:rsid w:val="00292F86"/>
    <w:rsid w:val="002933C8"/>
    <w:rsid w:val="002935D9"/>
    <w:rsid w:val="00293C01"/>
    <w:rsid w:val="00294619"/>
    <w:rsid w:val="00294ACB"/>
    <w:rsid w:val="00295792"/>
    <w:rsid w:val="0029579D"/>
    <w:rsid w:val="00296520"/>
    <w:rsid w:val="00296EC3"/>
    <w:rsid w:val="002970CB"/>
    <w:rsid w:val="002A0BB2"/>
    <w:rsid w:val="002A1CF5"/>
    <w:rsid w:val="002A2B7A"/>
    <w:rsid w:val="002A3330"/>
    <w:rsid w:val="002A3AE2"/>
    <w:rsid w:val="002A3F28"/>
    <w:rsid w:val="002A4D5D"/>
    <w:rsid w:val="002A500B"/>
    <w:rsid w:val="002A587E"/>
    <w:rsid w:val="002A6E3C"/>
    <w:rsid w:val="002A75BB"/>
    <w:rsid w:val="002A7BD1"/>
    <w:rsid w:val="002B055C"/>
    <w:rsid w:val="002B0AC7"/>
    <w:rsid w:val="002B132B"/>
    <w:rsid w:val="002B1D04"/>
    <w:rsid w:val="002B2C07"/>
    <w:rsid w:val="002B3179"/>
    <w:rsid w:val="002B374D"/>
    <w:rsid w:val="002B4282"/>
    <w:rsid w:val="002B4284"/>
    <w:rsid w:val="002B562C"/>
    <w:rsid w:val="002B58F7"/>
    <w:rsid w:val="002B5C50"/>
    <w:rsid w:val="002B65B1"/>
    <w:rsid w:val="002B79F0"/>
    <w:rsid w:val="002C0080"/>
    <w:rsid w:val="002C0AF0"/>
    <w:rsid w:val="002C10AA"/>
    <w:rsid w:val="002C16B5"/>
    <w:rsid w:val="002C2C88"/>
    <w:rsid w:val="002C2E7C"/>
    <w:rsid w:val="002C32B2"/>
    <w:rsid w:val="002C3FDD"/>
    <w:rsid w:val="002C56A9"/>
    <w:rsid w:val="002C69A5"/>
    <w:rsid w:val="002C7D25"/>
    <w:rsid w:val="002D0511"/>
    <w:rsid w:val="002D1D8B"/>
    <w:rsid w:val="002D2DA1"/>
    <w:rsid w:val="002D3B22"/>
    <w:rsid w:val="002D3D19"/>
    <w:rsid w:val="002D412E"/>
    <w:rsid w:val="002D438C"/>
    <w:rsid w:val="002D51F8"/>
    <w:rsid w:val="002D74A9"/>
    <w:rsid w:val="002D7954"/>
    <w:rsid w:val="002E054A"/>
    <w:rsid w:val="002E0894"/>
    <w:rsid w:val="002E1681"/>
    <w:rsid w:val="002E18F4"/>
    <w:rsid w:val="002E32CC"/>
    <w:rsid w:val="002E3467"/>
    <w:rsid w:val="002E3DA4"/>
    <w:rsid w:val="002E42CD"/>
    <w:rsid w:val="002E48A2"/>
    <w:rsid w:val="002E4AE5"/>
    <w:rsid w:val="002E5B88"/>
    <w:rsid w:val="002E6668"/>
    <w:rsid w:val="002E7C57"/>
    <w:rsid w:val="002E7FC7"/>
    <w:rsid w:val="002F156A"/>
    <w:rsid w:val="002F2244"/>
    <w:rsid w:val="002F2A66"/>
    <w:rsid w:val="002F2B7E"/>
    <w:rsid w:val="002F3AE2"/>
    <w:rsid w:val="002F3F5D"/>
    <w:rsid w:val="002F7032"/>
    <w:rsid w:val="002F7275"/>
    <w:rsid w:val="00300BB6"/>
    <w:rsid w:val="00301A14"/>
    <w:rsid w:val="00301B85"/>
    <w:rsid w:val="00303335"/>
    <w:rsid w:val="0030429B"/>
    <w:rsid w:val="003059E4"/>
    <w:rsid w:val="00306049"/>
    <w:rsid w:val="00306F92"/>
    <w:rsid w:val="00307135"/>
    <w:rsid w:val="00310002"/>
    <w:rsid w:val="00311BAA"/>
    <w:rsid w:val="00312858"/>
    <w:rsid w:val="00312C4F"/>
    <w:rsid w:val="003152F8"/>
    <w:rsid w:val="00315ABF"/>
    <w:rsid w:val="00315DA3"/>
    <w:rsid w:val="00321B3C"/>
    <w:rsid w:val="00321BD7"/>
    <w:rsid w:val="00321D61"/>
    <w:rsid w:val="003226EE"/>
    <w:rsid w:val="0032420E"/>
    <w:rsid w:val="003244F8"/>
    <w:rsid w:val="0032623D"/>
    <w:rsid w:val="003272DB"/>
    <w:rsid w:val="00332BEC"/>
    <w:rsid w:val="00333573"/>
    <w:rsid w:val="00333B7D"/>
    <w:rsid w:val="0033452E"/>
    <w:rsid w:val="003345DB"/>
    <w:rsid w:val="00336925"/>
    <w:rsid w:val="003431E7"/>
    <w:rsid w:val="00343F94"/>
    <w:rsid w:val="00344A82"/>
    <w:rsid w:val="00353979"/>
    <w:rsid w:val="00355644"/>
    <w:rsid w:val="00356742"/>
    <w:rsid w:val="003570CA"/>
    <w:rsid w:val="00360845"/>
    <w:rsid w:val="00360EB1"/>
    <w:rsid w:val="00362B50"/>
    <w:rsid w:val="003630BD"/>
    <w:rsid w:val="003631F3"/>
    <w:rsid w:val="00363691"/>
    <w:rsid w:val="003643CB"/>
    <w:rsid w:val="00364823"/>
    <w:rsid w:val="0036559D"/>
    <w:rsid w:val="00365BF6"/>
    <w:rsid w:val="00366E33"/>
    <w:rsid w:val="0036742E"/>
    <w:rsid w:val="00370375"/>
    <w:rsid w:val="0037040C"/>
    <w:rsid w:val="0037066E"/>
    <w:rsid w:val="00371B5F"/>
    <w:rsid w:val="00372A9F"/>
    <w:rsid w:val="0037322A"/>
    <w:rsid w:val="00373264"/>
    <w:rsid w:val="00374B33"/>
    <w:rsid w:val="003753E8"/>
    <w:rsid w:val="0037571C"/>
    <w:rsid w:val="00380744"/>
    <w:rsid w:val="00381789"/>
    <w:rsid w:val="003819E6"/>
    <w:rsid w:val="00383C45"/>
    <w:rsid w:val="00384725"/>
    <w:rsid w:val="003847D2"/>
    <w:rsid w:val="00386471"/>
    <w:rsid w:val="0039018F"/>
    <w:rsid w:val="00391015"/>
    <w:rsid w:val="003914A9"/>
    <w:rsid w:val="00392838"/>
    <w:rsid w:val="0039328C"/>
    <w:rsid w:val="003971BB"/>
    <w:rsid w:val="003973EB"/>
    <w:rsid w:val="003976BA"/>
    <w:rsid w:val="00397E8A"/>
    <w:rsid w:val="003A02D5"/>
    <w:rsid w:val="003A1977"/>
    <w:rsid w:val="003A1BE2"/>
    <w:rsid w:val="003A1EB8"/>
    <w:rsid w:val="003A205B"/>
    <w:rsid w:val="003A3E91"/>
    <w:rsid w:val="003A4410"/>
    <w:rsid w:val="003A4869"/>
    <w:rsid w:val="003A51A8"/>
    <w:rsid w:val="003A5425"/>
    <w:rsid w:val="003A579B"/>
    <w:rsid w:val="003A6F07"/>
    <w:rsid w:val="003A747E"/>
    <w:rsid w:val="003B28D2"/>
    <w:rsid w:val="003B332C"/>
    <w:rsid w:val="003B3C15"/>
    <w:rsid w:val="003B4075"/>
    <w:rsid w:val="003B42CD"/>
    <w:rsid w:val="003B5E33"/>
    <w:rsid w:val="003B7991"/>
    <w:rsid w:val="003C0965"/>
    <w:rsid w:val="003C0FE3"/>
    <w:rsid w:val="003C1040"/>
    <w:rsid w:val="003C2B87"/>
    <w:rsid w:val="003C2B98"/>
    <w:rsid w:val="003C312B"/>
    <w:rsid w:val="003C32F0"/>
    <w:rsid w:val="003C455A"/>
    <w:rsid w:val="003C4F0A"/>
    <w:rsid w:val="003C5270"/>
    <w:rsid w:val="003C53A4"/>
    <w:rsid w:val="003C57D5"/>
    <w:rsid w:val="003D0833"/>
    <w:rsid w:val="003D1162"/>
    <w:rsid w:val="003D1B0E"/>
    <w:rsid w:val="003D1E10"/>
    <w:rsid w:val="003D1E89"/>
    <w:rsid w:val="003D2BEE"/>
    <w:rsid w:val="003D4267"/>
    <w:rsid w:val="003D42FA"/>
    <w:rsid w:val="003D5391"/>
    <w:rsid w:val="003D6B8E"/>
    <w:rsid w:val="003E0103"/>
    <w:rsid w:val="003E076D"/>
    <w:rsid w:val="003E26B7"/>
    <w:rsid w:val="003E2FF5"/>
    <w:rsid w:val="003E772C"/>
    <w:rsid w:val="003F0521"/>
    <w:rsid w:val="003F08F5"/>
    <w:rsid w:val="003F09E5"/>
    <w:rsid w:val="003F1BF8"/>
    <w:rsid w:val="003F2191"/>
    <w:rsid w:val="003F2711"/>
    <w:rsid w:val="003F271B"/>
    <w:rsid w:val="003F29EF"/>
    <w:rsid w:val="003F2D01"/>
    <w:rsid w:val="003F37DF"/>
    <w:rsid w:val="003F5BAB"/>
    <w:rsid w:val="003F5EEA"/>
    <w:rsid w:val="003F62FC"/>
    <w:rsid w:val="003F761A"/>
    <w:rsid w:val="003F7B3F"/>
    <w:rsid w:val="0040157D"/>
    <w:rsid w:val="00402F80"/>
    <w:rsid w:val="0040305B"/>
    <w:rsid w:val="00404E30"/>
    <w:rsid w:val="004054C2"/>
    <w:rsid w:val="004059E2"/>
    <w:rsid w:val="00405D62"/>
    <w:rsid w:val="004063F7"/>
    <w:rsid w:val="00406471"/>
    <w:rsid w:val="00411DFA"/>
    <w:rsid w:val="00412F43"/>
    <w:rsid w:val="00413860"/>
    <w:rsid w:val="00413889"/>
    <w:rsid w:val="00413E83"/>
    <w:rsid w:val="00414248"/>
    <w:rsid w:val="0041589C"/>
    <w:rsid w:val="004172AF"/>
    <w:rsid w:val="0042193E"/>
    <w:rsid w:val="004226C1"/>
    <w:rsid w:val="004229DA"/>
    <w:rsid w:val="00422D3E"/>
    <w:rsid w:val="00422F10"/>
    <w:rsid w:val="00422F16"/>
    <w:rsid w:val="004247F6"/>
    <w:rsid w:val="00425A7A"/>
    <w:rsid w:val="004268A4"/>
    <w:rsid w:val="004313D2"/>
    <w:rsid w:val="0043511B"/>
    <w:rsid w:val="0043576B"/>
    <w:rsid w:val="00436540"/>
    <w:rsid w:val="004372F9"/>
    <w:rsid w:val="0043746C"/>
    <w:rsid w:val="004379F0"/>
    <w:rsid w:val="00437D72"/>
    <w:rsid w:val="004412BE"/>
    <w:rsid w:val="00444F0C"/>
    <w:rsid w:val="00446155"/>
    <w:rsid w:val="004465A5"/>
    <w:rsid w:val="00446B27"/>
    <w:rsid w:val="0044765B"/>
    <w:rsid w:val="004518D6"/>
    <w:rsid w:val="00453B22"/>
    <w:rsid w:val="004543DF"/>
    <w:rsid w:val="00454F98"/>
    <w:rsid w:val="00454FC5"/>
    <w:rsid w:val="004571AD"/>
    <w:rsid w:val="0045763F"/>
    <w:rsid w:val="004578C6"/>
    <w:rsid w:val="00457FD0"/>
    <w:rsid w:val="00460BB5"/>
    <w:rsid w:val="00462C91"/>
    <w:rsid w:val="00463B15"/>
    <w:rsid w:val="00464274"/>
    <w:rsid w:val="00466AB5"/>
    <w:rsid w:val="004706D6"/>
    <w:rsid w:val="00470A4E"/>
    <w:rsid w:val="004710F5"/>
    <w:rsid w:val="00472B8D"/>
    <w:rsid w:val="00473214"/>
    <w:rsid w:val="0047587B"/>
    <w:rsid w:val="00476B8D"/>
    <w:rsid w:val="00476DFD"/>
    <w:rsid w:val="0047735F"/>
    <w:rsid w:val="00482995"/>
    <w:rsid w:val="00485D7B"/>
    <w:rsid w:val="00487620"/>
    <w:rsid w:val="004902D1"/>
    <w:rsid w:val="00490357"/>
    <w:rsid w:val="004927F7"/>
    <w:rsid w:val="0049308F"/>
    <w:rsid w:val="00493246"/>
    <w:rsid w:val="004932E5"/>
    <w:rsid w:val="00493D1D"/>
    <w:rsid w:val="00493F9D"/>
    <w:rsid w:val="004949CC"/>
    <w:rsid w:val="00495310"/>
    <w:rsid w:val="00495AA9"/>
    <w:rsid w:val="00496CDE"/>
    <w:rsid w:val="00497320"/>
    <w:rsid w:val="00497AAB"/>
    <w:rsid w:val="004A0966"/>
    <w:rsid w:val="004A3589"/>
    <w:rsid w:val="004A39D1"/>
    <w:rsid w:val="004A4ED4"/>
    <w:rsid w:val="004A523E"/>
    <w:rsid w:val="004A6200"/>
    <w:rsid w:val="004A634E"/>
    <w:rsid w:val="004A647C"/>
    <w:rsid w:val="004A778D"/>
    <w:rsid w:val="004B1265"/>
    <w:rsid w:val="004B154C"/>
    <w:rsid w:val="004B33FF"/>
    <w:rsid w:val="004B3DBD"/>
    <w:rsid w:val="004B4CF2"/>
    <w:rsid w:val="004B613D"/>
    <w:rsid w:val="004B67E7"/>
    <w:rsid w:val="004B721E"/>
    <w:rsid w:val="004B7F49"/>
    <w:rsid w:val="004C0E9A"/>
    <w:rsid w:val="004C1FD3"/>
    <w:rsid w:val="004C33E8"/>
    <w:rsid w:val="004C387C"/>
    <w:rsid w:val="004C59A5"/>
    <w:rsid w:val="004C7C30"/>
    <w:rsid w:val="004D029D"/>
    <w:rsid w:val="004D066F"/>
    <w:rsid w:val="004D0731"/>
    <w:rsid w:val="004D0E2E"/>
    <w:rsid w:val="004D10E3"/>
    <w:rsid w:val="004D2F15"/>
    <w:rsid w:val="004D4488"/>
    <w:rsid w:val="004D50FB"/>
    <w:rsid w:val="004D5C06"/>
    <w:rsid w:val="004D611D"/>
    <w:rsid w:val="004D795A"/>
    <w:rsid w:val="004D7A51"/>
    <w:rsid w:val="004E0003"/>
    <w:rsid w:val="004E037D"/>
    <w:rsid w:val="004E184A"/>
    <w:rsid w:val="004E18E2"/>
    <w:rsid w:val="004E1D27"/>
    <w:rsid w:val="004E2600"/>
    <w:rsid w:val="004E29F7"/>
    <w:rsid w:val="004E3290"/>
    <w:rsid w:val="004E47A3"/>
    <w:rsid w:val="004E665A"/>
    <w:rsid w:val="004E6E40"/>
    <w:rsid w:val="004E6F86"/>
    <w:rsid w:val="004E7D68"/>
    <w:rsid w:val="004F0078"/>
    <w:rsid w:val="004F09AB"/>
    <w:rsid w:val="004F17D0"/>
    <w:rsid w:val="004F1952"/>
    <w:rsid w:val="004F1C7F"/>
    <w:rsid w:val="004F2195"/>
    <w:rsid w:val="004F35D2"/>
    <w:rsid w:val="004F4955"/>
    <w:rsid w:val="004F5DAB"/>
    <w:rsid w:val="004F640A"/>
    <w:rsid w:val="004F6CAF"/>
    <w:rsid w:val="004F7806"/>
    <w:rsid w:val="004F7A09"/>
    <w:rsid w:val="005003F2"/>
    <w:rsid w:val="005005AA"/>
    <w:rsid w:val="005009D3"/>
    <w:rsid w:val="00500F3D"/>
    <w:rsid w:val="00501679"/>
    <w:rsid w:val="00501E04"/>
    <w:rsid w:val="00502841"/>
    <w:rsid w:val="00502DD8"/>
    <w:rsid w:val="00503190"/>
    <w:rsid w:val="005041D2"/>
    <w:rsid w:val="005056C8"/>
    <w:rsid w:val="00505D44"/>
    <w:rsid w:val="0050629D"/>
    <w:rsid w:val="00506C43"/>
    <w:rsid w:val="0051141C"/>
    <w:rsid w:val="00512399"/>
    <w:rsid w:val="005124D7"/>
    <w:rsid w:val="005139FA"/>
    <w:rsid w:val="00513C22"/>
    <w:rsid w:val="005141F6"/>
    <w:rsid w:val="005146C1"/>
    <w:rsid w:val="00515A4E"/>
    <w:rsid w:val="0051619D"/>
    <w:rsid w:val="00516A5F"/>
    <w:rsid w:val="00520E06"/>
    <w:rsid w:val="00521F53"/>
    <w:rsid w:val="00521F67"/>
    <w:rsid w:val="00524B6B"/>
    <w:rsid w:val="00525A63"/>
    <w:rsid w:val="0052613C"/>
    <w:rsid w:val="00526CA3"/>
    <w:rsid w:val="00527A65"/>
    <w:rsid w:val="0053147D"/>
    <w:rsid w:val="005318B2"/>
    <w:rsid w:val="00531A12"/>
    <w:rsid w:val="0053396C"/>
    <w:rsid w:val="00534623"/>
    <w:rsid w:val="005347BB"/>
    <w:rsid w:val="00534D82"/>
    <w:rsid w:val="00535466"/>
    <w:rsid w:val="005369DC"/>
    <w:rsid w:val="0053764F"/>
    <w:rsid w:val="00540093"/>
    <w:rsid w:val="0054149F"/>
    <w:rsid w:val="00541CD0"/>
    <w:rsid w:val="00543470"/>
    <w:rsid w:val="00544053"/>
    <w:rsid w:val="0054467A"/>
    <w:rsid w:val="00544DD3"/>
    <w:rsid w:val="00545355"/>
    <w:rsid w:val="00545C77"/>
    <w:rsid w:val="0054606E"/>
    <w:rsid w:val="005468FC"/>
    <w:rsid w:val="00547124"/>
    <w:rsid w:val="0054744C"/>
    <w:rsid w:val="00547E7C"/>
    <w:rsid w:val="00550B92"/>
    <w:rsid w:val="00550C8B"/>
    <w:rsid w:val="0055113A"/>
    <w:rsid w:val="00551BFE"/>
    <w:rsid w:val="00551C6B"/>
    <w:rsid w:val="00552095"/>
    <w:rsid w:val="0055493C"/>
    <w:rsid w:val="00554CC6"/>
    <w:rsid w:val="00556266"/>
    <w:rsid w:val="00560558"/>
    <w:rsid w:val="005606DC"/>
    <w:rsid w:val="00560814"/>
    <w:rsid w:val="00560C2E"/>
    <w:rsid w:val="005610C3"/>
    <w:rsid w:val="00561744"/>
    <w:rsid w:val="00561D65"/>
    <w:rsid w:val="00565CE0"/>
    <w:rsid w:val="00565F04"/>
    <w:rsid w:val="0056600C"/>
    <w:rsid w:val="00566372"/>
    <w:rsid w:val="00566C91"/>
    <w:rsid w:val="005708BF"/>
    <w:rsid w:val="00571356"/>
    <w:rsid w:val="00571384"/>
    <w:rsid w:val="00571C89"/>
    <w:rsid w:val="0057307E"/>
    <w:rsid w:val="00573843"/>
    <w:rsid w:val="00573D4A"/>
    <w:rsid w:val="00574361"/>
    <w:rsid w:val="00575817"/>
    <w:rsid w:val="00575A03"/>
    <w:rsid w:val="00576257"/>
    <w:rsid w:val="005768F7"/>
    <w:rsid w:val="00580438"/>
    <w:rsid w:val="005815B1"/>
    <w:rsid w:val="0058167C"/>
    <w:rsid w:val="00582495"/>
    <w:rsid w:val="00583659"/>
    <w:rsid w:val="005844AB"/>
    <w:rsid w:val="00584DE3"/>
    <w:rsid w:val="00585129"/>
    <w:rsid w:val="00585B5A"/>
    <w:rsid w:val="0058632D"/>
    <w:rsid w:val="00586B08"/>
    <w:rsid w:val="00587349"/>
    <w:rsid w:val="00587797"/>
    <w:rsid w:val="0059073C"/>
    <w:rsid w:val="005910D7"/>
    <w:rsid w:val="00591277"/>
    <w:rsid w:val="00591545"/>
    <w:rsid w:val="00592A03"/>
    <w:rsid w:val="005937D8"/>
    <w:rsid w:val="005942B0"/>
    <w:rsid w:val="005952E8"/>
    <w:rsid w:val="00595ED9"/>
    <w:rsid w:val="00596A5B"/>
    <w:rsid w:val="00596DFD"/>
    <w:rsid w:val="00597CB0"/>
    <w:rsid w:val="005A152A"/>
    <w:rsid w:val="005A1DD8"/>
    <w:rsid w:val="005A1E0E"/>
    <w:rsid w:val="005A241E"/>
    <w:rsid w:val="005A2D61"/>
    <w:rsid w:val="005A2E3C"/>
    <w:rsid w:val="005A3238"/>
    <w:rsid w:val="005A3FF4"/>
    <w:rsid w:val="005A53A6"/>
    <w:rsid w:val="005A5745"/>
    <w:rsid w:val="005A78A2"/>
    <w:rsid w:val="005B16A5"/>
    <w:rsid w:val="005B1DFF"/>
    <w:rsid w:val="005B59E4"/>
    <w:rsid w:val="005C0351"/>
    <w:rsid w:val="005C038A"/>
    <w:rsid w:val="005C16B1"/>
    <w:rsid w:val="005C1DCD"/>
    <w:rsid w:val="005C4631"/>
    <w:rsid w:val="005C4C45"/>
    <w:rsid w:val="005D1B12"/>
    <w:rsid w:val="005D1F98"/>
    <w:rsid w:val="005D226F"/>
    <w:rsid w:val="005D2D7F"/>
    <w:rsid w:val="005D67A4"/>
    <w:rsid w:val="005D6E00"/>
    <w:rsid w:val="005D7E8A"/>
    <w:rsid w:val="005E1542"/>
    <w:rsid w:val="005E1F17"/>
    <w:rsid w:val="005E1F51"/>
    <w:rsid w:val="005E4E89"/>
    <w:rsid w:val="005E4F9F"/>
    <w:rsid w:val="005F0B53"/>
    <w:rsid w:val="005F1383"/>
    <w:rsid w:val="005F2971"/>
    <w:rsid w:val="005F2EB4"/>
    <w:rsid w:val="005F3A69"/>
    <w:rsid w:val="005F40DA"/>
    <w:rsid w:val="005F53F4"/>
    <w:rsid w:val="005F5D8E"/>
    <w:rsid w:val="00600C6A"/>
    <w:rsid w:val="006021B2"/>
    <w:rsid w:val="00602B71"/>
    <w:rsid w:val="00603094"/>
    <w:rsid w:val="00604144"/>
    <w:rsid w:val="006052DE"/>
    <w:rsid w:val="0060550F"/>
    <w:rsid w:val="006058FC"/>
    <w:rsid w:val="00607D71"/>
    <w:rsid w:val="0061011A"/>
    <w:rsid w:val="0061065B"/>
    <w:rsid w:val="00611E0A"/>
    <w:rsid w:val="00612A27"/>
    <w:rsid w:val="00613053"/>
    <w:rsid w:val="006151B0"/>
    <w:rsid w:val="006162F2"/>
    <w:rsid w:val="00616713"/>
    <w:rsid w:val="00617563"/>
    <w:rsid w:val="00617E1C"/>
    <w:rsid w:val="0062159E"/>
    <w:rsid w:val="006237C6"/>
    <w:rsid w:val="00623FFC"/>
    <w:rsid w:val="00624137"/>
    <w:rsid w:val="00624B80"/>
    <w:rsid w:val="00625522"/>
    <w:rsid w:val="0063063A"/>
    <w:rsid w:val="006307AB"/>
    <w:rsid w:val="0063363B"/>
    <w:rsid w:val="00633C99"/>
    <w:rsid w:val="00635F42"/>
    <w:rsid w:val="00636899"/>
    <w:rsid w:val="006376A5"/>
    <w:rsid w:val="00637C3F"/>
    <w:rsid w:val="00637C50"/>
    <w:rsid w:val="0064091E"/>
    <w:rsid w:val="0064132F"/>
    <w:rsid w:val="006445A2"/>
    <w:rsid w:val="0064467B"/>
    <w:rsid w:val="00645409"/>
    <w:rsid w:val="00645A2E"/>
    <w:rsid w:val="00645FC9"/>
    <w:rsid w:val="006462F3"/>
    <w:rsid w:val="00650239"/>
    <w:rsid w:val="006518E4"/>
    <w:rsid w:val="006537E3"/>
    <w:rsid w:val="00653BBF"/>
    <w:rsid w:val="00655081"/>
    <w:rsid w:val="0065579E"/>
    <w:rsid w:val="006558F8"/>
    <w:rsid w:val="00655FDA"/>
    <w:rsid w:val="00656042"/>
    <w:rsid w:val="006562AD"/>
    <w:rsid w:val="00656D8D"/>
    <w:rsid w:val="00660146"/>
    <w:rsid w:val="00660BFF"/>
    <w:rsid w:val="00661068"/>
    <w:rsid w:val="00663368"/>
    <w:rsid w:val="00665E40"/>
    <w:rsid w:val="00666680"/>
    <w:rsid w:val="00667CFB"/>
    <w:rsid w:val="006708B0"/>
    <w:rsid w:val="0067540B"/>
    <w:rsid w:val="006754AD"/>
    <w:rsid w:val="00675512"/>
    <w:rsid w:val="00676849"/>
    <w:rsid w:val="00677613"/>
    <w:rsid w:val="00677C5F"/>
    <w:rsid w:val="006806BC"/>
    <w:rsid w:val="00680C6C"/>
    <w:rsid w:val="0068222E"/>
    <w:rsid w:val="0068291C"/>
    <w:rsid w:val="0068333A"/>
    <w:rsid w:val="00685801"/>
    <w:rsid w:val="00685B9F"/>
    <w:rsid w:val="00686B1C"/>
    <w:rsid w:val="00687405"/>
    <w:rsid w:val="00690863"/>
    <w:rsid w:val="0069099C"/>
    <w:rsid w:val="00690A83"/>
    <w:rsid w:val="00690F13"/>
    <w:rsid w:val="00692928"/>
    <w:rsid w:val="006938F8"/>
    <w:rsid w:val="00694B0A"/>
    <w:rsid w:val="00696D6B"/>
    <w:rsid w:val="006A0251"/>
    <w:rsid w:val="006A1623"/>
    <w:rsid w:val="006A3718"/>
    <w:rsid w:val="006A397A"/>
    <w:rsid w:val="006A48D2"/>
    <w:rsid w:val="006A496B"/>
    <w:rsid w:val="006A7335"/>
    <w:rsid w:val="006B0ED2"/>
    <w:rsid w:val="006B1DB9"/>
    <w:rsid w:val="006B26EF"/>
    <w:rsid w:val="006B2BFE"/>
    <w:rsid w:val="006B348F"/>
    <w:rsid w:val="006B4B99"/>
    <w:rsid w:val="006B4FBF"/>
    <w:rsid w:val="006B5957"/>
    <w:rsid w:val="006B6C7B"/>
    <w:rsid w:val="006B708D"/>
    <w:rsid w:val="006B7E6A"/>
    <w:rsid w:val="006C039F"/>
    <w:rsid w:val="006C0DCB"/>
    <w:rsid w:val="006C4979"/>
    <w:rsid w:val="006C5021"/>
    <w:rsid w:val="006C5F08"/>
    <w:rsid w:val="006C628D"/>
    <w:rsid w:val="006C6544"/>
    <w:rsid w:val="006C6D75"/>
    <w:rsid w:val="006D0A00"/>
    <w:rsid w:val="006D2696"/>
    <w:rsid w:val="006D4977"/>
    <w:rsid w:val="006D57A0"/>
    <w:rsid w:val="006D58A4"/>
    <w:rsid w:val="006D6A78"/>
    <w:rsid w:val="006D73BE"/>
    <w:rsid w:val="006E0F0A"/>
    <w:rsid w:val="006E1EA1"/>
    <w:rsid w:val="006E677D"/>
    <w:rsid w:val="006E6C0F"/>
    <w:rsid w:val="006E6FBB"/>
    <w:rsid w:val="006E716D"/>
    <w:rsid w:val="006E7547"/>
    <w:rsid w:val="006F0D5A"/>
    <w:rsid w:val="006F1B04"/>
    <w:rsid w:val="006F2497"/>
    <w:rsid w:val="006F2F72"/>
    <w:rsid w:val="006F446C"/>
    <w:rsid w:val="006F6953"/>
    <w:rsid w:val="006F750D"/>
    <w:rsid w:val="006F79A9"/>
    <w:rsid w:val="0070060D"/>
    <w:rsid w:val="007006E2"/>
    <w:rsid w:val="00703727"/>
    <w:rsid w:val="00704D81"/>
    <w:rsid w:val="007064E4"/>
    <w:rsid w:val="007069DB"/>
    <w:rsid w:val="0071020E"/>
    <w:rsid w:val="0071043F"/>
    <w:rsid w:val="007107AC"/>
    <w:rsid w:val="007117C4"/>
    <w:rsid w:val="0071323E"/>
    <w:rsid w:val="00714712"/>
    <w:rsid w:val="007162E3"/>
    <w:rsid w:val="0071742A"/>
    <w:rsid w:val="00717F28"/>
    <w:rsid w:val="0072239E"/>
    <w:rsid w:val="00724240"/>
    <w:rsid w:val="00727565"/>
    <w:rsid w:val="00727A97"/>
    <w:rsid w:val="00731589"/>
    <w:rsid w:val="00731904"/>
    <w:rsid w:val="00731A71"/>
    <w:rsid w:val="00732F28"/>
    <w:rsid w:val="007334E5"/>
    <w:rsid w:val="007353F9"/>
    <w:rsid w:val="00735AAA"/>
    <w:rsid w:val="00736EDC"/>
    <w:rsid w:val="00737CB6"/>
    <w:rsid w:val="00740041"/>
    <w:rsid w:val="007422D5"/>
    <w:rsid w:val="00743741"/>
    <w:rsid w:val="00744BA1"/>
    <w:rsid w:val="007450B9"/>
    <w:rsid w:val="007452C9"/>
    <w:rsid w:val="00745C88"/>
    <w:rsid w:val="007470B7"/>
    <w:rsid w:val="00747C47"/>
    <w:rsid w:val="00747E33"/>
    <w:rsid w:val="00747F3F"/>
    <w:rsid w:val="007519EA"/>
    <w:rsid w:val="00752ED8"/>
    <w:rsid w:val="0076177D"/>
    <w:rsid w:val="00761C3D"/>
    <w:rsid w:val="0076233C"/>
    <w:rsid w:val="00762952"/>
    <w:rsid w:val="00762C06"/>
    <w:rsid w:val="007642C0"/>
    <w:rsid w:val="00764C28"/>
    <w:rsid w:val="007650E0"/>
    <w:rsid w:val="007653E3"/>
    <w:rsid w:val="007658D2"/>
    <w:rsid w:val="00766186"/>
    <w:rsid w:val="007669ED"/>
    <w:rsid w:val="00767CD8"/>
    <w:rsid w:val="00770A99"/>
    <w:rsid w:val="0077199A"/>
    <w:rsid w:val="00771CA4"/>
    <w:rsid w:val="00772806"/>
    <w:rsid w:val="007728D6"/>
    <w:rsid w:val="00772E21"/>
    <w:rsid w:val="007744C9"/>
    <w:rsid w:val="00776723"/>
    <w:rsid w:val="00776847"/>
    <w:rsid w:val="00776CF7"/>
    <w:rsid w:val="007777F3"/>
    <w:rsid w:val="0078032C"/>
    <w:rsid w:val="00782373"/>
    <w:rsid w:val="00782696"/>
    <w:rsid w:val="00782840"/>
    <w:rsid w:val="00783D7F"/>
    <w:rsid w:val="00785FED"/>
    <w:rsid w:val="00786A13"/>
    <w:rsid w:val="00786B42"/>
    <w:rsid w:val="007873A1"/>
    <w:rsid w:val="0078751D"/>
    <w:rsid w:val="007907A5"/>
    <w:rsid w:val="007915E6"/>
    <w:rsid w:val="00792B22"/>
    <w:rsid w:val="00793AEB"/>
    <w:rsid w:val="00794A0C"/>
    <w:rsid w:val="00794E24"/>
    <w:rsid w:val="00796163"/>
    <w:rsid w:val="007963AC"/>
    <w:rsid w:val="00796451"/>
    <w:rsid w:val="00796F9C"/>
    <w:rsid w:val="007A1196"/>
    <w:rsid w:val="007A2182"/>
    <w:rsid w:val="007A3633"/>
    <w:rsid w:val="007A36A1"/>
    <w:rsid w:val="007A429E"/>
    <w:rsid w:val="007A4D40"/>
    <w:rsid w:val="007A50F7"/>
    <w:rsid w:val="007A54D9"/>
    <w:rsid w:val="007A578E"/>
    <w:rsid w:val="007A5A86"/>
    <w:rsid w:val="007A6944"/>
    <w:rsid w:val="007A6BDE"/>
    <w:rsid w:val="007A6E44"/>
    <w:rsid w:val="007A7B78"/>
    <w:rsid w:val="007B07E9"/>
    <w:rsid w:val="007B2A62"/>
    <w:rsid w:val="007B3B6E"/>
    <w:rsid w:val="007B5EAC"/>
    <w:rsid w:val="007C08E3"/>
    <w:rsid w:val="007C0B06"/>
    <w:rsid w:val="007C1332"/>
    <w:rsid w:val="007C1CB1"/>
    <w:rsid w:val="007C1CF8"/>
    <w:rsid w:val="007C3C15"/>
    <w:rsid w:val="007C4423"/>
    <w:rsid w:val="007C548A"/>
    <w:rsid w:val="007C5ABE"/>
    <w:rsid w:val="007C7A08"/>
    <w:rsid w:val="007C7C51"/>
    <w:rsid w:val="007D06C4"/>
    <w:rsid w:val="007D0FA6"/>
    <w:rsid w:val="007D2F30"/>
    <w:rsid w:val="007D43C3"/>
    <w:rsid w:val="007D5584"/>
    <w:rsid w:val="007D66F6"/>
    <w:rsid w:val="007D72A0"/>
    <w:rsid w:val="007E0BAE"/>
    <w:rsid w:val="007E0C65"/>
    <w:rsid w:val="007E0C6F"/>
    <w:rsid w:val="007E1D69"/>
    <w:rsid w:val="007E2FC1"/>
    <w:rsid w:val="007E30FE"/>
    <w:rsid w:val="007E32C9"/>
    <w:rsid w:val="007E3487"/>
    <w:rsid w:val="007E49AB"/>
    <w:rsid w:val="007E757A"/>
    <w:rsid w:val="007F0162"/>
    <w:rsid w:val="007F07AC"/>
    <w:rsid w:val="007F1D95"/>
    <w:rsid w:val="007F1DEB"/>
    <w:rsid w:val="007F1FAB"/>
    <w:rsid w:val="007F2029"/>
    <w:rsid w:val="007F3136"/>
    <w:rsid w:val="007F358D"/>
    <w:rsid w:val="007F3C09"/>
    <w:rsid w:val="007F4C74"/>
    <w:rsid w:val="007F581F"/>
    <w:rsid w:val="007F782A"/>
    <w:rsid w:val="0080059D"/>
    <w:rsid w:val="00803455"/>
    <w:rsid w:val="00804DB6"/>
    <w:rsid w:val="008052D8"/>
    <w:rsid w:val="00805917"/>
    <w:rsid w:val="00806815"/>
    <w:rsid w:val="008068CB"/>
    <w:rsid w:val="00806A1E"/>
    <w:rsid w:val="00813B3A"/>
    <w:rsid w:val="0081588B"/>
    <w:rsid w:val="00815D92"/>
    <w:rsid w:val="008200D2"/>
    <w:rsid w:val="00820A2D"/>
    <w:rsid w:val="008226F5"/>
    <w:rsid w:val="00822AC6"/>
    <w:rsid w:val="00823E27"/>
    <w:rsid w:val="00825DE8"/>
    <w:rsid w:val="00827C1A"/>
    <w:rsid w:val="00831354"/>
    <w:rsid w:val="008322C4"/>
    <w:rsid w:val="00834BD1"/>
    <w:rsid w:val="0083536C"/>
    <w:rsid w:val="00835BF2"/>
    <w:rsid w:val="00836071"/>
    <w:rsid w:val="00837857"/>
    <w:rsid w:val="00840609"/>
    <w:rsid w:val="00840683"/>
    <w:rsid w:val="00841301"/>
    <w:rsid w:val="008427DC"/>
    <w:rsid w:val="008429FB"/>
    <w:rsid w:val="00844108"/>
    <w:rsid w:val="00845A4B"/>
    <w:rsid w:val="00845B33"/>
    <w:rsid w:val="00847D18"/>
    <w:rsid w:val="00850402"/>
    <w:rsid w:val="008523DD"/>
    <w:rsid w:val="00854DAD"/>
    <w:rsid w:val="0085669F"/>
    <w:rsid w:val="00860519"/>
    <w:rsid w:val="00861C67"/>
    <w:rsid w:val="00861DFD"/>
    <w:rsid w:val="008629C5"/>
    <w:rsid w:val="00862B86"/>
    <w:rsid w:val="0086333E"/>
    <w:rsid w:val="0086451F"/>
    <w:rsid w:val="00864CE3"/>
    <w:rsid w:val="0086500A"/>
    <w:rsid w:val="0086662D"/>
    <w:rsid w:val="008666DF"/>
    <w:rsid w:val="00866D66"/>
    <w:rsid w:val="0086759F"/>
    <w:rsid w:val="00870B47"/>
    <w:rsid w:val="00871C14"/>
    <w:rsid w:val="008729FC"/>
    <w:rsid w:val="00872FF9"/>
    <w:rsid w:val="00873C08"/>
    <w:rsid w:val="00876787"/>
    <w:rsid w:val="008768D1"/>
    <w:rsid w:val="00876989"/>
    <w:rsid w:val="00876E5F"/>
    <w:rsid w:val="00877331"/>
    <w:rsid w:val="00880C56"/>
    <w:rsid w:val="00881865"/>
    <w:rsid w:val="00881C65"/>
    <w:rsid w:val="00884B88"/>
    <w:rsid w:val="00884CD4"/>
    <w:rsid w:val="008852D0"/>
    <w:rsid w:val="0089040F"/>
    <w:rsid w:val="008905D2"/>
    <w:rsid w:val="00890619"/>
    <w:rsid w:val="0089062C"/>
    <w:rsid w:val="00891419"/>
    <w:rsid w:val="0089203C"/>
    <w:rsid w:val="0089339F"/>
    <w:rsid w:val="00893838"/>
    <w:rsid w:val="00893E7F"/>
    <w:rsid w:val="00894E75"/>
    <w:rsid w:val="008952C7"/>
    <w:rsid w:val="00895427"/>
    <w:rsid w:val="008963DE"/>
    <w:rsid w:val="008966E4"/>
    <w:rsid w:val="00896C75"/>
    <w:rsid w:val="008970F7"/>
    <w:rsid w:val="008972E3"/>
    <w:rsid w:val="0089738E"/>
    <w:rsid w:val="008973D1"/>
    <w:rsid w:val="008A0CC2"/>
    <w:rsid w:val="008A164B"/>
    <w:rsid w:val="008A2A1B"/>
    <w:rsid w:val="008A325F"/>
    <w:rsid w:val="008A56B6"/>
    <w:rsid w:val="008A6557"/>
    <w:rsid w:val="008A7C2D"/>
    <w:rsid w:val="008B1C60"/>
    <w:rsid w:val="008B2C1D"/>
    <w:rsid w:val="008B424C"/>
    <w:rsid w:val="008B6E0C"/>
    <w:rsid w:val="008B7ECC"/>
    <w:rsid w:val="008C05F6"/>
    <w:rsid w:val="008C12A4"/>
    <w:rsid w:val="008C1EEA"/>
    <w:rsid w:val="008C5750"/>
    <w:rsid w:val="008C5DB6"/>
    <w:rsid w:val="008C7BBE"/>
    <w:rsid w:val="008D16DC"/>
    <w:rsid w:val="008D1B0E"/>
    <w:rsid w:val="008D213D"/>
    <w:rsid w:val="008D3584"/>
    <w:rsid w:val="008D3B94"/>
    <w:rsid w:val="008D5623"/>
    <w:rsid w:val="008D680A"/>
    <w:rsid w:val="008D6CD7"/>
    <w:rsid w:val="008E1EA4"/>
    <w:rsid w:val="008E444C"/>
    <w:rsid w:val="008E748E"/>
    <w:rsid w:val="008E7A14"/>
    <w:rsid w:val="008F137E"/>
    <w:rsid w:val="008F24AC"/>
    <w:rsid w:val="008F2E63"/>
    <w:rsid w:val="008F35B4"/>
    <w:rsid w:val="008F3869"/>
    <w:rsid w:val="008F4C44"/>
    <w:rsid w:val="008F5E98"/>
    <w:rsid w:val="008F6E1C"/>
    <w:rsid w:val="00900DB7"/>
    <w:rsid w:val="00901713"/>
    <w:rsid w:val="009020B0"/>
    <w:rsid w:val="009036A5"/>
    <w:rsid w:val="00903B44"/>
    <w:rsid w:val="00903DBC"/>
    <w:rsid w:val="00904BF9"/>
    <w:rsid w:val="00905D01"/>
    <w:rsid w:val="009073F2"/>
    <w:rsid w:val="00907952"/>
    <w:rsid w:val="00912A83"/>
    <w:rsid w:val="00913438"/>
    <w:rsid w:val="00914A4A"/>
    <w:rsid w:val="00915618"/>
    <w:rsid w:val="00915E8E"/>
    <w:rsid w:val="009169F7"/>
    <w:rsid w:val="009175B1"/>
    <w:rsid w:val="00920143"/>
    <w:rsid w:val="009208F8"/>
    <w:rsid w:val="00921822"/>
    <w:rsid w:val="00921935"/>
    <w:rsid w:val="00921F86"/>
    <w:rsid w:val="009223DD"/>
    <w:rsid w:val="00922662"/>
    <w:rsid w:val="009227BB"/>
    <w:rsid w:val="00924541"/>
    <w:rsid w:val="00925203"/>
    <w:rsid w:val="009258E7"/>
    <w:rsid w:val="009270A4"/>
    <w:rsid w:val="00927D0A"/>
    <w:rsid w:val="00927F8B"/>
    <w:rsid w:val="009332D4"/>
    <w:rsid w:val="00933BB4"/>
    <w:rsid w:val="00933C77"/>
    <w:rsid w:val="0093414E"/>
    <w:rsid w:val="00934BDB"/>
    <w:rsid w:val="00934FC4"/>
    <w:rsid w:val="0093675F"/>
    <w:rsid w:val="00936B45"/>
    <w:rsid w:val="009371C1"/>
    <w:rsid w:val="00941EDF"/>
    <w:rsid w:val="0094495F"/>
    <w:rsid w:val="00944FDA"/>
    <w:rsid w:val="0094514C"/>
    <w:rsid w:val="00945B31"/>
    <w:rsid w:val="00946182"/>
    <w:rsid w:val="00951661"/>
    <w:rsid w:val="00951D0E"/>
    <w:rsid w:val="0095351A"/>
    <w:rsid w:val="0095469E"/>
    <w:rsid w:val="00954C3E"/>
    <w:rsid w:val="00955696"/>
    <w:rsid w:val="009568DF"/>
    <w:rsid w:val="00956F5A"/>
    <w:rsid w:val="00957055"/>
    <w:rsid w:val="0095733B"/>
    <w:rsid w:val="00962545"/>
    <w:rsid w:val="00962B5F"/>
    <w:rsid w:val="00962C59"/>
    <w:rsid w:val="0096364C"/>
    <w:rsid w:val="00964EC0"/>
    <w:rsid w:val="00964FFF"/>
    <w:rsid w:val="0096670D"/>
    <w:rsid w:val="00972CFD"/>
    <w:rsid w:val="0097620F"/>
    <w:rsid w:val="009766D6"/>
    <w:rsid w:val="00977BAA"/>
    <w:rsid w:val="00980C86"/>
    <w:rsid w:val="009811DD"/>
    <w:rsid w:val="009814DE"/>
    <w:rsid w:val="00983D35"/>
    <w:rsid w:val="00986858"/>
    <w:rsid w:val="00986D6D"/>
    <w:rsid w:val="009870E0"/>
    <w:rsid w:val="00987D32"/>
    <w:rsid w:val="0099017C"/>
    <w:rsid w:val="009910BC"/>
    <w:rsid w:val="00992FEA"/>
    <w:rsid w:val="00993412"/>
    <w:rsid w:val="0099381E"/>
    <w:rsid w:val="00993B85"/>
    <w:rsid w:val="00995BB8"/>
    <w:rsid w:val="00995E40"/>
    <w:rsid w:val="0099614E"/>
    <w:rsid w:val="00996CBB"/>
    <w:rsid w:val="009A013F"/>
    <w:rsid w:val="009A2109"/>
    <w:rsid w:val="009A21E0"/>
    <w:rsid w:val="009A2F15"/>
    <w:rsid w:val="009A3F6B"/>
    <w:rsid w:val="009A401B"/>
    <w:rsid w:val="009A58A9"/>
    <w:rsid w:val="009B0709"/>
    <w:rsid w:val="009B0D32"/>
    <w:rsid w:val="009B1589"/>
    <w:rsid w:val="009B2308"/>
    <w:rsid w:val="009B5176"/>
    <w:rsid w:val="009B6351"/>
    <w:rsid w:val="009B6A80"/>
    <w:rsid w:val="009B773B"/>
    <w:rsid w:val="009C1BC5"/>
    <w:rsid w:val="009C425B"/>
    <w:rsid w:val="009C6310"/>
    <w:rsid w:val="009C77FF"/>
    <w:rsid w:val="009C7F61"/>
    <w:rsid w:val="009D0E61"/>
    <w:rsid w:val="009D110D"/>
    <w:rsid w:val="009D189B"/>
    <w:rsid w:val="009D1F34"/>
    <w:rsid w:val="009D2CBA"/>
    <w:rsid w:val="009D3344"/>
    <w:rsid w:val="009D567E"/>
    <w:rsid w:val="009D6AE2"/>
    <w:rsid w:val="009D7DF8"/>
    <w:rsid w:val="009E041C"/>
    <w:rsid w:val="009E0679"/>
    <w:rsid w:val="009E1118"/>
    <w:rsid w:val="009E2464"/>
    <w:rsid w:val="009E2850"/>
    <w:rsid w:val="009E378A"/>
    <w:rsid w:val="009E6306"/>
    <w:rsid w:val="009E73A5"/>
    <w:rsid w:val="009E7626"/>
    <w:rsid w:val="009E7FFB"/>
    <w:rsid w:val="009F08D6"/>
    <w:rsid w:val="009F501E"/>
    <w:rsid w:val="009F5DA3"/>
    <w:rsid w:val="009F60B7"/>
    <w:rsid w:val="009F7C3A"/>
    <w:rsid w:val="00A01050"/>
    <w:rsid w:val="00A01766"/>
    <w:rsid w:val="00A0477A"/>
    <w:rsid w:val="00A05222"/>
    <w:rsid w:val="00A07392"/>
    <w:rsid w:val="00A07870"/>
    <w:rsid w:val="00A07A99"/>
    <w:rsid w:val="00A112FF"/>
    <w:rsid w:val="00A11793"/>
    <w:rsid w:val="00A11ED7"/>
    <w:rsid w:val="00A12CC4"/>
    <w:rsid w:val="00A13D62"/>
    <w:rsid w:val="00A14B56"/>
    <w:rsid w:val="00A15702"/>
    <w:rsid w:val="00A16417"/>
    <w:rsid w:val="00A175A3"/>
    <w:rsid w:val="00A17710"/>
    <w:rsid w:val="00A17CB7"/>
    <w:rsid w:val="00A17FAD"/>
    <w:rsid w:val="00A20ADA"/>
    <w:rsid w:val="00A21545"/>
    <w:rsid w:val="00A22318"/>
    <w:rsid w:val="00A22773"/>
    <w:rsid w:val="00A23051"/>
    <w:rsid w:val="00A2580E"/>
    <w:rsid w:val="00A26BE7"/>
    <w:rsid w:val="00A27872"/>
    <w:rsid w:val="00A30A08"/>
    <w:rsid w:val="00A30E9B"/>
    <w:rsid w:val="00A31D9C"/>
    <w:rsid w:val="00A323F2"/>
    <w:rsid w:val="00A3489A"/>
    <w:rsid w:val="00A34ED7"/>
    <w:rsid w:val="00A36851"/>
    <w:rsid w:val="00A36BE0"/>
    <w:rsid w:val="00A4149E"/>
    <w:rsid w:val="00A41E4B"/>
    <w:rsid w:val="00A426C2"/>
    <w:rsid w:val="00A43456"/>
    <w:rsid w:val="00A43B81"/>
    <w:rsid w:val="00A4581C"/>
    <w:rsid w:val="00A45934"/>
    <w:rsid w:val="00A46014"/>
    <w:rsid w:val="00A4691E"/>
    <w:rsid w:val="00A50641"/>
    <w:rsid w:val="00A50DE2"/>
    <w:rsid w:val="00A50E43"/>
    <w:rsid w:val="00A51AFB"/>
    <w:rsid w:val="00A52562"/>
    <w:rsid w:val="00A53362"/>
    <w:rsid w:val="00A5368F"/>
    <w:rsid w:val="00A5589C"/>
    <w:rsid w:val="00A5598A"/>
    <w:rsid w:val="00A56A0F"/>
    <w:rsid w:val="00A56AE9"/>
    <w:rsid w:val="00A6025B"/>
    <w:rsid w:val="00A602DB"/>
    <w:rsid w:val="00A61A9C"/>
    <w:rsid w:val="00A62868"/>
    <w:rsid w:val="00A63C3D"/>
    <w:rsid w:val="00A63D18"/>
    <w:rsid w:val="00A640D9"/>
    <w:rsid w:val="00A64DC7"/>
    <w:rsid w:val="00A657F6"/>
    <w:rsid w:val="00A6590A"/>
    <w:rsid w:val="00A662B3"/>
    <w:rsid w:val="00A67152"/>
    <w:rsid w:val="00A72397"/>
    <w:rsid w:val="00A73929"/>
    <w:rsid w:val="00A744F9"/>
    <w:rsid w:val="00A75EC0"/>
    <w:rsid w:val="00A76584"/>
    <w:rsid w:val="00A76942"/>
    <w:rsid w:val="00A76AC0"/>
    <w:rsid w:val="00A76C77"/>
    <w:rsid w:val="00A775B8"/>
    <w:rsid w:val="00A80295"/>
    <w:rsid w:val="00A808FC"/>
    <w:rsid w:val="00A81A60"/>
    <w:rsid w:val="00A830DB"/>
    <w:rsid w:val="00A8331C"/>
    <w:rsid w:val="00A84F84"/>
    <w:rsid w:val="00A85151"/>
    <w:rsid w:val="00A85372"/>
    <w:rsid w:val="00A856A9"/>
    <w:rsid w:val="00A8582A"/>
    <w:rsid w:val="00A858BA"/>
    <w:rsid w:val="00A858D9"/>
    <w:rsid w:val="00A85BE6"/>
    <w:rsid w:val="00A85CE8"/>
    <w:rsid w:val="00A86213"/>
    <w:rsid w:val="00A87917"/>
    <w:rsid w:val="00A91E6A"/>
    <w:rsid w:val="00A9431F"/>
    <w:rsid w:val="00A95668"/>
    <w:rsid w:val="00A957BA"/>
    <w:rsid w:val="00A95DA8"/>
    <w:rsid w:val="00AA23FE"/>
    <w:rsid w:val="00AA27EA"/>
    <w:rsid w:val="00AA3C18"/>
    <w:rsid w:val="00AA4255"/>
    <w:rsid w:val="00AA61D3"/>
    <w:rsid w:val="00AA70D6"/>
    <w:rsid w:val="00AB041D"/>
    <w:rsid w:val="00AB167E"/>
    <w:rsid w:val="00AB1CCC"/>
    <w:rsid w:val="00AB2F4D"/>
    <w:rsid w:val="00AB31E6"/>
    <w:rsid w:val="00AB3589"/>
    <w:rsid w:val="00AB38D9"/>
    <w:rsid w:val="00AB3FDD"/>
    <w:rsid w:val="00AB5397"/>
    <w:rsid w:val="00AB5AB0"/>
    <w:rsid w:val="00AB7005"/>
    <w:rsid w:val="00AB7077"/>
    <w:rsid w:val="00AC3B5B"/>
    <w:rsid w:val="00AC44D3"/>
    <w:rsid w:val="00AC48E5"/>
    <w:rsid w:val="00AC4B24"/>
    <w:rsid w:val="00AC4CB2"/>
    <w:rsid w:val="00AC5196"/>
    <w:rsid w:val="00AC5B16"/>
    <w:rsid w:val="00AC626E"/>
    <w:rsid w:val="00AC6EBD"/>
    <w:rsid w:val="00AC6FA7"/>
    <w:rsid w:val="00AC7F7E"/>
    <w:rsid w:val="00AD0B53"/>
    <w:rsid w:val="00AD0CA6"/>
    <w:rsid w:val="00AD2B97"/>
    <w:rsid w:val="00AD2CBF"/>
    <w:rsid w:val="00AD4512"/>
    <w:rsid w:val="00AD7999"/>
    <w:rsid w:val="00AD7FE0"/>
    <w:rsid w:val="00AE02CC"/>
    <w:rsid w:val="00AE08CC"/>
    <w:rsid w:val="00AE0D34"/>
    <w:rsid w:val="00AE19E9"/>
    <w:rsid w:val="00AE536D"/>
    <w:rsid w:val="00AE6D8A"/>
    <w:rsid w:val="00AE7025"/>
    <w:rsid w:val="00AE7092"/>
    <w:rsid w:val="00AF1C45"/>
    <w:rsid w:val="00AF25B2"/>
    <w:rsid w:val="00AF2AE4"/>
    <w:rsid w:val="00AF3012"/>
    <w:rsid w:val="00AF3B78"/>
    <w:rsid w:val="00AF43DE"/>
    <w:rsid w:val="00AF595F"/>
    <w:rsid w:val="00AF5EF0"/>
    <w:rsid w:val="00AF6AFD"/>
    <w:rsid w:val="00AF6E05"/>
    <w:rsid w:val="00AF769E"/>
    <w:rsid w:val="00AF7A02"/>
    <w:rsid w:val="00AF7AFE"/>
    <w:rsid w:val="00AF7C79"/>
    <w:rsid w:val="00B00DB2"/>
    <w:rsid w:val="00B0224D"/>
    <w:rsid w:val="00B02837"/>
    <w:rsid w:val="00B04394"/>
    <w:rsid w:val="00B04641"/>
    <w:rsid w:val="00B04EBD"/>
    <w:rsid w:val="00B04F41"/>
    <w:rsid w:val="00B050AD"/>
    <w:rsid w:val="00B06C55"/>
    <w:rsid w:val="00B11206"/>
    <w:rsid w:val="00B11E5B"/>
    <w:rsid w:val="00B1269F"/>
    <w:rsid w:val="00B204BA"/>
    <w:rsid w:val="00B2119E"/>
    <w:rsid w:val="00B2143F"/>
    <w:rsid w:val="00B22301"/>
    <w:rsid w:val="00B22DC4"/>
    <w:rsid w:val="00B23BCA"/>
    <w:rsid w:val="00B24069"/>
    <w:rsid w:val="00B25820"/>
    <w:rsid w:val="00B263EC"/>
    <w:rsid w:val="00B3066F"/>
    <w:rsid w:val="00B32C2A"/>
    <w:rsid w:val="00B3316B"/>
    <w:rsid w:val="00B34FF1"/>
    <w:rsid w:val="00B35158"/>
    <w:rsid w:val="00B3595A"/>
    <w:rsid w:val="00B405D9"/>
    <w:rsid w:val="00B41C27"/>
    <w:rsid w:val="00B42E77"/>
    <w:rsid w:val="00B4338C"/>
    <w:rsid w:val="00B436E7"/>
    <w:rsid w:val="00B43D90"/>
    <w:rsid w:val="00B44EF8"/>
    <w:rsid w:val="00B46986"/>
    <w:rsid w:val="00B47C61"/>
    <w:rsid w:val="00B5223D"/>
    <w:rsid w:val="00B522A0"/>
    <w:rsid w:val="00B52A6D"/>
    <w:rsid w:val="00B52E02"/>
    <w:rsid w:val="00B53F82"/>
    <w:rsid w:val="00B541F7"/>
    <w:rsid w:val="00B57063"/>
    <w:rsid w:val="00B572B1"/>
    <w:rsid w:val="00B575AB"/>
    <w:rsid w:val="00B5781C"/>
    <w:rsid w:val="00B6029A"/>
    <w:rsid w:val="00B6111D"/>
    <w:rsid w:val="00B61A91"/>
    <w:rsid w:val="00B62037"/>
    <w:rsid w:val="00B62DF0"/>
    <w:rsid w:val="00B6332E"/>
    <w:rsid w:val="00B643BF"/>
    <w:rsid w:val="00B64A92"/>
    <w:rsid w:val="00B67E0F"/>
    <w:rsid w:val="00B67F26"/>
    <w:rsid w:val="00B70614"/>
    <w:rsid w:val="00B70A35"/>
    <w:rsid w:val="00B70B9C"/>
    <w:rsid w:val="00B71632"/>
    <w:rsid w:val="00B73B71"/>
    <w:rsid w:val="00B74F47"/>
    <w:rsid w:val="00B77318"/>
    <w:rsid w:val="00B801E5"/>
    <w:rsid w:val="00B80B7C"/>
    <w:rsid w:val="00B80BF1"/>
    <w:rsid w:val="00B81503"/>
    <w:rsid w:val="00B823BF"/>
    <w:rsid w:val="00B83B73"/>
    <w:rsid w:val="00B84222"/>
    <w:rsid w:val="00B84892"/>
    <w:rsid w:val="00B84CD8"/>
    <w:rsid w:val="00B85878"/>
    <w:rsid w:val="00B8703F"/>
    <w:rsid w:val="00B87F5E"/>
    <w:rsid w:val="00B90191"/>
    <w:rsid w:val="00B9077E"/>
    <w:rsid w:val="00B92557"/>
    <w:rsid w:val="00B92C5F"/>
    <w:rsid w:val="00B93678"/>
    <w:rsid w:val="00B94794"/>
    <w:rsid w:val="00B94931"/>
    <w:rsid w:val="00B950CA"/>
    <w:rsid w:val="00B97EC6"/>
    <w:rsid w:val="00BA041D"/>
    <w:rsid w:val="00BA0B35"/>
    <w:rsid w:val="00BA0EFB"/>
    <w:rsid w:val="00BA1F2F"/>
    <w:rsid w:val="00BA24C8"/>
    <w:rsid w:val="00BA306F"/>
    <w:rsid w:val="00BA3E41"/>
    <w:rsid w:val="00BA42D8"/>
    <w:rsid w:val="00BA6213"/>
    <w:rsid w:val="00BA6E29"/>
    <w:rsid w:val="00BA726C"/>
    <w:rsid w:val="00BB004A"/>
    <w:rsid w:val="00BB134C"/>
    <w:rsid w:val="00BB159E"/>
    <w:rsid w:val="00BB193A"/>
    <w:rsid w:val="00BB237A"/>
    <w:rsid w:val="00BB43E5"/>
    <w:rsid w:val="00BB55E7"/>
    <w:rsid w:val="00BB7329"/>
    <w:rsid w:val="00BC27A9"/>
    <w:rsid w:val="00BC467E"/>
    <w:rsid w:val="00BC493F"/>
    <w:rsid w:val="00BC4E1E"/>
    <w:rsid w:val="00BC6DA5"/>
    <w:rsid w:val="00BC791F"/>
    <w:rsid w:val="00BD04FF"/>
    <w:rsid w:val="00BD1235"/>
    <w:rsid w:val="00BD1F42"/>
    <w:rsid w:val="00BD2BE1"/>
    <w:rsid w:val="00BD3624"/>
    <w:rsid w:val="00BD3653"/>
    <w:rsid w:val="00BD3F1C"/>
    <w:rsid w:val="00BD5082"/>
    <w:rsid w:val="00BD7388"/>
    <w:rsid w:val="00BD73B8"/>
    <w:rsid w:val="00BD750C"/>
    <w:rsid w:val="00BE04E5"/>
    <w:rsid w:val="00BE092E"/>
    <w:rsid w:val="00BE13D9"/>
    <w:rsid w:val="00BE143C"/>
    <w:rsid w:val="00BE1F54"/>
    <w:rsid w:val="00BE2658"/>
    <w:rsid w:val="00BE2761"/>
    <w:rsid w:val="00BE2F3F"/>
    <w:rsid w:val="00BE49ED"/>
    <w:rsid w:val="00BE49FB"/>
    <w:rsid w:val="00BE4B86"/>
    <w:rsid w:val="00BE4BB0"/>
    <w:rsid w:val="00BE4FDF"/>
    <w:rsid w:val="00BE504C"/>
    <w:rsid w:val="00BE5360"/>
    <w:rsid w:val="00BE612D"/>
    <w:rsid w:val="00BF011D"/>
    <w:rsid w:val="00BF0966"/>
    <w:rsid w:val="00BF19D9"/>
    <w:rsid w:val="00BF1E99"/>
    <w:rsid w:val="00BF4F3B"/>
    <w:rsid w:val="00BF5925"/>
    <w:rsid w:val="00BF7715"/>
    <w:rsid w:val="00C00987"/>
    <w:rsid w:val="00C02060"/>
    <w:rsid w:val="00C048EB"/>
    <w:rsid w:val="00C0645C"/>
    <w:rsid w:val="00C1015D"/>
    <w:rsid w:val="00C111C3"/>
    <w:rsid w:val="00C114D6"/>
    <w:rsid w:val="00C14038"/>
    <w:rsid w:val="00C14A1B"/>
    <w:rsid w:val="00C155A7"/>
    <w:rsid w:val="00C15837"/>
    <w:rsid w:val="00C15CAD"/>
    <w:rsid w:val="00C16EB2"/>
    <w:rsid w:val="00C1746B"/>
    <w:rsid w:val="00C17B27"/>
    <w:rsid w:val="00C23261"/>
    <w:rsid w:val="00C24556"/>
    <w:rsid w:val="00C2472D"/>
    <w:rsid w:val="00C25053"/>
    <w:rsid w:val="00C25F70"/>
    <w:rsid w:val="00C27FF9"/>
    <w:rsid w:val="00C30869"/>
    <w:rsid w:val="00C32D1B"/>
    <w:rsid w:val="00C3316B"/>
    <w:rsid w:val="00C35C2D"/>
    <w:rsid w:val="00C35C86"/>
    <w:rsid w:val="00C35CB7"/>
    <w:rsid w:val="00C35E01"/>
    <w:rsid w:val="00C371F3"/>
    <w:rsid w:val="00C37A02"/>
    <w:rsid w:val="00C40EBF"/>
    <w:rsid w:val="00C42A85"/>
    <w:rsid w:val="00C42B51"/>
    <w:rsid w:val="00C42B85"/>
    <w:rsid w:val="00C43462"/>
    <w:rsid w:val="00C443AE"/>
    <w:rsid w:val="00C44B27"/>
    <w:rsid w:val="00C45044"/>
    <w:rsid w:val="00C45889"/>
    <w:rsid w:val="00C45B55"/>
    <w:rsid w:val="00C46307"/>
    <w:rsid w:val="00C46584"/>
    <w:rsid w:val="00C46608"/>
    <w:rsid w:val="00C47192"/>
    <w:rsid w:val="00C475B1"/>
    <w:rsid w:val="00C51422"/>
    <w:rsid w:val="00C51676"/>
    <w:rsid w:val="00C53467"/>
    <w:rsid w:val="00C53547"/>
    <w:rsid w:val="00C5385F"/>
    <w:rsid w:val="00C54E6D"/>
    <w:rsid w:val="00C552AE"/>
    <w:rsid w:val="00C564B8"/>
    <w:rsid w:val="00C60B8C"/>
    <w:rsid w:val="00C6182F"/>
    <w:rsid w:val="00C62D87"/>
    <w:rsid w:val="00C63C86"/>
    <w:rsid w:val="00C66BE7"/>
    <w:rsid w:val="00C66E14"/>
    <w:rsid w:val="00C67FB2"/>
    <w:rsid w:val="00C712F9"/>
    <w:rsid w:val="00C71C00"/>
    <w:rsid w:val="00C7400A"/>
    <w:rsid w:val="00C76584"/>
    <w:rsid w:val="00C765A8"/>
    <w:rsid w:val="00C76BE0"/>
    <w:rsid w:val="00C777A8"/>
    <w:rsid w:val="00C77C60"/>
    <w:rsid w:val="00C80B29"/>
    <w:rsid w:val="00C80DA5"/>
    <w:rsid w:val="00C83773"/>
    <w:rsid w:val="00C842E8"/>
    <w:rsid w:val="00C851B8"/>
    <w:rsid w:val="00C8708B"/>
    <w:rsid w:val="00C87889"/>
    <w:rsid w:val="00C901E5"/>
    <w:rsid w:val="00C9062F"/>
    <w:rsid w:val="00C90A3E"/>
    <w:rsid w:val="00C90E59"/>
    <w:rsid w:val="00C931C8"/>
    <w:rsid w:val="00C93DF1"/>
    <w:rsid w:val="00C9449B"/>
    <w:rsid w:val="00C95995"/>
    <w:rsid w:val="00C95A1D"/>
    <w:rsid w:val="00C95DB5"/>
    <w:rsid w:val="00C968C3"/>
    <w:rsid w:val="00C96B7D"/>
    <w:rsid w:val="00C96F00"/>
    <w:rsid w:val="00C973FC"/>
    <w:rsid w:val="00C976B2"/>
    <w:rsid w:val="00C97B2E"/>
    <w:rsid w:val="00C97D20"/>
    <w:rsid w:val="00CA1852"/>
    <w:rsid w:val="00CA31E4"/>
    <w:rsid w:val="00CA3372"/>
    <w:rsid w:val="00CA3BF9"/>
    <w:rsid w:val="00CA4C45"/>
    <w:rsid w:val="00CA5F98"/>
    <w:rsid w:val="00CA7ABD"/>
    <w:rsid w:val="00CB0303"/>
    <w:rsid w:val="00CB19FC"/>
    <w:rsid w:val="00CB2689"/>
    <w:rsid w:val="00CB3B7D"/>
    <w:rsid w:val="00CB3BCD"/>
    <w:rsid w:val="00CB6872"/>
    <w:rsid w:val="00CB7F26"/>
    <w:rsid w:val="00CC02E2"/>
    <w:rsid w:val="00CC069F"/>
    <w:rsid w:val="00CC2920"/>
    <w:rsid w:val="00CC2976"/>
    <w:rsid w:val="00CC3244"/>
    <w:rsid w:val="00CC641F"/>
    <w:rsid w:val="00CD0477"/>
    <w:rsid w:val="00CD2956"/>
    <w:rsid w:val="00CD39B9"/>
    <w:rsid w:val="00CD4509"/>
    <w:rsid w:val="00CD4E1C"/>
    <w:rsid w:val="00CD64C5"/>
    <w:rsid w:val="00CD6C41"/>
    <w:rsid w:val="00CD6D8F"/>
    <w:rsid w:val="00CD7B16"/>
    <w:rsid w:val="00CE022B"/>
    <w:rsid w:val="00CE10B4"/>
    <w:rsid w:val="00CE10FF"/>
    <w:rsid w:val="00CE2486"/>
    <w:rsid w:val="00CE5DA8"/>
    <w:rsid w:val="00CE6243"/>
    <w:rsid w:val="00CF24A3"/>
    <w:rsid w:val="00CF4423"/>
    <w:rsid w:val="00CF5558"/>
    <w:rsid w:val="00D02393"/>
    <w:rsid w:val="00D0241E"/>
    <w:rsid w:val="00D0278E"/>
    <w:rsid w:val="00D03019"/>
    <w:rsid w:val="00D04357"/>
    <w:rsid w:val="00D046C1"/>
    <w:rsid w:val="00D0486D"/>
    <w:rsid w:val="00D04CE7"/>
    <w:rsid w:val="00D077EF"/>
    <w:rsid w:val="00D07BFA"/>
    <w:rsid w:val="00D10E78"/>
    <w:rsid w:val="00D124CA"/>
    <w:rsid w:val="00D13117"/>
    <w:rsid w:val="00D1480A"/>
    <w:rsid w:val="00D14B58"/>
    <w:rsid w:val="00D1506F"/>
    <w:rsid w:val="00D162A7"/>
    <w:rsid w:val="00D16723"/>
    <w:rsid w:val="00D168C1"/>
    <w:rsid w:val="00D16EAF"/>
    <w:rsid w:val="00D17249"/>
    <w:rsid w:val="00D17EFD"/>
    <w:rsid w:val="00D17F11"/>
    <w:rsid w:val="00D2032D"/>
    <w:rsid w:val="00D20AFD"/>
    <w:rsid w:val="00D210A2"/>
    <w:rsid w:val="00D24FFF"/>
    <w:rsid w:val="00D269FE"/>
    <w:rsid w:val="00D26E87"/>
    <w:rsid w:val="00D3033E"/>
    <w:rsid w:val="00D30D13"/>
    <w:rsid w:val="00D31E0E"/>
    <w:rsid w:val="00D327D2"/>
    <w:rsid w:val="00D3318E"/>
    <w:rsid w:val="00D33F81"/>
    <w:rsid w:val="00D33F9E"/>
    <w:rsid w:val="00D34E1C"/>
    <w:rsid w:val="00D34F1A"/>
    <w:rsid w:val="00D350B6"/>
    <w:rsid w:val="00D3511B"/>
    <w:rsid w:val="00D35A67"/>
    <w:rsid w:val="00D374CD"/>
    <w:rsid w:val="00D40056"/>
    <w:rsid w:val="00D416F4"/>
    <w:rsid w:val="00D41D4A"/>
    <w:rsid w:val="00D4209B"/>
    <w:rsid w:val="00D42501"/>
    <w:rsid w:val="00D429A5"/>
    <w:rsid w:val="00D45584"/>
    <w:rsid w:val="00D46F6B"/>
    <w:rsid w:val="00D471A7"/>
    <w:rsid w:val="00D471AB"/>
    <w:rsid w:val="00D50EA3"/>
    <w:rsid w:val="00D512F7"/>
    <w:rsid w:val="00D515B5"/>
    <w:rsid w:val="00D51669"/>
    <w:rsid w:val="00D52A9C"/>
    <w:rsid w:val="00D53D76"/>
    <w:rsid w:val="00D55CFD"/>
    <w:rsid w:val="00D55F2C"/>
    <w:rsid w:val="00D562D9"/>
    <w:rsid w:val="00D5659F"/>
    <w:rsid w:val="00D60564"/>
    <w:rsid w:val="00D61788"/>
    <w:rsid w:val="00D62A6F"/>
    <w:rsid w:val="00D62FF0"/>
    <w:rsid w:val="00D631E0"/>
    <w:rsid w:val="00D6393A"/>
    <w:rsid w:val="00D63DAE"/>
    <w:rsid w:val="00D63EA4"/>
    <w:rsid w:val="00D64960"/>
    <w:rsid w:val="00D65495"/>
    <w:rsid w:val="00D658D2"/>
    <w:rsid w:val="00D65CEC"/>
    <w:rsid w:val="00D66175"/>
    <w:rsid w:val="00D6679B"/>
    <w:rsid w:val="00D669CF"/>
    <w:rsid w:val="00D67175"/>
    <w:rsid w:val="00D67A14"/>
    <w:rsid w:val="00D67A38"/>
    <w:rsid w:val="00D703A6"/>
    <w:rsid w:val="00D70842"/>
    <w:rsid w:val="00D72C29"/>
    <w:rsid w:val="00D738AD"/>
    <w:rsid w:val="00D75F5F"/>
    <w:rsid w:val="00D76EDA"/>
    <w:rsid w:val="00D77CA4"/>
    <w:rsid w:val="00D80360"/>
    <w:rsid w:val="00D80F04"/>
    <w:rsid w:val="00D827B5"/>
    <w:rsid w:val="00D82870"/>
    <w:rsid w:val="00D82BB6"/>
    <w:rsid w:val="00D832EB"/>
    <w:rsid w:val="00D866F6"/>
    <w:rsid w:val="00D87894"/>
    <w:rsid w:val="00D904E9"/>
    <w:rsid w:val="00D910A2"/>
    <w:rsid w:val="00D92078"/>
    <w:rsid w:val="00D92436"/>
    <w:rsid w:val="00D934CE"/>
    <w:rsid w:val="00D9359E"/>
    <w:rsid w:val="00D93A92"/>
    <w:rsid w:val="00D9465D"/>
    <w:rsid w:val="00D95182"/>
    <w:rsid w:val="00D9560A"/>
    <w:rsid w:val="00D9710C"/>
    <w:rsid w:val="00DA084B"/>
    <w:rsid w:val="00DA1932"/>
    <w:rsid w:val="00DA19E7"/>
    <w:rsid w:val="00DA20F9"/>
    <w:rsid w:val="00DA4350"/>
    <w:rsid w:val="00DA4641"/>
    <w:rsid w:val="00DA4701"/>
    <w:rsid w:val="00DA5706"/>
    <w:rsid w:val="00DA5E7E"/>
    <w:rsid w:val="00DA675B"/>
    <w:rsid w:val="00DA67E7"/>
    <w:rsid w:val="00DB092A"/>
    <w:rsid w:val="00DB0ECD"/>
    <w:rsid w:val="00DB2D28"/>
    <w:rsid w:val="00DB2D7E"/>
    <w:rsid w:val="00DC100A"/>
    <w:rsid w:val="00DC2FC8"/>
    <w:rsid w:val="00DC3859"/>
    <w:rsid w:val="00DC4696"/>
    <w:rsid w:val="00DC758F"/>
    <w:rsid w:val="00DD0749"/>
    <w:rsid w:val="00DD32FF"/>
    <w:rsid w:val="00DD45B0"/>
    <w:rsid w:val="00DD6393"/>
    <w:rsid w:val="00DE0914"/>
    <w:rsid w:val="00DE1927"/>
    <w:rsid w:val="00DE26D0"/>
    <w:rsid w:val="00DE3616"/>
    <w:rsid w:val="00DE3EC8"/>
    <w:rsid w:val="00DE56DA"/>
    <w:rsid w:val="00DE5D1C"/>
    <w:rsid w:val="00DE5EC7"/>
    <w:rsid w:val="00DE6937"/>
    <w:rsid w:val="00DF0342"/>
    <w:rsid w:val="00DF0827"/>
    <w:rsid w:val="00DF102D"/>
    <w:rsid w:val="00DF1759"/>
    <w:rsid w:val="00DF552E"/>
    <w:rsid w:val="00DF5A99"/>
    <w:rsid w:val="00DF5AEE"/>
    <w:rsid w:val="00DF669C"/>
    <w:rsid w:val="00E0077D"/>
    <w:rsid w:val="00E00E9B"/>
    <w:rsid w:val="00E0124D"/>
    <w:rsid w:val="00E01E9F"/>
    <w:rsid w:val="00E03E8F"/>
    <w:rsid w:val="00E04ACE"/>
    <w:rsid w:val="00E05825"/>
    <w:rsid w:val="00E05A99"/>
    <w:rsid w:val="00E07E68"/>
    <w:rsid w:val="00E10341"/>
    <w:rsid w:val="00E10481"/>
    <w:rsid w:val="00E1107E"/>
    <w:rsid w:val="00E11537"/>
    <w:rsid w:val="00E11ED6"/>
    <w:rsid w:val="00E11F5E"/>
    <w:rsid w:val="00E13D8D"/>
    <w:rsid w:val="00E13DA0"/>
    <w:rsid w:val="00E14AC7"/>
    <w:rsid w:val="00E153EA"/>
    <w:rsid w:val="00E154B4"/>
    <w:rsid w:val="00E15B55"/>
    <w:rsid w:val="00E15C9B"/>
    <w:rsid w:val="00E17800"/>
    <w:rsid w:val="00E17878"/>
    <w:rsid w:val="00E17AE4"/>
    <w:rsid w:val="00E2084D"/>
    <w:rsid w:val="00E20DE4"/>
    <w:rsid w:val="00E21A18"/>
    <w:rsid w:val="00E239E7"/>
    <w:rsid w:val="00E2465D"/>
    <w:rsid w:val="00E247BB"/>
    <w:rsid w:val="00E24B7B"/>
    <w:rsid w:val="00E25325"/>
    <w:rsid w:val="00E26340"/>
    <w:rsid w:val="00E27EEB"/>
    <w:rsid w:val="00E303FD"/>
    <w:rsid w:val="00E30854"/>
    <w:rsid w:val="00E30B82"/>
    <w:rsid w:val="00E31199"/>
    <w:rsid w:val="00E31C2E"/>
    <w:rsid w:val="00E32342"/>
    <w:rsid w:val="00E333ED"/>
    <w:rsid w:val="00E33584"/>
    <w:rsid w:val="00E33CF3"/>
    <w:rsid w:val="00E345FC"/>
    <w:rsid w:val="00E3483E"/>
    <w:rsid w:val="00E3601D"/>
    <w:rsid w:val="00E36FEE"/>
    <w:rsid w:val="00E37031"/>
    <w:rsid w:val="00E37759"/>
    <w:rsid w:val="00E41E06"/>
    <w:rsid w:val="00E42C0F"/>
    <w:rsid w:val="00E42FCB"/>
    <w:rsid w:val="00E43FD5"/>
    <w:rsid w:val="00E44298"/>
    <w:rsid w:val="00E4634B"/>
    <w:rsid w:val="00E4637D"/>
    <w:rsid w:val="00E463E3"/>
    <w:rsid w:val="00E46D90"/>
    <w:rsid w:val="00E47735"/>
    <w:rsid w:val="00E510E0"/>
    <w:rsid w:val="00E524FB"/>
    <w:rsid w:val="00E533A3"/>
    <w:rsid w:val="00E54FF2"/>
    <w:rsid w:val="00E55420"/>
    <w:rsid w:val="00E613C2"/>
    <w:rsid w:val="00E62766"/>
    <w:rsid w:val="00E62946"/>
    <w:rsid w:val="00E62D0A"/>
    <w:rsid w:val="00E62E12"/>
    <w:rsid w:val="00E63D14"/>
    <w:rsid w:val="00E647D8"/>
    <w:rsid w:val="00E64F18"/>
    <w:rsid w:val="00E67081"/>
    <w:rsid w:val="00E7058B"/>
    <w:rsid w:val="00E707F7"/>
    <w:rsid w:val="00E72FBF"/>
    <w:rsid w:val="00E75DA7"/>
    <w:rsid w:val="00E7651E"/>
    <w:rsid w:val="00E77646"/>
    <w:rsid w:val="00E777A7"/>
    <w:rsid w:val="00E8009A"/>
    <w:rsid w:val="00E815BD"/>
    <w:rsid w:val="00E81A24"/>
    <w:rsid w:val="00E821EB"/>
    <w:rsid w:val="00E82809"/>
    <w:rsid w:val="00E82BCF"/>
    <w:rsid w:val="00E83A11"/>
    <w:rsid w:val="00E83B81"/>
    <w:rsid w:val="00E83CB4"/>
    <w:rsid w:val="00E8516F"/>
    <w:rsid w:val="00E865AE"/>
    <w:rsid w:val="00E90167"/>
    <w:rsid w:val="00E90FB3"/>
    <w:rsid w:val="00E915F6"/>
    <w:rsid w:val="00E918C5"/>
    <w:rsid w:val="00E929B9"/>
    <w:rsid w:val="00E93CE4"/>
    <w:rsid w:val="00E94134"/>
    <w:rsid w:val="00E95301"/>
    <w:rsid w:val="00E958E9"/>
    <w:rsid w:val="00E9700B"/>
    <w:rsid w:val="00E97182"/>
    <w:rsid w:val="00E97305"/>
    <w:rsid w:val="00EA0639"/>
    <w:rsid w:val="00EA0840"/>
    <w:rsid w:val="00EA17AB"/>
    <w:rsid w:val="00EA19A1"/>
    <w:rsid w:val="00EA2F1A"/>
    <w:rsid w:val="00EA3324"/>
    <w:rsid w:val="00EA48AF"/>
    <w:rsid w:val="00EA59B0"/>
    <w:rsid w:val="00EA5E82"/>
    <w:rsid w:val="00EA6BD2"/>
    <w:rsid w:val="00EA74C9"/>
    <w:rsid w:val="00EB07E5"/>
    <w:rsid w:val="00EB085A"/>
    <w:rsid w:val="00EB21D8"/>
    <w:rsid w:val="00EB7A9C"/>
    <w:rsid w:val="00EC145A"/>
    <w:rsid w:val="00EC19EA"/>
    <w:rsid w:val="00EC23AA"/>
    <w:rsid w:val="00EC3634"/>
    <w:rsid w:val="00EC4351"/>
    <w:rsid w:val="00EC5530"/>
    <w:rsid w:val="00EC587A"/>
    <w:rsid w:val="00EC7B37"/>
    <w:rsid w:val="00ED128F"/>
    <w:rsid w:val="00ED1991"/>
    <w:rsid w:val="00ED2F8C"/>
    <w:rsid w:val="00ED3F7D"/>
    <w:rsid w:val="00ED6BB0"/>
    <w:rsid w:val="00ED6F61"/>
    <w:rsid w:val="00EE09C0"/>
    <w:rsid w:val="00EE0A79"/>
    <w:rsid w:val="00EE0C3B"/>
    <w:rsid w:val="00EE274A"/>
    <w:rsid w:val="00EE3624"/>
    <w:rsid w:val="00EE4028"/>
    <w:rsid w:val="00EE61F3"/>
    <w:rsid w:val="00EE639E"/>
    <w:rsid w:val="00EE70DB"/>
    <w:rsid w:val="00EF1201"/>
    <w:rsid w:val="00EF1D8E"/>
    <w:rsid w:val="00EF2587"/>
    <w:rsid w:val="00EF2A47"/>
    <w:rsid w:val="00EF2DD1"/>
    <w:rsid w:val="00EF377E"/>
    <w:rsid w:val="00EF49C5"/>
    <w:rsid w:val="00EF4C66"/>
    <w:rsid w:val="00EF50DB"/>
    <w:rsid w:val="00EF6799"/>
    <w:rsid w:val="00F0289A"/>
    <w:rsid w:val="00F03A06"/>
    <w:rsid w:val="00F048F2"/>
    <w:rsid w:val="00F050EF"/>
    <w:rsid w:val="00F05885"/>
    <w:rsid w:val="00F05EF4"/>
    <w:rsid w:val="00F10962"/>
    <w:rsid w:val="00F11437"/>
    <w:rsid w:val="00F11C30"/>
    <w:rsid w:val="00F11F76"/>
    <w:rsid w:val="00F12393"/>
    <w:rsid w:val="00F12AE3"/>
    <w:rsid w:val="00F14026"/>
    <w:rsid w:val="00F1448B"/>
    <w:rsid w:val="00F14A66"/>
    <w:rsid w:val="00F1639F"/>
    <w:rsid w:val="00F16501"/>
    <w:rsid w:val="00F175FD"/>
    <w:rsid w:val="00F201C9"/>
    <w:rsid w:val="00F21953"/>
    <w:rsid w:val="00F2299E"/>
    <w:rsid w:val="00F2310A"/>
    <w:rsid w:val="00F23502"/>
    <w:rsid w:val="00F238B6"/>
    <w:rsid w:val="00F24031"/>
    <w:rsid w:val="00F2587C"/>
    <w:rsid w:val="00F328C2"/>
    <w:rsid w:val="00F329AD"/>
    <w:rsid w:val="00F32EBA"/>
    <w:rsid w:val="00F334E0"/>
    <w:rsid w:val="00F33673"/>
    <w:rsid w:val="00F33F8A"/>
    <w:rsid w:val="00F42B03"/>
    <w:rsid w:val="00F45536"/>
    <w:rsid w:val="00F45EBA"/>
    <w:rsid w:val="00F46C03"/>
    <w:rsid w:val="00F50E46"/>
    <w:rsid w:val="00F52278"/>
    <w:rsid w:val="00F535F7"/>
    <w:rsid w:val="00F53805"/>
    <w:rsid w:val="00F540FC"/>
    <w:rsid w:val="00F55459"/>
    <w:rsid w:val="00F56FE6"/>
    <w:rsid w:val="00F60398"/>
    <w:rsid w:val="00F60921"/>
    <w:rsid w:val="00F60C21"/>
    <w:rsid w:val="00F61D27"/>
    <w:rsid w:val="00F6209D"/>
    <w:rsid w:val="00F62A64"/>
    <w:rsid w:val="00F62A9F"/>
    <w:rsid w:val="00F63D8B"/>
    <w:rsid w:val="00F678D9"/>
    <w:rsid w:val="00F67FAC"/>
    <w:rsid w:val="00F704B7"/>
    <w:rsid w:val="00F71061"/>
    <w:rsid w:val="00F722D6"/>
    <w:rsid w:val="00F72382"/>
    <w:rsid w:val="00F72607"/>
    <w:rsid w:val="00F734A3"/>
    <w:rsid w:val="00F7368B"/>
    <w:rsid w:val="00F76C08"/>
    <w:rsid w:val="00F7755E"/>
    <w:rsid w:val="00F77B99"/>
    <w:rsid w:val="00F77FC4"/>
    <w:rsid w:val="00F803B9"/>
    <w:rsid w:val="00F818EE"/>
    <w:rsid w:val="00F82CF6"/>
    <w:rsid w:val="00F83A5F"/>
    <w:rsid w:val="00F84729"/>
    <w:rsid w:val="00F84EA1"/>
    <w:rsid w:val="00F85B00"/>
    <w:rsid w:val="00F90408"/>
    <w:rsid w:val="00F910A6"/>
    <w:rsid w:val="00F92D0A"/>
    <w:rsid w:val="00F93F75"/>
    <w:rsid w:val="00F9529D"/>
    <w:rsid w:val="00F962A0"/>
    <w:rsid w:val="00F962FA"/>
    <w:rsid w:val="00F97A8F"/>
    <w:rsid w:val="00FA2039"/>
    <w:rsid w:val="00FA22E8"/>
    <w:rsid w:val="00FA6214"/>
    <w:rsid w:val="00FA6B9B"/>
    <w:rsid w:val="00FB0479"/>
    <w:rsid w:val="00FB080C"/>
    <w:rsid w:val="00FB11CB"/>
    <w:rsid w:val="00FB40A1"/>
    <w:rsid w:val="00FB48BD"/>
    <w:rsid w:val="00FB511A"/>
    <w:rsid w:val="00FB6900"/>
    <w:rsid w:val="00FC2503"/>
    <w:rsid w:val="00FC2578"/>
    <w:rsid w:val="00FC2F69"/>
    <w:rsid w:val="00FC414B"/>
    <w:rsid w:val="00FC5F73"/>
    <w:rsid w:val="00FC6039"/>
    <w:rsid w:val="00FC65F3"/>
    <w:rsid w:val="00FD03EC"/>
    <w:rsid w:val="00FD0C0B"/>
    <w:rsid w:val="00FD10C1"/>
    <w:rsid w:val="00FD1165"/>
    <w:rsid w:val="00FD2BD9"/>
    <w:rsid w:val="00FD3BB1"/>
    <w:rsid w:val="00FD59C1"/>
    <w:rsid w:val="00FD6C92"/>
    <w:rsid w:val="00FD7D81"/>
    <w:rsid w:val="00FE0060"/>
    <w:rsid w:val="00FE09BC"/>
    <w:rsid w:val="00FE274B"/>
    <w:rsid w:val="00FE59B0"/>
    <w:rsid w:val="00FE6C85"/>
    <w:rsid w:val="00FE6F4A"/>
    <w:rsid w:val="00FE78BA"/>
    <w:rsid w:val="00FE78E1"/>
    <w:rsid w:val="00FE7DD2"/>
    <w:rsid w:val="00FF050A"/>
    <w:rsid w:val="00FF07C4"/>
    <w:rsid w:val="00FF0B93"/>
    <w:rsid w:val="00FF0E88"/>
    <w:rsid w:val="00FF18EA"/>
    <w:rsid w:val="00FF19AE"/>
    <w:rsid w:val="00FF4617"/>
    <w:rsid w:val="00FF52BC"/>
  </w:rsids>
  <m:mathPr>
    <m:mathFont m:val="Cambria Math"/>
    <m:brkBin m:val="before"/>
    <m:brkBinSub m:val="--"/>
    <m:smallFrac m:val="0"/>
    <m:dispDef/>
    <m:lMargin m:val="0"/>
    <m:rMargin m:val="0"/>
    <m:defJc m:val="centerGroup"/>
    <m:wrapIndent m:val="1440"/>
    <m:intLim m:val="subSup"/>
    <m:naryLim m:val="undOvr"/>
  </m:mathPr>
  <w:themeFontLang w:val="es-A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3F19A43C"/>
  <w15:chartTrackingRefBased/>
  <w15:docId w15:val="{A126B9D6-D7B4-4225-AB6C-579DA76FD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lecom"/>
    <w:qFormat/>
    <w:rsid w:val="00C46307"/>
    <w:rPr>
      <w:rFonts w:ascii="Roboto" w:hAnsi="Roboto"/>
      <w:color w:val="140232"/>
      <w:sz w:val="20"/>
    </w:rPr>
  </w:style>
  <w:style w:type="paragraph" w:styleId="Ttulo2">
    <w:name w:val="heading 2"/>
    <w:basedOn w:val="Normal"/>
    <w:next w:val="Normal"/>
    <w:link w:val="Ttulo2Car"/>
    <w:uiPriority w:val="9"/>
    <w:unhideWhenUsed/>
    <w:qFormat/>
    <w:rsid w:val="00EF2D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2A7B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qFormat/>
    <w:rsid w:val="00E929B9"/>
    <w:pPr>
      <w:keepNext/>
      <w:spacing w:after="0" w:line="240" w:lineRule="auto"/>
      <w:jc w:val="both"/>
      <w:outlineLvl w:val="3"/>
    </w:pPr>
    <w:rPr>
      <w:rFonts w:ascii="Times New Roman" w:eastAsia="Times New Roman" w:hAnsi="Times New Roman" w:cs="Times New Roman"/>
      <w:b/>
      <w:szCs w:val="20"/>
      <w:lang w:val="es-ES" w:eastAsia="es-ES"/>
    </w:rPr>
  </w:style>
  <w:style w:type="paragraph" w:styleId="Ttulo8">
    <w:name w:val="heading 8"/>
    <w:basedOn w:val="Normal"/>
    <w:next w:val="Normal"/>
    <w:link w:val="Ttulo8Car"/>
    <w:uiPriority w:val="9"/>
    <w:semiHidden/>
    <w:unhideWhenUsed/>
    <w:qFormat/>
    <w:rsid w:val="009568D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929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29B9"/>
    <w:rPr>
      <w:rFonts w:ascii="Segoe UI" w:hAnsi="Segoe UI" w:cs="Segoe UI"/>
      <w:b w:val="0"/>
      <w:i w:val="0"/>
      <w:color w:val="140232"/>
      <w:sz w:val="18"/>
      <w:szCs w:val="18"/>
    </w:rPr>
  </w:style>
  <w:style w:type="paragraph" w:styleId="Encabezado">
    <w:name w:val="header"/>
    <w:basedOn w:val="Normal"/>
    <w:link w:val="EncabezadoCar"/>
    <w:uiPriority w:val="99"/>
    <w:unhideWhenUsed/>
    <w:rsid w:val="00E929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29B9"/>
    <w:rPr>
      <w:rFonts w:ascii="Roboto" w:hAnsi="Roboto"/>
      <w:b w:val="0"/>
      <w:i w:val="0"/>
      <w:color w:val="140232"/>
      <w:sz w:val="20"/>
    </w:rPr>
  </w:style>
  <w:style w:type="paragraph" w:styleId="Piedepgina">
    <w:name w:val="footer"/>
    <w:aliases w:val="Pie de página telecom"/>
    <w:basedOn w:val="Normal"/>
    <w:link w:val="PiedepginaCar"/>
    <w:uiPriority w:val="99"/>
    <w:unhideWhenUsed/>
    <w:rsid w:val="001B3B04"/>
    <w:pPr>
      <w:tabs>
        <w:tab w:val="center" w:pos="4419"/>
        <w:tab w:val="right" w:pos="8838"/>
      </w:tabs>
      <w:spacing w:after="0" w:line="240" w:lineRule="auto"/>
    </w:pPr>
    <w:rPr>
      <w:rFonts w:ascii="Pulso" w:hAnsi="Pulso"/>
    </w:rPr>
  </w:style>
  <w:style w:type="character" w:customStyle="1" w:styleId="PiedepginaCar">
    <w:name w:val="Pie de página Car"/>
    <w:aliases w:val="Pie de página telecom Car"/>
    <w:basedOn w:val="Fuentedeprrafopredeter"/>
    <w:link w:val="Piedepgina"/>
    <w:uiPriority w:val="99"/>
    <w:rsid w:val="001B3B04"/>
    <w:rPr>
      <w:rFonts w:ascii="Pulso" w:hAnsi="Pulso"/>
      <w:b w:val="0"/>
      <w:i w:val="0"/>
      <w:color w:val="140232"/>
      <w:sz w:val="20"/>
    </w:rPr>
  </w:style>
  <w:style w:type="character" w:customStyle="1" w:styleId="Ttulo4Car">
    <w:name w:val="Título 4 Car"/>
    <w:basedOn w:val="Fuentedeprrafopredeter"/>
    <w:link w:val="Ttulo4"/>
    <w:rsid w:val="00E929B9"/>
    <w:rPr>
      <w:rFonts w:ascii="Times New Roman" w:eastAsia="Times New Roman" w:hAnsi="Times New Roman" w:cs="Times New Roman"/>
      <w:b/>
      <w:i w:val="0"/>
      <w:color w:val="140232"/>
      <w:sz w:val="20"/>
      <w:szCs w:val="20"/>
      <w:lang w:val="es-ES" w:eastAsia="es-ES"/>
    </w:rPr>
  </w:style>
  <w:style w:type="paragraph" w:styleId="Textoindependiente">
    <w:name w:val="Body Text"/>
    <w:basedOn w:val="Normal"/>
    <w:link w:val="TextoindependienteCar"/>
    <w:rsid w:val="00E929B9"/>
    <w:pPr>
      <w:widowControl w:val="0"/>
      <w:spacing w:after="0" w:line="240" w:lineRule="auto"/>
    </w:pPr>
    <w:rPr>
      <w:rFonts w:ascii="FrutigerBlack" w:eastAsia="Times New Roman" w:hAnsi="FrutigerBlack" w:cs="Times New Roman"/>
      <w:b/>
      <w:snapToGrid w:val="0"/>
      <w:szCs w:val="20"/>
      <w:lang w:val="en-US" w:eastAsia="es-ES"/>
    </w:rPr>
  </w:style>
  <w:style w:type="character" w:customStyle="1" w:styleId="TextoindependienteCar">
    <w:name w:val="Texto independiente Car"/>
    <w:basedOn w:val="Fuentedeprrafopredeter"/>
    <w:link w:val="Textoindependiente"/>
    <w:rsid w:val="00E929B9"/>
    <w:rPr>
      <w:rFonts w:ascii="FrutigerBlack" w:eastAsia="Times New Roman" w:hAnsi="FrutigerBlack" w:cs="Times New Roman"/>
      <w:b/>
      <w:i w:val="0"/>
      <w:snapToGrid w:val="0"/>
      <w:color w:val="140232"/>
      <w:sz w:val="20"/>
      <w:szCs w:val="20"/>
      <w:lang w:val="en-US" w:eastAsia="es-ES"/>
    </w:rPr>
  </w:style>
  <w:style w:type="paragraph" w:customStyle="1" w:styleId="Textoindependiente21">
    <w:name w:val="Texto independiente 21"/>
    <w:basedOn w:val="Normal"/>
    <w:rsid w:val="00E929B9"/>
    <w:pPr>
      <w:spacing w:after="0" w:line="240" w:lineRule="auto"/>
      <w:jc w:val="both"/>
    </w:pPr>
    <w:rPr>
      <w:rFonts w:ascii="Arial" w:eastAsia="Times New Roman" w:hAnsi="Arial" w:cs="Times New Roman"/>
      <w:b/>
      <w:szCs w:val="20"/>
      <w:lang w:val="es-ES" w:eastAsia="es-ES"/>
    </w:rPr>
  </w:style>
  <w:style w:type="paragraph" w:styleId="Textoindependiente2">
    <w:name w:val="Body Text 2"/>
    <w:basedOn w:val="Normal"/>
    <w:link w:val="Textoindependiente2Car"/>
    <w:uiPriority w:val="99"/>
    <w:unhideWhenUsed/>
    <w:rsid w:val="00E929B9"/>
    <w:pPr>
      <w:spacing w:after="120" w:line="480" w:lineRule="auto"/>
    </w:pPr>
  </w:style>
  <w:style w:type="character" w:customStyle="1" w:styleId="Textoindependiente2Car">
    <w:name w:val="Texto independiente 2 Car"/>
    <w:basedOn w:val="Fuentedeprrafopredeter"/>
    <w:link w:val="Textoindependiente2"/>
    <w:uiPriority w:val="99"/>
    <w:rsid w:val="00E929B9"/>
    <w:rPr>
      <w:rFonts w:ascii="Roboto" w:hAnsi="Roboto"/>
      <w:b w:val="0"/>
      <w:i w:val="0"/>
      <w:color w:val="140232"/>
      <w:sz w:val="20"/>
    </w:rPr>
  </w:style>
  <w:style w:type="paragraph" w:customStyle="1" w:styleId="BodyTextTelecom">
    <w:name w:val="Body Text Telecom"/>
    <w:basedOn w:val="Normal"/>
    <w:rsid w:val="00C46307"/>
    <w:pPr>
      <w:spacing w:after="0" w:line="240" w:lineRule="auto"/>
      <w:jc w:val="both"/>
    </w:pPr>
    <w:rPr>
      <w:rFonts w:ascii="Pulso" w:eastAsia="Times New Roman" w:hAnsi="Pulso" w:cs="Times New Roman"/>
      <w:color w:val="3C009F"/>
      <w:sz w:val="24"/>
      <w:szCs w:val="20"/>
      <w:lang w:val="es-ES" w:eastAsia="es-ES"/>
    </w:rPr>
  </w:style>
  <w:style w:type="character" w:styleId="Hipervnculo">
    <w:name w:val="Hyperlink"/>
    <w:aliases w:val="Hipervínculo Telecom"/>
    <w:rsid w:val="00C46307"/>
    <w:rPr>
      <w:rFonts w:ascii="robo" w:hAnsi="robo"/>
      <w:b w:val="0"/>
      <w:i w:val="0"/>
      <w:color w:val="B989F9"/>
      <w:u w:val="single"/>
    </w:rPr>
  </w:style>
  <w:style w:type="paragraph" w:styleId="Prrafodelista">
    <w:name w:val="List Paragraph"/>
    <w:aliases w:val="Parrafo Telecom,List1"/>
    <w:basedOn w:val="Normal"/>
    <w:link w:val="PrrafodelistaCar"/>
    <w:uiPriority w:val="34"/>
    <w:qFormat/>
    <w:rsid w:val="00C46307"/>
    <w:pPr>
      <w:spacing w:after="0" w:line="240" w:lineRule="auto"/>
      <w:ind w:left="720"/>
    </w:pPr>
    <w:rPr>
      <w:rFonts w:eastAsia="Calibri" w:cs="Times New Roman"/>
      <w:lang w:eastAsia="es-AR"/>
    </w:rPr>
  </w:style>
  <w:style w:type="character" w:customStyle="1" w:styleId="PrrafodelistaCar">
    <w:name w:val="Párrafo de lista Car"/>
    <w:aliases w:val="Parrafo Telecom Car,List1 Car"/>
    <w:link w:val="Prrafodelista"/>
    <w:uiPriority w:val="34"/>
    <w:locked/>
    <w:rsid w:val="00C46307"/>
    <w:rPr>
      <w:rFonts w:ascii="Roboto" w:eastAsia="Calibri" w:hAnsi="Roboto" w:cs="Times New Roman"/>
      <w:color w:val="140232"/>
      <w:sz w:val="20"/>
      <w:lang w:eastAsia="es-AR"/>
    </w:rPr>
  </w:style>
  <w:style w:type="character" w:styleId="Textoennegrita">
    <w:name w:val="Strong"/>
    <w:basedOn w:val="Fuentedeprrafopredeter"/>
    <w:uiPriority w:val="22"/>
    <w:qFormat/>
    <w:rsid w:val="00472B8D"/>
    <w:rPr>
      <w:rFonts w:ascii="Roboto" w:hAnsi="Roboto"/>
      <w:b/>
      <w:bCs/>
      <w:i w:val="0"/>
      <w:color w:val="140232"/>
      <w:sz w:val="20"/>
    </w:rPr>
  </w:style>
  <w:style w:type="character" w:styleId="Nmerodepgina">
    <w:name w:val="page number"/>
    <w:aliases w:val="Número de página Telecom"/>
    <w:basedOn w:val="Fuentedeprrafopredeter"/>
    <w:rsid w:val="002A500B"/>
    <w:rPr>
      <w:rFonts w:ascii="Pulso" w:hAnsi="Pulso"/>
      <w:b w:val="0"/>
      <w:i w:val="0"/>
      <w:color w:val="B989F9"/>
      <w:sz w:val="24"/>
    </w:rPr>
  </w:style>
  <w:style w:type="character" w:customStyle="1" w:styleId="EncabezadoTelecom">
    <w:name w:val="Encabezado Telecom"/>
    <w:basedOn w:val="Fuentedeprrafopredeter"/>
    <w:rsid w:val="00EF2DD1"/>
    <w:rPr>
      <w:rFonts w:ascii="Roboto" w:hAnsi="Roboto"/>
      <w:b w:val="0"/>
      <w:i w:val="0"/>
      <w:color w:val="140232"/>
      <w:sz w:val="16"/>
    </w:rPr>
  </w:style>
  <w:style w:type="paragraph" w:styleId="NormalWeb">
    <w:name w:val="Normal (Web)"/>
    <w:basedOn w:val="Normal"/>
    <w:uiPriority w:val="99"/>
    <w:semiHidden/>
    <w:unhideWhenUsed/>
    <w:rsid w:val="00B04394"/>
    <w:pPr>
      <w:spacing w:before="100" w:beforeAutospacing="1" w:after="100" w:afterAutospacing="1" w:line="240" w:lineRule="auto"/>
    </w:pPr>
    <w:rPr>
      <w:rFonts w:ascii="Times New Roman" w:eastAsiaTheme="minorEastAsia" w:hAnsi="Times New Roman" w:cs="Times New Roman"/>
      <w:sz w:val="24"/>
      <w:szCs w:val="24"/>
      <w:lang w:eastAsia="es-AR"/>
    </w:rPr>
  </w:style>
  <w:style w:type="paragraph" w:customStyle="1" w:styleId="Telecom">
    <w:name w:val="Telecom"/>
    <w:basedOn w:val="Normal"/>
    <w:qFormat/>
    <w:rsid w:val="00EF2DD1"/>
  </w:style>
  <w:style w:type="paragraph" w:customStyle="1" w:styleId="Tituloprincipal">
    <w:name w:val="Titulo principal"/>
    <w:basedOn w:val="Normal"/>
    <w:qFormat/>
    <w:rsid w:val="00EF2DD1"/>
    <w:pPr>
      <w:spacing w:after="0"/>
      <w:ind w:left="284" w:right="23"/>
      <w:jc w:val="center"/>
    </w:pPr>
    <w:rPr>
      <w:rFonts w:ascii="Pulso" w:hAnsi="Pulso" w:cs="Arial"/>
      <w:b/>
      <w:color w:val="3C009F"/>
      <w:sz w:val="34"/>
      <w:szCs w:val="34"/>
      <w:u w:val="single"/>
    </w:rPr>
  </w:style>
  <w:style w:type="character" w:customStyle="1" w:styleId="Ttulo2Car">
    <w:name w:val="Título 2 Car"/>
    <w:basedOn w:val="Fuentedeprrafopredeter"/>
    <w:link w:val="Ttulo2"/>
    <w:uiPriority w:val="9"/>
    <w:rsid w:val="00EF2DD1"/>
    <w:rPr>
      <w:rFonts w:asciiTheme="majorHAnsi" w:eastAsiaTheme="majorEastAsia" w:hAnsiTheme="majorHAnsi" w:cstheme="majorBidi"/>
      <w:b w:val="0"/>
      <w:i w:val="0"/>
      <w:color w:val="2E74B5" w:themeColor="accent1" w:themeShade="BF"/>
      <w:sz w:val="26"/>
      <w:szCs w:val="26"/>
    </w:rPr>
  </w:style>
  <w:style w:type="paragraph" w:customStyle="1" w:styleId="Titulosecundario">
    <w:name w:val="Titulo secundario"/>
    <w:basedOn w:val="Ttulo2"/>
    <w:qFormat/>
    <w:rsid w:val="00EF2DD1"/>
    <w:pPr>
      <w:jc w:val="center"/>
    </w:pPr>
    <w:rPr>
      <w:rFonts w:ascii="Pulso" w:hAnsi="Pulso"/>
      <w:b/>
      <w:color w:val="3C009F"/>
    </w:rPr>
  </w:style>
  <w:style w:type="character" w:styleId="nfasis">
    <w:name w:val="Emphasis"/>
    <w:aliases w:val="Énfasis Telecom"/>
    <w:basedOn w:val="Fuentedeprrafopredeter"/>
    <w:uiPriority w:val="20"/>
    <w:qFormat/>
    <w:rsid w:val="00EF2DD1"/>
    <w:rPr>
      <w:rFonts w:ascii="Roboto" w:hAnsi="Roboto"/>
      <w:b w:val="0"/>
      <w:i/>
      <w:iCs/>
      <w:color w:val="140232"/>
      <w:sz w:val="16"/>
    </w:rPr>
  </w:style>
  <w:style w:type="paragraph" w:styleId="Sinespaciado">
    <w:name w:val="No Spacing"/>
    <w:link w:val="SinespaciadoCar"/>
    <w:uiPriority w:val="1"/>
    <w:qFormat/>
    <w:rsid w:val="000C50AB"/>
    <w:pPr>
      <w:spacing w:after="0" w:line="240" w:lineRule="auto"/>
    </w:pPr>
    <w:rPr>
      <w:rFonts w:ascii="Pulso" w:eastAsiaTheme="minorEastAsia" w:hAnsi="Pulso"/>
      <w:color w:val="B989F9"/>
      <w:sz w:val="28"/>
      <w:lang w:val="en-US" w:eastAsia="zh-CN"/>
    </w:rPr>
  </w:style>
  <w:style w:type="character" w:customStyle="1" w:styleId="SinespaciadoCar">
    <w:name w:val="Sin espaciado Car"/>
    <w:basedOn w:val="Fuentedeprrafopredeter"/>
    <w:link w:val="Sinespaciado"/>
    <w:uiPriority w:val="1"/>
    <w:rsid w:val="000C50AB"/>
    <w:rPr>
      <w:rFonts w:ascii="Pulso" w:eastAsiaTheme="minorEastAsia" w:hAnsi="Pulso"/>
      <w:b w:val="0"/>
      <w:i w:val="0"/>
      <w:color w:val="B989F9"/>
      <w:sz w:val="28"/>
      <w:lang w:val="en-US" w:eastAsia="zh-CN"/>
    </w:rPr>
  </w:style>
  <w:style w:type="paragraph" w:styleId="Subttulo">
    <w:name w:val="Subtitle"/>
    <w:basedOn w:val="Normal"/>
    <w:next w:val="Normal"/>
    <w:link w:val="SubttuloCar"/>
    <w:uiPriority w:val="11"/>
    <w:qFormat/>
    <w:rsid w:val="000C50AB"/>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C50AB"/>
    <w:rPr>
      <w:rFonts w:ascii="Roboto" w:eastAsiaTheme="minorEastAsia" w:hAnsi="Roboto"/>
      <w:b w:val="0"/>
      <w:i w:val="0"/>
      <w:color w:val="5A5A5A" w:themeColor="text1" w:themeTint="A5"/>
      <w:spacing w:val="15"/>
      <w:sz w:val="20"/>
    </w:rPr>
  </w:style>
  <w:style w:type="character" w:styleId="nfasissutil">
    <w:name w:val="Subtle Emphasis"/>
    <w:aliases w:val="Notas graficos Telecom"/>
    <w:basedOn w:val="Fuentedeprrafopredeter"/>
    <w:uiPriority w:val="19"/>
    <w:qFormat/>
    <w:rsid w:val="00A426C2"/>
    <w:rPr>
      <w:rFonts w:ascii="Roboto" w:hAnsi="Roboto"/>
      <w:b w:val="0"/>
      <w:i/>
      <w:iCs/>
      <w:color w:val="BFBFBF" w:themeColor="background1" w:themeShade="BF"/>
      <w:sz w:val="15"/>
    </w:rPr>
  </w:style>
  <w:style w:type="table" w:styleId="Tablaconcuadrcula">
    <w:name w:val="Table Grid"/>
    <w:basedOn w:val="Tablanormal"/>
    <w:uiPriority w:val="39"/>
    <w:rsid w:val="00E46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intenso">
    <w:name w:val="Intense Emphasis"/>
    <w:basedOn w:val="Fuentedeprrafopredeter"/>
    <w:uiPriority w:val="21"/>
    <w:qFormat/>
    <w:rsid w:val="005009D3"/>
    <w:rPr>
      <w:rFonts w:ascii="Roboto" w:hAnsi="Roboto"/>
      <w:b w:val="0"/>
      <w:i/>
      <w:iCs/>
      <w:color w:val="5B9BD5" w:themeColor="accent1"/>
      <w:sz w:val="20"/>
    </w:rPr>
  </w:style>
  <w:style w:type="character" w:customStyle="1" w:styleId="Ttulo8Car">
    <w:name w:val="Título 8 Car"/>
    <w:basedOn w:val="Fuentedeprrafopredeter"/>
    <w:link w:val="Ttulo8"/>
    <w:uiPriority w:val="9"/>
    <w:semiHidden/>
    <w:rsid w:val="009568DF"/>
    <w:rPr>
      <w:rFonts w:asciiTheme="majorHAnsi" w:eastAsiaTheme="majorEastAsia" w:hAnsiTheme="majorHAnsi" w:cstheme="majorBidi"/>
      <w:color w:val="272727" w:themeColor="text1" w:themeTint="D8"/>
      <w:sz w:val="21"/>
      <w:szCs w:val="21"/>
    </w:rPr>
  </w:style>
  <w:style w:type="paragraph" w:styleId="Sangradetextonormal">
    <w:name w:val="Body Text Indent"/>
    <w:basedOn w:val="Normal"/>
    <w:link w:val="SangradetextonormalCar"/>
    <w:uiPriority w:val="99"/>
    <w:semiHidden/>
    <w:unhideWhenUsed/>
    <w:rsid w:val="00D327D2"/>
    <w:pPr>
      <w:spacing w:after="120"/>
      <w:ind w:left="283"/>
    </w:pPr>
  </w:style>
  <w:style w:type="character" w:customStyle="1" w:styleId="SangradetextonormalCar">
    <w:name w:val="Sangría de texto normal Car"/>
    <w:basedOn w:val="Fuentedeprrafopredeter"/>
    <w:link w:val="Sangradetextonormal"/>
    <w:uiPriority w:val="99"/>
    <w:semiHidden/>
    <w:rsid w:val="00D327D2"/>
    <w:rPr>
      <w:rFonts w:ascii="Roboto" w:hAnsi="Roboto"/>
      <w:color w:val="140232"/>
      <w:sz w:val="20"/>
    </w:rPr>
  </w:style>
  <w:style w:type="character" w:customStyle="1" w:styleId="ui-provider">
    <w:name w:val="ui-provider"/>
    <w:basedOn w:val="Fuentedeprrafopredeter"/>
    <w:rsid w:val="00BE4B86"/>
  </w:style>
  <w:style w:type="paragraph" w:styleId="Revisin">
    <w:name w:val="Revision"/>
    <w:hidden/>
    <w:uiPriority w:val="99"/>
    <w:semiHidden/>
    <w:rsid w:val="00881865"/>
    <w:pPr>
      <w:spacing w:after="0" w:line="240" w:lineRule="auto"/>
    </w:pPr>
    <w:rPr>
      <w:rFonts w:ascii="Roboto" w:hAnsi="Roboto"/>
      <w:color w:val="140232"/>
      <w:sz w:val="20"/>
    </w:rPr>
  </w:style>
  <w:style w:type="paragraph" w:styleId="Textonotapie">
    <w:name w:val="footnote text"/>
    <w:basedOn w:val="Normal"/>
    <w:link w:val="TextonotapieCar"/>
    <w:uiPriority w:val="99"/>
    <w:semiHidden/>
    <w:unhideWhenUsed/>
    <w:rsid w:val="00264AC2"/>
    <w:pPr>
      <w:spacing w:after="0" w:line="240" w:lineRule="auto"/>
    </w:pPr>
    <w:rPr>
      <w:szCs w:val="20"/>
    </w:rPr>
  </w:style>
  <w:style w:type="character" w:customStyle="1" w:styleId="TextonotapieCar">
    <w:name w:val="Texto nota pie Car"/>
    <w:basedOn w:val="Fuentedeprrafopredeter"/>
    <w:link w:val="Textonotapie"/>
    <w:uiPriority w:val="99"/>
    <w:semiHidden/>
    <w:rsid w:val="00264AC2"/>
    <w:rPr>
      <w:rFonts w:ascii="Roboto" w:hAnsi="Roboto"/>
      <w:color w:val="140232"/>
      <w:sz w:val="20"/>
      <w:szCs w:val="20"/>
    </w:rPr>
  </w:style>
  <w:style w:type="character" w:styleId="Refdenotaalpie">
    <w:name w:val="footnote reference"/>
    <w:basedOn w:val="Fuentedeprrafopredeter"/>
    <w:uiPriority w:val="99"/>
    <w:semiHidden/>
    <w:unhideWhenUsed/>
    <w:rsid w:val="00264AC2"/>
    <w:rPr>
      <w:vertAlign w:val="superscript"/>
    </w:rPr>
  </w:style>
  <w:style w:type="character" w:styleId="Refdecomentario">
    <w:name w:val="annotation reference"/>
    <w:basedOn w:val="Fuentedeprrafopredeter"/>
    <w:uiPriority w:val="99"/>
    <w:semiHidden/>
    <w:unhideWhenUsed/>
    <w:rsid w:val="00D80360"/>
    <w:rPr>
      <w:sz w:val="16"/>
      <w:szCs w:val="16"/>
    </w:rPr>
  </w:style>
  <w:style w:type="paragraph" w:styleId="Textocomentario">
    <w:name w:val="annotation text"/>
    <w:basedOn w:val="Normal"/>
    <w:link w:val="TextocomentarioCar"/>
    <w:uiPriority w:val="99"/>
    <w:unhideWhenUsed/>
    <w:rsid w:val="00D80360"/>
    <w:pPr>
      <w:spacing w:line="240" w:lineRule="auto"/>
    </w:pPr>
    <w:rPr>
      <w:szCs w:val="20"/>
    </w:rPr>
  </w:style>
  <w:style w:type="character" w:customStyle="1" w:styleId="TextocomentarioCar">
    <w:name w:val="Texto comentario Car"/>
    <w:basedOn w:val="Fuentedeprrafopredeter"/>
    <w:link w:val="Textocomentario"/>
    <w:uiPriority w:val="99"/>
    <w:rsid w:val="00D80360"/>
    <w:rPr>
      <w:rFonts w:ascii="Roboto" w:hAnsi="Roboto"/>
      <w:color w:val="140232"/>
      <w:sz w:val="20"/>
      <w:szCs w:val="20"/>
    </w:rPr>
  </w:style>
  <w:style w:type="paragraph" w:styleId="Asuntodelcomentario">
    <w:name w:val="annotation subject"/>
    <w:basedOn w:val="Textocomentario"/>
    <w:next w:val="Textocomentario"/>
    <w:link w:val="AsuntodelcomentarioCar"/>
    <w:uiPriority w:val="99"/>
    <w:semiHidden/>
    <w:unhideWhenUsed/>
    <w:rsid w:val="00D80360"/>
    <w:rPr>
      <w:b/>
      <w:bCs/>
    </w:rPr>
  </w:style>
  <w:style w:type="character" w:customStyle="1" w:styleId="AsuntodelcomentarioCar">
    <w:name w:val="Asunto del comentario Car"/>
    <w:basedOn w:val="TextocomentarioCar"/>
    <w:link w:val="Asuntodelcomentario"/>
    <w:uiPriority w:val="99"/>
    <w:semiHidden/>
    <w:rsid w:val="00D80360"/>
    <w:rPr>
      <w:rFonts w:ascii="Roboto" w:hAnsi="Roboto"/>
      <w:b/>
      <w:bCs/>
      <w:color w:val="140232"/>
      <w:sz w:val="20"/>
      <w:szCs w:val="20"/>
    </w:rPr>
  </w:style>
  <w:style w:type="paragraph" w:customStyle="1" w:styleId="Default">
    <w:name w:val="Default"/>
    <w:rsid w:val="00727565"/>
    <w:pPr>
      <w:autoSpaceDE w:val="0"/>
      <w:autoSpaceDN w:val="0"/>
      <w:adjustRightInd w:val="0"/>
      <w:spacing w:after="0" w:line="240" w:lineRule="auto"/>
    </w:pPr>
    <w:rPr>
      <w:rFonts w:ascii="Roboto" w:hAnsi="Roboto" w:cs="Roboto"/>
      <w:color w:val="000000"/>
      <w:sz w:val="24"/>
      <w:szCs w:val="24"/>
    </w:rPr>
  </w:style>
  <w:style w:type="paragraph" w:customStyle="1" w:styleId="Normal0">
    <w:name w:val="Normal_0"/>
    <w:qFormat/>
    <w:rsid w:val="002A7BD1"/>
    <w:pPr>
      <w:spacing w:after="120" w:line="240" w:lineRule="auto"/>
      <w:ind w:firstLine="720"/>
    </w:pPr>
    <w:rPr>
      <w:rFonts w:ascii="Times New Roman" w:eastAsia="MS Mincho" w:hAnsi="Times New Roman" w:cs="Times New Roman"/>
      <w:sz w:val="20"/>
      <w:szCs w:val="24"/>
      <w:lang w:val="en-US" w:eastAsia="zh-CN"/>
    </w:rPr>
  </w:style>
  <w:style w:type="character" w:customStyle="1" w:styleId="Ttulo3Car">
    <w:name w:val="Título 3 Car"/>
    <w:basedOn w:val="Fuentedeprrafopredeter"/>
    <w:link w:val="Ttulo3"/>
    <w:uiPriority w:val="9"/>
    <w:semiHidden/>
    <w:rsid w:val="002A7BD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7419">
      <w:bodyDiv w:val="1"/>
      <w:marLeft w:val="0"/>
      <w:marRight w:val="0"/>
      <w:marTop w:val="0"/>
      <w:marBottom w:val="0"/>
      <w:divBdr>
        <w:top w:val="none" w:sz="0" w:space="0" w:color="auto"/>
        <w:left w:val="none" w:sz="0" w:space="0" w:color="auto"/>
        <w:bottom w:val="none" w:sz="0" w:space="0" w:color="auto"/>
        <w:right w:val="none" w:sz="0" w:space="0" w:color="auto"/>
      </w:divBdr>
    </w:div>
    <w:div w:id="34087033">
      <w:bodyDiv w:val="1"/>
      <w:marLeft w:val="0"/>
      <w:marRight w:val="0"/>
      <w:marTop w:val="0"/>
      <w:marBottom w:val="0"/>
      <w:divBdr>
        <w:top w:val="none" w:sz="0" w:space="0" w:color="auto"/>
        <w:left w:val="none" w:sz="0" w:space="0" w:color="auto"/>
        <w:bottom w:val="none" w:sz="0" w:space="0" w:color="auto"/>
        <w:right w:val="none" w:sz="0" w:space="0" w:color="auto"/>
      </w:divBdr>
    </w:div>
    <w:div w:id="152720969">
      <w:bodyDiv w:val="1"/>
      <w:marLeft w:val="0"/>
      <w:marRight w:val="0"/>
      <w:marTop w:val="0"/>
      <w:marBottom w:val="0"/>
      <w:divBdr>
        <w:top w:val="none" w:sz="0" w:space="0" w:color="auto"/>
        <w:left w:val="none" w:sz="0" w:space="0" w:color="auto"/>
        <w:bottom w:val="none" w:sz="0" w:space="0" w:color="auto"/>
        <w:right w:val="none" w:sz="0" w:space="0" w:color="auto"/>
      </w:divBdr>
    </w:div>
    <w:div w:id="162279507">
      <w:bodyDiv w:val="1"/>
      <w:marLeft w:val="0"/>
      <w:marRight w:val="0"/>
      <w:marTop w:val="0"/>
      <w:marBottom w:val="0"/>
      <w:divBdr>
        <w:top w:val="none" w:sz="0" w:space="0" w:color="auto"/>
        <w:left w:val="none" w:sz="0" w:space="0" w:color="auto"/>
        <w:bottom w:val="none" w:sz="0" w:space="0" w:color="auto"/>
        <w:right w:val="none" w:sz="0" w:space="0" w:color="auto"/>
      </w:divBdr>
      <w:divsChild>
        <w:div w:id="1662196318">
          <w:marLeft w:val="0"/>
          <w:marRight w:val="0"/>
          <w:marTop w:val="0"/>
          <w:marBottom w:val="0"/>
          <w:divBdr>
            <w:top w:val="none" w:sz="0" w:space="0" w:color="auto"/>
            <w:left w:val="none" w:sz="0" w:space="0" w:color="auto"/>
            <w:bottom w:val="none" w:sz="0" w:space="0" w:color="auto"/>
            <w:right w:val="none" w:sz="0" w:space="0" w:color="auto"/>
          </w:divBdr>
        </w:div>
      </w:divsChild>
    </w:div>
    <w:div w:id="218055765">
      <w:bodyDiv w:val="1"/>
      <w:marLeft w:val="0"/>
      <w:marRight w:val="0"/>
      <w:marTop w:val="0"/>
      <w:marBottom w:val="0"/>
      <w:divBdr>
        <w:top w:val="none" w:sz="0" w:space="0" w:color="auto"/>
        <w:left w:val="none" w:sz="0" w:space="0" w:color="auto"/>
        <w:bottom w:val="none" w:sz="0" w:space="0" w:color="auto"/>
        <w:right w:val="none" w:sz="0" w:space="0" w:color="auto"/>
      </w:divBdr>
    </w:div>
    <w:div w:id="223873130">
      <w:bodyDiv w:val="1"/>
      <w:marLeft w:val="0"/>
      <w:marRight w:val="0"/>
      <w:marTop w:val="0"/>
      <w:marBottom w:val="0"/>
      <w:divBdr>
        <w:top w:val="none" w:sz="0" w:space="0" w:color="auto"/>
        <w:left w:val="none" w:sz="0" w:space="0" w:color="auto"/>
        <w:bottom w:val="none" w:sz="0" w:space="0" w:color="auto"/>
        <w:right w:val="none" w:sz="0" w:space="0" w:color="auto"/>
      </w:divBdr>
    </w:div>
    <w:div w:id="256789500">
      <w:bodyDiv w:val="1"/>
      <w:marLeft w:val="0"/>
      <w:marRight w:val="0"/>
      <w:marTop w:val="0"/>
      <w:marBottom w:val="0"/>
      <w:divBdr>
        <w:top w:val="none" w:sz="0" w:space="0" w:color="auto"/>
        <w:left w:val="none" w:sz="0" w:space="0" w:color="auto"/>
        <w:bottom w:val="none" w:sz="0" w:space="0" w:color="auto"/>
        <w:right w:val="none" w:sz="0" w:space="0" w:color="auto"/>
      </w:divBdr>
    </w:div>
    <w:div w:id="280386079">
      <w:bodyDiv w:val="1"/>
      <w:marLeft w:val="0"/>
      <w:marRight w:val="0"/>
      <w:marTop w:val="0"/>
      <w:marBottom w:val="0"/>
      <w:divBdr>
        <w:top w:val="none" w:sz="0" w:space="0" w:color="auto"/>
        <w:left w:val="none" w:sz="0" w:space="0" w:color="auto"/>
        <w:bottom w:val="none" w:sz="0" w:space="0" w:color="auto"/>
        <w:right w:val="none" w:sz="0" w:space="0" w:color="auto"/>
      </w:divBdr>
    </w:div>
    <w:div w:id="286159479">
      <w:bodyDiv w:val="1"/>
      <w:marLeft w:val="0"/>
      <w:marRight w:val="0"/>
      <w:marTop w:val="0"/>
      <w:marBottom w:val="0"/>
      <w:divBdr>
        <w:top w:val="none" w:sz="0" w:space="0" w:color="auto"/>
        <w:left w:val="none" w:sz="0" w:space="0" w:color="auto"/>
        <w:bottom w:val="none" w:sz="0" w:space="0" w:color="auto"/>
        <w:right w:val="none" w:sz="0" w:space="0" w:color="auto"/>
      </w:divBdr>
    </w:div>
    <w:div w:id="288829564">
      <w:bodyDiv w:val="1"/>
      <w:marLeft w:val="0"/>
      <w:marRight w:val="0"/>
      <w:marTop w:val="0"/>
      <w:marBottom w:val="0"/>
      <w:divBdr>
        <w:top w:val="none" w:sz="0" w:space="0" w:color="auto"/>
        <w:left w:val="none" w:sz="0" w:space="0" w:color="auto"/>
        <w:bottom w:val="none" w:sz="0" w:space="0" w:color="auto"/>
        <w:right w:val="none" w:sz="0" w:space="0" w:color="auto"/>
      </w:divBdr>
    </w:div>
    <w:div w:id="317196652">
      <w:bodyDiv w:val="1"/>
      <w:marLeft w:val="0"/>
      <w:marRight w:val="0"/>
      <w:marTop w:val="0"/>
      <w:marBottom w:val="0"/>
      <w:divBdr>
        <w:top w:val="none" w:sz="0" w:space="0" w:color="auto"/>
        <w:left w:val="none" w:sz="0" w:space="0" w:color="auto"/>
        <w:bottom w:val="none" w:sz="0" w:space="0" w:color="auto"/>
        <w:right w:val="none" w:sz="0" w:space="0" w:color="auto"/>
      </w:divBdr>
    </w:div>
    <w:div w:id="318507119">
      <w:bodyDiv w:val="1"/>
      <w:marLeft w:val="0"/>
      <w:marRight w:val="0"/>
      <w:marTop w:val="0"/>
      <w:marBottom w:val="0"/>
      <w:divBdr>
        <w:top w:val="none" w:sz="0" w:space="0" w:color="auto"/>
        <w:left w:val="none" w:sz="0" w:space="0" w:color="auto"/>
        <w:bottom w:val="none" w:sz="0" w:space="0" w:color="auto"/>
        <w:right w:val="none" w:sz="0" w:space="0" w:color="auto"/>
      </w:divBdr>
    </w:div>
    <w:div w:id="386337938">
      <w:bodyDiv w:val="1"/>
      <w:marLeft w:val="0"/>
      <w:marRight w:val="0"/>
      <w:marTop w:val="0"/>
      <w:marBottom w:val="0"/>
      <w:divBdr>
        <w:top w:val="none" w:sz="0" w:space="0" w:color="auto"/>
        <w:left w:val="none" w:sz="0" w:space="0" w:color="auto"/>
        <w:bottom w:val="none" w:sz="0" w:space="0" w:color="auto"/>
        <w:right w:val="none" w:sz="0" w:space="0" w:color="auto"/>
      </w:divBdr>
    </w:div>
    <w:div w:id="403576821">
      <w:bodyDiv w:val="1"/>
      <w:marLeft w:val="0"/>
      <w:marRight w:val="0"/>
      <w:marTop w:val="0"/>
      <w:marBottom w:val="0"/>
      <w:divBdr>
        <w:top w:val="none" w:sz="0" w:space="0" w:color="auto"/>
        <w:left w:val="none" w:sz="0" w:space="0" w:color="auto"/>
        <w:bottom w:val="none" w:sz="0" w:space="0" w:color="auto"/>
        <w:right w:val="none" w:sz="0" w:space="0" w:color="auto"/>
      </w:divBdr>
    </w:div>
    <w:div w:id="414671391">
      <w:bodyDiv w:val="1"/>
      <w:marLeft w:val="0"/>
      <w:marRight w:val="0"/>
      <w:marTop w:val="0"/>
      <w:marBottom w:val="0"/>
      <w:divBdr>
        <w:top w:val="none" w:sz="0" w:space="0" w:color="auto"/>
        <w:left w:val="none" w:sz="0" w:space="0" w:color="auto"/>
        <w:bottom w:val="none" w:sz="0" w:space="0" w:color="auto"/>
        <w:right w:val="none" w:sz="0" w:space="0" w:color="auto"/>
      </w:divBdr>
    </w:div>
    <w:div w:id="500320526">
      <w:bodyDiv w:val="1"/>
      <w:marLeft w:val="0"/>
      <w:marRight w:val="0"/>
      <w:marTop w:val="0"/>
      <w:marBottom w:val="0"/>
      <w:divBdr>
        <w:top w:val="none" w:sz="0" w:space="0" w:color="auto"/>
        <w:left w:val="none" w:sz="0" w:space="0" w:color="auto"/>
        <w:bottom w:val="none" w:sz="0" w:space="0" w:color="auto"/>
        <w:right w:val="none" w:sz="0" w:space="0" w:color="auto"/>
      </w:divBdr>
    </w:div>
    <w:div w:id="507018668">
      <w:bodyDiv w:val="1"/>
      <w:marLeft w:val="0"/>
      <w:marRight w:val="0"/>
      <w:marTop w:val="0"/>
      <w:marBottom w:val="0"/>
      <w:divBdr>
        <w:top w:val="none" w:sz="0" w:space="0" w:color="auto"/>
        <w:left w:val="none" w:sz="0" w:space="0" w:color="auto"/>
        <w:bottom w:val="none" w:sz="0" w:space="0" w:color="auto"/>
        <w:right w:val="none" w:sz="0" w:space="0" w:color="auto"/>
      </w:divBdr>
    </w:div>
    <w:div w:id="626350632">
      <w:bodyDiv w:val="1"/>
      <w:marLeft w:val="0"/>
      <w:marRight w:val="0"/>
      <w:marTop w:val="0"/>
      <w:marBottom w:val="0"/>
      <w:divBdr>
        <w:top w:val="none" w:sz="0" w:space="0" w:color="auto"/>
        <w:left w:val="none" w:sz="0" w:space="0" w:color="auto"/>
        <w:bottom w:val="none" w:sz="0" w:space="0" w:color="auto"/>
        <w:right w:val="none" w:sz="0" w:space="0" w:color="auto"/>
      </w:divBdr>
    </w:div>
    <w:div w:id="639262313">
      <w:bodyDiv w:val="1"/>
      <w:marLeft w:val="0"/>
      <w:marRight w:val="0"/>
      <w:marTop w:val="0"/>
      <w:marBottom w:val="0"/>
      <w:divBdr>
        <w:top w:val="none" w:sz="0" w:space="0" w:color="auto"/>
        <w:left w:val="none" w:sz="0" w:space="0" w:color="auto"/>
        <w:bottom w:val="none" w:sz="0" w:space="0" w:color="auto"/>
        <w:right w:val="none" w:sz="0" w:space="0" w:color="auto"/>
      </w:divBdr>
    </w:div>
    <w:div w:id="646086619">
      <w:bodyDiv w:val="1"/>
      <w:marLeft w:val="0"/>
      <w:marRight w:val="0"/>
      <w:marTop w:val="0"/>
      <w:marBottom w:val="0"/>
      <w:divBdr>
        <w:top w:val="none" w:sz="0" w:space="0" w:color="auto"/>
        <w:left w:val="none" w:sz="0" w:space="0" w:color="auto"/>
        <w:bottom w:val="none" w:sz="0" w:space="0" w:color="auto"/>
        <w:right w:val="none" w:sz="0" w:space="0" w:color="auto"/>
      </w:divBdr>
    </w:div>
    <w:div w:id="659964660">
      <w:bodyDiv w:val="1"/>
      <w:marLeft w:val="0"/>
      <w:marRight w:val="0"/>
      <w:marTop w:val="0"/>
      <w:marBottom w:val="0"/>
      <w:divBdr>
        <w:top w:val="none" w:sz="0" w:space="0" w:color="auto"/>
        <w:left w:val="none" w:sz="0" w:space="0" w:color="auto"/>
        <w:bottom w:val="none" w:sz="0" w:space="0" w:color="auto"/>
        <w:right w:val="none" w:sz="0" w:space="0" w:color="auto"/>
      </w:divBdr>
    </w:div>
    <w:div w:id="713776822">
      <w:bodyDiv w:val="1"/>
      <w:marLeft w:val="0"/>
      <w:marRight w:val="0"/>
      <w:marTop w:val="0"/>
      <w:marBottom w:val="0"/>
      <w:divBdr>
        <w:top w:val="none" w:sz="0" w:space="0" w:color="auto"/>
        <w:left w:val="none" w:sz="0" w:space="0" w:color="auto"/>
        <w:bottom w:val="none" w:sz="0" w:space="0" w:color="auto"/>
        <w:right w:val="none" w:sz="0" w:space="0" w:color="auto"/>
      </w:divBdr>
    </w:div>
    <w:div w:id="719401470">
      <w:bodyDiv w:val="1"/>
      <w:marLeft w:val="0"/>
      <w:marRight w:val="0"/>
      <w:marTop w:val="0"/>
      <w:marBottom w:val="0"/>
      <w:divBdr>
        <w:top w:val="none" w:sz="0" w:space="0" w:color="auto"/>
        <w:left w:val="none" w:sz="0" w:space="0" w:color="auto"/>
        <w:bottom w:val="none" w:sz="0" w:space="0" w:color="auto"/>
        <w:right w:val="none" w:sz="0" w:space="0" w:color="auto"/>
      </w:divBdr>
    </w:div>
    <w:div w:id="746995940">
      <w:bodyDiv w:val="1"/>
      <w:marLeft w:val="0"/>
      <w:marRight w:val="0"/>
      <w:marTop w:val="0"/>
      <w:marBottom w:val="0"/>
      <w:divBdr>
        <w:top w:val="none" w:sz="0" w:space="0" w:color="auto"/>
        <w:left w:val="none" w:sz="0" w:space="0" w:color="auto"/>
        <w:bottom w:val="none" w:sz="0" w:space="0" w:color="auto"/>
        <w:right w:val="none" w:sz="0" w:space="0" w:color="auto"/>
      </w:divBdr>
    </w:div>
    <w:div w:id="769395570">
      <w:bodyDiv w:val="1"/>
      <w:marLeft w:val="0"/>
      <w:marRight w:val="0"/>
      <w:marTop w:val="0"/>
      <w:marBottom w:val="0"/>
      <w:divBdr>
        <w:top w:val="none" w:sz="0" w:space="0" w:color="auto"/>
        <w:left w:val="none" w:sz="0" w:space="0" w:color="auto"/>
        <w:bottom w:val="none" w:sz="0" w:space="0" w:color="auto"/>
        <w:right w:val="none" w:sz="0" w:space="0" w:color="auto"/>
      </w:divBdr>
    </w:div>
    <w:div w:id="793447315">
      <w:bodyDiv w:val="1"/>
      <w:marLeft w:val="0"/>
      <w:marRight w:val="0"/>
      <w:marTop w:val="0"/>
      <w:marBottom w:val="0"/>
      <w:divBdr>
        <w:top w:val="none" w:sz="0" w:space="0" w:color="auto"/>
        <w:left w:val="none" w:sz="0" w:space="0" w:color="auto"/>
        <w:bottom w:val="none" w:sz="0" w:space="0" w:color="auto"/>
        <w:right w:val="none" w:sz="0" w:space="0" w:color="auto"/>
      </w:divBdr>
    </w:div>
    <w:div w:id="868448126">
      <w:bodyDiv w:val="1"/>
      <w:marLeft w:val="0"/>
      <w:marRight w:val="0"/>
      <w:marTop w:val="0"/>
      <w:marBottom w:val="0"/>
      <w:divBdr>
        <w:top w:val="none" w:sz="0" w:space="0" w:color="auto"/>
        <w:left w:val="none" w:sz="0" w:space="0" w:color="auto"/>
        <w:bottom w:val="none" w:sz="0" w:space="0" w:color="auto"/>
        <w:right w:val="none" w:sz="0" w:space="0" w:color="auto"/>
      </w:divBdr>
      <w:divsChild>
        <w:div w:id="1702633138">
          <w:marLeft w:val="0"/>
          <w:marRight w:val="0"/>
          <w:marTop w:val="0"/>
          <w:marBottom w:val="0"/>
          <w:divBdr>
            <w:top w:val="none" w:sz="0" w:space="0" w:color="auto"/>
            <w:left w:val="none" w:sz="0" w:space="0" w:color="auto"/>
            <w:bottom w:val="none" w:sz="0" w:space="0" w:color="auto"/>
            <w:right w:val="none" w:sz="0" w:space="0" w:color="auto"/>
          </w:divBdr>
          <w:divsChild>
            <w:div w:id="1945918730">
              <w:marLeft w:val="0"/>
              <w:marRight w:val="0"/>
              <w:marTop w:val="0"/>
              <w:marBottom w:val="0"/>
              <w:divBdr>
                <w:top w:val="none" w:sz="0" w:space="0" w:color="auto"/>
                <w:left w:val="none" w:sz="0" w:space="0" w:color="auto"/>
                <w:bottom w:val="none" w:sz="0" w:space="0" w:color="auto"/>
                <w:right w:val="none" w:sz="0" w:space="0" w:color="auto"/>
              </w:divBdr>
              <w:divsChild>
                <w:div w:id="1945453772">
                  <w:marLeft w:val="0"/>
                  <w:marRight w:val="0"/>
                  <w:marTop w:val="0"/>
                  <w:marBottom w:val="0"/>
                  <w:divBdr>
                    <w:top w:val="none" w:sz="0" w:space="0" w:color="auto"/>
                    <w:left w:val="none" w:sz="0" w:space="0" w:color="auto"/>
                    <w:bottom w:val="none" w:sz="0" w:space="0" w:color="auto"/>
                    <w:right w:val="none" w:sz="0" w:space="0" w:color="auto"/>
                  </w:divBdr>
                  <w:divsChild>
                    <w:div w:id="311713955">
                      <w:marLeft w:val="0"/>
                      <w:marRight w:val="0"/>
                      <w:marTop w:val="0"/>
                      <w:marBottom w:val="0"/>
                      <w:divBdr>
                        <w:top w:val="none" w:sz="0" w:space="0" w:color="auto"/>
                        <w:left w:val="none" w:sz="0" w:space="0" w:color="auto"/>
                        <w:bottom w:val="none" w:sz="0" w:space="0" w:color="auto"/>
                        <w:right w:val="none" w:sz="0" w:space="0" w:color="auto"/>
                      </w:divBdr>
                      <w:divsChild>
                        <w:div w:id="2085833383">
                          <w:marLeft w:val="0"/>
                          <w:marRight w:val="0"/>
                          <w:marTop w:val="0"/>
                          <w:marBottom w:val="0"/>
                          <w:divBdr>
                            <w:top w:val="none" w:sz="0" w:space="0" w:color="auto"/>
                            <w:left w:val="none" w:sz="0" w:space="0" w:color="auto"/>
                            <w:bottom w:val="none" w:sz="0" w:space="0" w:color="auto"/>
                            <w:right w:val="none" w:sz="0" w:space="0" w:color="auto"/>
                          </w:divBdr>
                          <w:divsChild>
                            <w:div w:id="183379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911531">
      <w:bodyDiv w:val="1"/>
      <w:marLeft w:val="0"/>
      <w:marRight w:val="0"/>
      <w:marTop w:val="0"/>
      <w:marBottom w:val="0"/>
      <w:divBdr>
        <w:top w:val="none" w:sz="0" w:space="0" w:color="auto"/>
        <w:left w:val="none" w:sz="0" w:space="0" w:color="auto"/>
        <w:bottom w:val="none" w:sz="0" w:space="0" w:color="auto"/>
        <w:right w:val="none" w:sz="0" w:space="0" w:color="auto"/>
      </w:divBdr>
    </w:div>
    <w:div w:id="891429913">
      <w:bodyDiv w:val="1"/>
      <w:marLeft w:val="0"/>
      <w:marRight w:val="0"/>
      <w:marTop w:val="0"/>
      <w:marBottom w:val="0"/>
      <w:divBdr>
        <w:top w:val="none" w:sz="0" w:space="0" w:color="auto"/>
        <w:left w:val="none" w:sz="0" w:space="0" w:color="auto"/>
        <w:bottom w:val="none" w:sz="0" w:space="0" w:color="auto"/>
        <w:right w:val="none" w:sz="0" w:space="0" w:color="auto"/>
      </w:divBdr>
    </w:div>
    <w:div w:id="901913311">
      <w:bodyDiv w:val="1"/>
      <w:marLeft w:val="0"/>
      <w:marRight w:val="0"/>
      <w:marTop w:val="0"/>
      <w:marBottom w:val="0"/>
      <w:divBdr>
        <w:top w:val="none" w:sz="0" w:space="0" w:color="auto"/>
        <w:left w:val="none" w:sz="0" w:space="0" w:color="auto"/>
        <w:bottom w:val="none" w:sz="0" w:space="0" w:color="auto"/>
        <w:right w:val="none" w:sz="0" w:space="0" w:color="auto"/>
      </w:divBdr>
    </w:div>
    <w:div w:id="907496781">
      <w:bodyDiv w:val="1"/>
      <w:marLeft w:val="0"/>
      <w:marRight w:val="0"/>
      <w:marTop w:val="0"/>
      <w:marBottom w:val="0"/>
      <w:divBdr>
        <w:top w:val="none" w:sz="0" w:space="0" w:color="auto"/>
        <w:left w:val="none" w:sz="0" w:space="0" w:color="auto"/>
        <w:bottom w:val="none" w:sz="0" w:space="0" w:color="auto"/>
        <w:right w:val="none" w:sz="0" w:space="0" w:color="auto"/>
      </w:divBdr>
    </w:div>
    <w:div w:id="908538049">
      <w:bodyDiv w:val="1"/>
      <w:marLeft w:val="0"/>
      <w:marRight w:val="0"/>
      <w:marTop w:val="0"/>
      <w:marBottom w:val="0"/>
      <w:divBdr>
        <w:top w:val="none" w:sz="0" w:space="0" w:color="auto"/>
        <w:left w:val="none" w:sz="0" w:space="0" w:color="auto"/>
        <w:bottom w:val="none" w:sz="0" w:space="0" w:color="auto"/>
        <w:right w:val="none" w:sz="0" w:space="0" w:color="auto"/>
      </w:divBdr>
    </w:div>
    <w:div w:id="951791675">
      <w:bodyDiv w:val="1"/>
      <w:marLeft w:val="0"/>
      <w:marRight w:val="0"/>
      <w:marTop w:val="0"/>
      <w:marBottom w:val="0"/>
      <w:divBdr>
        <w:top w:val="none" w:sz="0" w:space="0" w:color="auto"/>
        <w:left w:val="none" w:sz="0" w:space="0" w:color="auto"/>
        <w:bottom w:val="none" w:sz="0" w:space="0" w:color="auto"/>
        <w:right w:val="none" w:sz="0" w:space="0" w:color="auto"/>
      </w:divBdr>
    </w:div>
    <w:div w:id="973944907">
      <w:bodyDiv w:val="1"/>
      <w:marLeft w:val="0"/>
      <w:marRight w:val="0"/>
      <w:marTop w:val="0"/>
      <w:marBottom w:val="0"/>
      <w:divBdr>
        <w:top w:val="none" w:sz="0" w:space="0" w:color="auto"/>
        <w:left w:val="none" w:sz="0" w:space="0" w:color="auto"/>
        <w:bottom w:val="none" w:sz="0" w:space="0" w:color="auto"/>
        <w:right w:val="none" w:sz="0" w:space="0" w:color="auto"/>
      </w:divBdr>
    </w:div>
    <w:div w:id="1035697475">
      <w:bodyDiv w:val="1"/>
      <w:marLeft w:val="0"/>
      <w:marRight w:val="0"/>
      <w:marTop w:val="0"/>
      <w:marBottom w:val="0"/>
      <w:divBdr>
        <w:top w:val="none" w:sz="0" w:space="0" w:color="auto"/>
        <w:left w:val="none" w:sz="0" w:space="0" w:color="auto"/>
        <w:bottom w:val="none" w:sz="0" w:space="0" w:color="auto"/>
        <w:right w:val="none" w:sz="0" w:space="0" w:color="auto"/>
      </w:divBdr>
    </w:div>
    <w:div w:id="1050152949">
      <w:bodyDiv w:val="1"/>
      <w:marLeft w:val="0"/>
      <w:marRight w:val="0"/>
      <w:marTop w:val="0"/>
      <w:marBottom w:val="0"/>
      <w:divBdr>
        <w:top w:val="none" w:sz="0" w:space="0" w:color="auto"/>
        <w:left w:val="none" w:sz="0" w:space="0" w:color="auto"/>
        <w:bottom w:val="none" w:sz="0" w:space="0" w:color="auto"/>
        <w:right w:val="none" w:sz="0" w:space="0" w:color="auto"/>
      </w:divBdr>
    </w:div>
    <w:div w:id="1055617863">
      <w:bodyDiv w:val="1"/>
      <w:marLeft w:val="0"/>
      <w:marRight w:val="0"/>
      <w:marTop w:val="0"/>
      <w:marBottom w:val="0"/>
      <w:divBdr>
        <w:top w:val="none" w:sz="0" w:space="0" w:color="auto"/>
        <w:left w:val="none" w:sz="0" w:space="0" w:color="auto"/>
        <w:bottom w:val="none" w:sz="0" w:space="0" w:color="auto"/>
        <w:right w:val="none" w:sz="0" w:space="0" w:color="auto"/>
      </w:divBdr>
    </w:div>
    <w:div w:id="1069228345">
      <w:bodyDiv w:val="1"/>
      <w:marLeft w:val="0"/>
      <w:marRight w:val="0"/>
      <w:marTop w:val="0"/>
      <w:marBottom w:val="0"/>
      <w:divBdr>
        <w:top w:val="none" w:sz="0" w:space="0" w:color="auto"/>
        <w:left w:val="none" w:sz="0" w:space="0" w:color="auto"/>
        <w:bottom w:val="none" w:sz="0" w:space="0" w:color="auto"/>
        <w:right w:val="none" w:sz="0" w:space="0" w:color="auto"/>
      </w:divBdr>
    </w:div>
    <w:div w:id="1076125073">
      <w:bodyDiv w:val="1"/>
      <w:marLeft w:val="0"/>
      <w:marRight w:val="0"/>
      <w:marTop w:val="0"/>
      <w:marBottom w:val="0"/>
      <w:divBdr>
        <w:top w:val="none" w:sz="0" w:space="0" w:color="auto"/>
        <w:left w:val="none" w:sz="0" w:space="0" w:color="auto"/>
        <w:bottom w:val="none" w:sz="0" w:space="0" w:color="auto"/>
        <w:right w:val="none" w:sz="0" w:space="0" w:color="auto"/>
      </w:divBdr>
    </w:div>
    <w:div w:id="1099328255">
      <w:bodyDiv w:val="1"/>
      <w:marLeft w:val="0"/>
      <w:marRight w:val="0"/>
      <w:marTop w:val="0"/>
      <w:marBottom w:val="0"/>
      <w:divBdr>
        <w:top w:val="none" w:sz="0" w:space="0" w:color="auto"/>
        <w:left w:val="none" w:sz="0" w:space="0" w:color="auto"/>
        <w:bottom w:val="none" w:sz="0" w:space="0" w:color="auto"/>
        <w:right w:val="none" w:sz="0" w:space="0" w:color="auto"/>
      </w:divBdr>
    </w:div>
    <w:div w:id="1140924123">
      <w:bodyDiv w:val="1"/>
      <w:marLeft w:val="0"/>
      <w:marRight w:val="0"/>
      <w:marTop w:val="0"/>
      <w:marBottom w:val="0"/>
      <w:divBdr>
        <w:top w:val="none" w:sz="0" w:space="0" w:color="auto"/>
        <w:left w:val="none" w:sz="0" w:space="0" w:color="auto"/>
        <w:bottom w:val="none" w:sz="0" w:space="0" w:color="auto"/>
        <w:right w:val="none" w:sz="0" w:space="0" w:color="auto"/>
      </w:divBdr>
    </w:div>
    <w:div w:id="1215195053">
      <w:bodyDiv w:val="1"/>
      <w:marLeft w:val="0"/>
      <w:marRight w:val="0"/>
      <w:marTop w:val="0"/>
      <w:marBottom w:val="0"/>
      <w:divBdr>
        <w:top w:val="none" w:sz="0" w:space="0" w:color="auto"/>
        <w:left w:val="none" w:sz="0" w:space="0" w:color="auto"/>
        <w:bottom w:val="none" w:sz="0" w:space="0" w:color="auto"/>
        <w:right w:val="none" w:sz="0" w:space="0" w:color="auto"/>
      </w:divBdr>
    </w:div>
    <w:div w:id="1217737526">
      <w:bodyDiv w:val="1"/>
      <w:marLeft w:val="0"/>
      <w:marRight w:val="0"/>
      <w:marTop w:val="0"/>
      <w:marBottom w:val="0"/>
      <w:divBdr>
        <w:top w:val="none" w:sz="0" w:space="0" w:color="auto"/>
        <w:left w:val="none" w:sz="0" w:space="0" w:color="auto"/>
        <w:bottom w:val="none" w:sz="0" w:space="0" w:color="auto"/>
        <w:right w:val="none" w:sz="0" w:space="0" w:color="auto"/>
      </w:divBdr>
    </w:div>
    <w:div w:id="1254433050">
      <w:bodyDiv w:val="1"/>
      <w:marLeft w:val="0"/>
      <w:marRight w:val="0"/>
      <w:marTop w:val="0"/>
      <w:marBottom w:val="0"/>
      <w:divBdr>
        <w:top w:val="none" w:sz="0" w:space="0" w:color="auto"/>
        <w:left w:val="none" w:sz="0" w:space="0" w:color="auto"/>
        <w:bottom w:val="none" w:sz="0" w:space="0" w:color="auto"/>
        <w:right w:val="none" w:sz="0" w:space="0" w:color="auto"/>
      </w:divBdr>
      <w:divsChild>
        <w:div w:id="2105418207">
          <w:marLeft w:val="0"/>
          <w:marRight w:val="0"/>
          <w:marTop w:val="0"/>
          <w:marBottom w:val="0"/>
          <w:divBdr>
            <w:top w:val="single" w:sz="2" w:space="0" w:color="D9D9E3"/>
            <w:left w:val="single" w:sz="2" w:space="0" w:color="D9D9E3"/>
            <w:bottom w:val="single" w:sz="2" w:space="0" w:color="D9D9E3"/>
            <w:right w:val="single" w:sz="2" w:space="0" w:color="D9D9E3"/>
          </w:divBdr>
          <w:divsChild>
            <w:div w:id="1274290518">
              <w:marLeft w:val="0"/>
              <w:marRight w:val="0"/>
              <w:marTop w:val="0"/>
              <w:marBottom w:val="0"/>
              <w:divBdr>
                <w:top w:val="single" w:sz="2" w:space="0" w:color="D9D9E3"/>
                <w:left w:val="single" w:sz="2" w:space="0" w:color="D9D9E3"/>
                <w:bottom w:val="single" w:sz="2" w:space="0" w:color="D9D9E3"/>
                <w:right w:val="single" w:sz="2" w:space="0" w:color="D9D9E3"/>
              </w:divBdr>
              <w:divsChild>
                <w:div w:id="452754052">
                  <w:marLeft w:val="0"/>
                  <w:marRight w:val="0"/>
                  <w:marTop w:val="0"/>
                  <w:marBottom w:val="0"/>
                  <w:divBdr>
                    <w:top w:val="single" w:sz="2" w:space="0" w:color="D9D9E3"/>
                    <w:left w:val="single" w:sz="2" w:space="0" w:color="D9D9E3"/>
                    <w:bottom w:val="single" w:sz="2" w:space="0" w:color="D9D9E3"/>
                    <w:right w:val="single" w:sz="2" w:space="0" w:color="D9D9E3"/>
                  </w:divBdr>
                  <w:divsChild>
                    <w:div w:id="900477703">
                      <w:marLeft w:val="0"/>
                      <w:marRight w:val="0"/>
                      <w:marTop w:val="0"/>
                      <w:marBottom w:val="0"/>
                      <w:divBdr>
                        <w:top w:val="single" w:sz="2" w:space="0" w:color="D9D9E3"/>
                        <w:left w:val="single" w:sz="2" w:space="0" w:color="D9D9E3"/>
                        <w:bottom w:val="single" w:sz="2" w:space="0" w:color="D9D9E3"/>
                        <w:right w:val="single" w:sz="2" w:space="0" w:color="D9D9E3"/>
                      </w:divBdr>
                      <w:divsChild>
                        <w:div w:id="912083527">
                          <w:marLeft w:val="0"/>
                          <w:marRight w:val="0"/>
                          <w:marTop w:val="0"/>
                          <w:marBottom w:val="0"/>
                          <w:divBdr>
                            <w:top w:val="single" w:sz="2" w:space="0" w:color="auto"/>
                            <w:left w:val="single" w:sz="2" w:space="0" w:color="auto"/>
                            <w:bottom w:val="single" w:sz="6" w:space="0" w:color="auto"/>
                            <w:right w:val="single" w:sz="2" w:space="0" w:color="auto"/>
                          </w:divBdr>
                          <w:divsChild>
                            <w:div w:id="534738483">
                              <w:marLeft w:val="0"/>
                              <w:marRight w:val="0"/>
                              <w:marTop w:val="100"/>
                              <w:marBottom w:val="100"/>
                              <w:divBdr>
                                <w:top w:val="single" w:sz="2" w:space="0" w:color="D9D9E3"/>
                                <w:left w:val="single" w:sz="2" w:space="0" w:color="D9D9E3"/>
                                <w:bottom w:val="single" w:sz="2" w:space="0" w:color="D9D9E3"/>
                                <w:right w:val="single" w:sz="2" w:space="0" w:color="D9D9E3"/>
                              </w:divBdr>
                              <w:divsChild>
                                <w:div w:id="1181309559">
                                  <w:marLeft w:val="0"/>
                                  <w:marRight w:val="0"/>
                                  <w:marTop w:val="0"/>
                                  <w:marBottom w:val="0"/>
                                  <w:divBdr>
                                    <w:top w:val="single" w:sz="2" w:space="0" w:color="D9D9E3"/>
                                    <w:left w:val="single" w:sz="2" w:space="0" w:color="D9D9E3"/>
                                    <w:bottom w:val="single" w:sz="2" w:space="0" w:color="D9D9E3"/>
                                    <w:right w:val="single" w:sz="2" w:space="0" w:color="D9D9E3"/>
                                  </w:divBdr>
                                  <w:divsChild>
                                    <w:div w:id="1006245891">
                                      <w:marLeft w:val="0"/>
                                      <w:marRight w:val="0"/>
                                      <w:marTop w:val="0"/>
                                      <w:marBottom w:val="0"/>
                                      <w:divBdr>
                                        <w:top w:val="single" w:sz="2" w:space="0" w:color="D9D9E3"/>
                                        <w:left w:val="single" w:sz="2" w:space="0" w:color="D9D9E3"/>
                                        <w:bottom w:val="single" w:sz="2" w:space="0" w:color="D9D9E3"/>
                                        <w:right w:val="single" w:sz="2" w:space="0" w:color="D9D9E3"/>
                                      </w:divBdr>
                                      <w:divsChild>
                                        <w:div w:id="1744251481">
                                          <w:marLeft w:val="0"/>
                                          <w:marRight w:val="0"/>
                                          <w:marTop w:val="0"/>
                                          <w:marBottom w:val="0"/>
                                          <w:divBdr>
                                            <w:top w:val="single" w:sz="2" w:space="0" w:color="D9D9E3"/>
                                            <w:left w:val="single" w:sz="2" w:space="0" w:color="D9D9E3"/>
                                            <w:bottom w:val="single" w:sz="2" w:space="0" w:color="D9D9E3"/>
                                            <w:right w:val="single" w:sz="2" w:space="0" w:color="D9D9E3"/>
                                          </w:divBdr>
                                          <w:divsChild>
                                            <w:div w:id="2057005773">
                                              <w:marLeft w:val="0"/>
                                              <w:marRight w:val="0"/>
                                              <w:marTop w:val="0"/>
                                              <w:marBottom w:val="0"/>
                                              <w:divBdr>
                                                <w:top w:val="single" w:sz="2" w:space="0" w:color="D9D9E3"/>
                                                <w:left w:val="single" w:sz="2" w:space="0" w:color="D9D9E3"/>
                                                <w:bottom w:val="single" w:sz="2" w:space="0" w:color="D9D9E3"/>
                                                <w:right w:val="single" w:sz="2" w:space="0" w:color="D9D9E3"/>
                                              </w:divBdr>
                                              <w:divsChild>
                                                <w:div w:id="1645743195">
                                                  <w:marLeft w:val="0"/>
                                                  <w:marRight w:val="0"/>
                                                  <w:marTop w:val="0"/>
                                                  <w:marBottom w:val="0"/>
                                                  <w:divBdr>
                                                    <w:top w:val="single" w:sz="2" w:space="0" w:color="D9D9E3"/>
                                                    <w:left w:val="single" w:sz="2" w:space="0" w:color="D9D9E3"/>
                                                    <w:bottom w:val="single" w:sz="2" w:space="0" w:color="D9D9E3"/>
                                                    <w:right w:val="single" w:sz="2" w:space="0" w:color="D9D9E3"/>
                                                  </w:divBdr>
                                                  <w:divsChild>
                                                    <w:div w:id="1900722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80998748">
          <w:marLeft w:val="0"/>
          <w:marRight w:val="0"/>
          <w:marTop w:val="0"/>
          <w:marBottom w:val="0"/>
          <w:divBdr>
            <w:top w:val="none" w:sz="0" w:space="0" w:color="auto"/>
            <w:left w:val="none" w:sz="0" w:space="0" w:color="auto"/>
            <w:bottom w:val="none" w:sz="0" w:space="0" w:color="auto"/>
            <w:right w:val="none" w:sz="0" w:space="0" w:color="auto"/>
          </w:divBdr>
        </w:div>
      </w:divsChild>
    </w:div>
    <w:div w:id="1270625982">
      <w:bodyDiv w:val="1"/>
      <w:marLeft w:val="0"/>
      <w:marRight w:val="0"/>
      <w:marTop w:val="0"/>
      <w:marBottom w:val="0"/>
      <w:divBdr>
        <w:top w:val="none" w:sz="0" w:space="0" w:color="auto"/>
        <w:left w:val="none" w:sz="0" w:space="0" w:color="auto"/>
        <w:bottom w:val="none" w:sz="0" w:space="0" w:color="auto"/>
        <w:right w:val="none" w:sz="0" w:space="0" w:color="auto"/>
      </w:divBdr>
      <w:divsChild>
        <w:div w:id="1569807522">
          <w:marLeft w:val="0"/>
          <w:marRight w:val="0"/>
          <w:marTop w:val="0"/>
          <w:marBottom w:val="0"/>
          <w:divBdr>
            <w:top w:val="none" w:sz="0" w:space="0" w:color="auto"/>
            <w:left w:val="none" w:sz="0" w:space="0" w:color="auto"/>
            <w:bottom w:val="none" w:sz="0" w:space="0" w:color="auto"/>
            <w:right w:val="none" w:sz="0" w:space="0" w:color="auto"/>
          </w:divBdr>
        </w:div>
      </w:divsChild>
    </w:div>
    <w:div w:id="1276136816">
      <w:bodyDiv w:val="1"/>
      <w:marLeft w:val="0"/>
      <w:marRight w:val="0"/>
      <w:marTop w:val="0"/>
      <w:marBottom w:val="0"/>
      <w:divBdr>
        <w:top w:val="none" w:sz="0" w:space="0" w:color="auto"/>
        <w:left w:val="none" w:sz="0" w:space="0" w:color="auto"/>
        <w:bottom w:val="none" w:sz="0" w:space="0" w:color="auto"/>
        <w:right w:val="none" w:sz="0" w:space="0" w:color="auto"/>
      </w:divBdr>
    </w:div>
    <w:div w:id="1312246572">
      <w:bodyDiv w:val="1"/>
      <w:marLeft w:val="0"/>
      <w:marRight w:val="0"/>
      <w:marTop w:val="0"/>
      <w:marBottom w:val="0"/>
      <w:divBdr>
        <w:top w:val="none" w:sz="0" w:space="0" w:color="auto"/>
        <w:left w:val="none" w:sz="0" w:space="0" w:color="auto"/>
        <w:bottom w:val="none" w:sz="0" w:space="0" w:color="auto"/>
        <w:right w:val="none" w:sz="0" w:space="0" w:color="auto"/>
      </w:divBdr>
    </w:div>
    <w:div w:id="1405033633">
      <w:bodyDiv w:val="1"/>
      <w:marLeft w:val="0"/>
      <w:marRight w:val="0"/>
      <w:marTop w:val="0"/>
      <w:marBottom w:val="0"/>
      <w:divBdr>
        <w:top w:val="none" w:sz="0" w:space="0" w:color="auto"/>
        <w:left w:val="none" w:sz="0" w:space="0" w:color="auto"/>
        <w:bottom w:val="none" w:sz="0" w:space="0" w:color="auto"/>
        <w:right w:val="none" w:sz="0" w:space="0" w:color="auto"/>
      </w:divBdr>
    </w:div>
    <w:div w:id="1410346880">
      <w:bodyDiv w:val="1"/>
      <w:marLeft w:val="0"/>
      <w:marRight w:val="0"/>
      <w:marTop w:val="0"/>
      <w:marBottom w:val="0"/>
      <w:divBdr>
        <w:top w:val="none" w:sz="0" w:space="0" w:color="auto"/>
        <w:left w:val="none" w:sz="0" w:space="0" w:color="auto"/>
        <w:bottom w:val="none" w:sz="0" w:space="0" w:color="auto"/>
        <w:right w:val="none" w:sz="0" w:space="0" w:color="auto"/>
      </w:divBdr>
    </w:div>
    <w:div w:id="1449936102">
      <w:bodyDiv w:val="1"/>
      <w:marLeft w:val="0"/>
      <w:marRight w:val="0"/>
      <w:marTop w:val="0"/>
      <w:marBottom w:val="0"/>
      <w:divBdr>
        <w:top w:val="none" w:sz="0" w:space="0" w:color="auto"/>
        <w:left w:val="none" w:sz="0" w:space="0" w:color="auto"/>
        <w:bottom w:val="none" w:sz="0" w:space="0" w:color="auto"/>
        <w:right w:val="none" w:sz="0" w:space="0" w:color="auto"/>
      </w:divBdr>
    </w:div>
    <w:div w:id="1493180769">
      <w:bodyDiv w:val="1"/>
      <w:marLeft w:val="0"/>
      <w:marRight w:val="0"/>
      <w:marTop w:val="0"/>
      <w:marBottom w:val="0"/>
      <w:divBdr>
        <w:top w:val="none" w:sz="0" w:space="0" w:color="auto"/>
        <w:left w:val="none" w:sz="0" w:space="0" w:color="auto"/>
        <w:bottom w:val="none" w:sz="0" w:space="0" w:color="auto"/>
        <w:right w:val="none" w:sz="0" w:space="0" w:color="auto"/>
      </w:divBdr>
    </w:div>
    <w:div w:id="1519848883">
      <w:bodyDiv w:val="1"/>
      <w:marLeft w:val="0"/>
      <w:marRight w:val="0"/>
      <w:marTop w:val="0"/>
      <w:marBottom w:val="0"/>
      <w:divBdr>
        <w:top w:val="none" w:sz="0" w:space="0" w:color="auto"/>
        <w:left w:val="none" w:sz="0" w:space="0" w:color="auto"/>
        <w:bottom w:val="none" w:sz="0" w:space="0" w:color="auto"/>
        <w:right w:val="none" w:sz="0" w:space="0" w:color="auto"/>
      </w:divBdr>
    </w:div>
    <w:div w:id="1522206889">
      <w:bodyDiv w:val="1"/>
      <w:marLeft w:val="0"/>
      <w:marRight w:val="0"/>
      <w:marTop w:val="0"/>
      <w:marBottom w:val="0"/>
      <w:divBdr>
        <w:top w:val="none" w:sz="0" w:space="0" w:color="auto"/>
        <w:left w:val="none" w:sz="0" w:space="0" w:color="auto"/>
        <w:bottom w:val="none" w:sz="0" w:space="0" w:color="auto"/>
        <w:right w:val="none" w:sz="0" w:space="0" w:color="auto"/>
      </w:divBdr>
    </w:div>
    <w:div w:id="1563786310">
      <w:bodyDiv w:val="1"/>
      <w:marLeft w:val="0"/>
      <w:marRight w:val="0"/>
      <w:marTop w:val="0"/>
      <w:marBottom w:val="0"/>
      <w:divBdr>
        <w:top w:val="none" w:sz="0" w:space="0" w:color="auto"/>
        <w:left w:val="none" w:sz="0" w:space="0" w:color="auto"/>
        <w:bottom w:val="none" w:sz="0" w:space="0" w:color="auto"/>
        <w:right w:val="none" w:sz="0" w:space="0" w:color="auto"/>
      </w:divBdr>
    </w:div>
    <w:div w:id="1570842699">
      <w:bodyDiv w:val="1"/>
      <w:marLeft w:val="0"/>
      <w:marRight w:val="0"/>
      <w:marTop w:val="0"/>
      <w:marBottom w:val="0"/>
      <w:divBdr>
        <w:top w:val="none" w:sz="0" w:space="0" w:color="auto"/>
        <w:left w:val="none" w:sz="0" w:space="0" w:color="auto"/>
        <w:bottom w:val="none" w:sz="0" w:space="0" w:color="auto"/>
        <w:right w:val="none" w:sz="0" w:space="0" w:color="auto"/>
      </w:divBdr>
    </w:div>
    <w:div w:id="1592200192">
      <w:bodyDiv w:val="1"/>
      <w:marLeft w:val="0"/>
      <w:marRight w:val="0"/>
      <w:marTop w:val="0"/>
      <w:marBottom w:val="0"/>
      <w:divBdr>
        <w:top w:val="none" w:sz="0" w:space="0" w:color="auto"/>
        <w:left w:val="none" w:sz="0" w:space="0" w:color="auto"/>
        <w:bottom w:val="none" w:sz="0" w:space="0" w:color="auto"/>
        <w:right w:val="none" w:sz="0" w:space="0" w:color="auto"/>
      </w:divBdr>
    </w:div>
    <w:div w:id="1600333592">
      <w:bodyDiv w:val="1"/>
      <w:marLeft w:val="0"/>
      <w:marRight w:val="0"/>
      <w:marTop w:val="0"/>
      <w:marBottom w:val="0"/>
      <w:divBdr>
        <w:top w:val="none" w:sz="0" w:space="0" w:color="auto"/>
        <w:left w:val="none" w:sz="0" w:space="0" w:color="auto"/>
        <w:bottom w:val="none" w:sz="0" w:space="0" w:color="auto"/>
        <w:right w:val="none" w:sz="0" w:space="0" w:color="auto"/>
      </w:divBdr>
    </w:div>
    <w:div w:id="1775520528">
      <w:bodyDiv w:val="1"/>
      <w:marLeft w:val="0"/>
      <w:marRight w:val="0"/>
      <w:marTop w:val="0"/>
      <w:marBottom w:val="0"/>
      <w:divBdr>
        <w:top w:val="none" w:sz="0" w:space="0" w:color="auto"/>
        <w:left w:val="none" w:sz="0" w:space="0" w:color="auto"/>
        <w:bottom w:val="none" w:sz="0" w:space="0" w:color="auto"/>
        <w:right w:val="none" w:sz="0" w:space="0" w:color="auto"/>
      </w:divBdr>
    </w:div>
    <w:div w:id="1778519886">
      <w:bodyDiv w:val="1"/>
      <w:marLeft w:val="0"/>
      <w:marRight w:val="0"/>
      <w:marTop w:val="0"/>
      <w:marBottom w:val="0"/>
      <w:divBdr>
        <w:top w:val="none" w:sz="0" w:space="0" w:color="auto"/>
        <w:left w:val="none" w:sz="0" w:space="0" w:color="auto"/>
        <w:bottom w:val="none" w:sz="0" w:space="0" w:color="auto"/>
        <w:right w:val="none" w:sz="0" w:space="0" w:color="auto"/>
      </w:divBdr>
    </w:div>
    <w:div w:id="1782917402">
      <w:bodyDiv w:val="1"/>
      <w:marLeft w:val="0"/>
      <w:marRight w:val="0"/>
      <w:marTop w:val="0"/>
      <w:marBottom w:val="0"/>
      <w:divBdr>
        <w:top w:val="none" w:sz="0" w:space="0" w:color="auto"/>
        <w:left w:val="none" w:sz="0" w:space="0" w:color="auto"/>
        <w:bottom w:val="none" w:sz="0" w:space="0" w:color="auto"/>
        <w:right w:val="none" w:sz="0" w:space="0" w:color="auto"/>
      </w:divBdr>
    </w:div>
    <w:div w:id="1821075258">
      <w:bodyDiv w:val="1"/>
      <w:marLeft w:val="0"/>
      <w:marRight w:val="0"/>
      <w:marTop w:val="0"/>
      <w:marBottom w:val="0"/>
      <w:divBdr>
        <w:top w:val="none" w:sz="0" w:space="0" w:color="auto"/>
        <w:left w:val="none" w:sz="0" w:space="0" w:color="auto"/>
        <w:bottom w:val="none" w:sz="0" w:space="0" w:color="auto"/>
        <w:right w:val="none" w:sz="0" w:space="0" w:color="auto"/>
      </w:divBdr>
    </w:div>
    <w:div w:id="1883320265">
      <w:bodyDiv w:val="1"/>
      <w:marLeft w:val="0"/>
      <w:marRight w:val="0"/>
      <w:marTop w:val="0"/>
      <w:marBottom w:val="0"/>
      <w:divBdr>
        <w:top w:val="none" w:sz="0" w:space="0" w:color="auto"/>
        <w:left w:val="none" w:sz="0" w:space="0" w:color="auto"/>
        <w:bottom w:val="none" w:sz="0" w:space="0" w:color="auto"/>
        <w:right w:val="none" w:sz="0" w:space="0" w:color="auto"/>
      </w:divBdr>
    </w:div>
    <w:div w:id="1911115132">
      <w:bodyDiv w:val="1"/>
      <w:marLeft w:val="0"/>
      <w:marRight w:val="0"/>
      <w:marTop w:val="0"/>
      <w:marBottom w:val="0"/>
      <w:divBdr>
        <w:top w:val="none" w:sz="0" w:space="0" w:color="auto"/>
        <w:left w:val="none" w:sz="0" w:space="0" w:color="auto"/>
        <w:bottom w:val="none" w:sz="0" w:space="0" w:color="auto"/>
        <w:right w:val="none" w:sz="0" w:space="0" w:color="auto"/>
      </w:divBdr>
    </w:div>
    <w:div w:id="1957909409">
      <w:bodyDiv w:val="1"/>
      <w:marLeft w:val="0"/>
      <w:marRight w:val="0"/>
      <w:marTop w:val="0"/>
      <w:marBottom w:val="0"/>
      <w:divBdr>
        <w:top w:val="none" w:sz="0" w:space="0" w:color="auto"/>
        <w:left w:val="none" w:sz="0" w:space="0" w:color="auto"/>
        <w:bottom w:val="none" w:sz="0" w:space="0" w:color="auto"/>
        <w:right w:val="none" w:sz="0" w:space="0" w:color="auto"/>
      </w:divBdr>
    </w:div>
    <w:div w:id="2016030225">
      <w:bodyDiv w:val="1"/>
      <w:marLeft w:val="0"/>
      <w:marRight w:val="0"/>
      <w:marTop w:val="0"/>
      <w:marBottom w:val="0"/>
      <w:divBdr>
        <w:top w:val="none" w:sz="0" w:space="0" w:color="auto"/>
        <w:left w:val="none" w:sz="0" w:space="0" w:color="auto"/>
        <w:bottom w:val="none" w:sz="0" w:space="0" w:color="auto"/>
        <w:right w:val="none" w:sz="0" w:space="0" w:color="auto"/>
      </w:divBdr>
    </w:div>
    <w:div w:id="2038116624">
      <w:bodyDiv w:val="1"/>
      <w:marLeft w:val="0"/>
      <w:marRight w:val="0"/>
      <w:marTop w:val="0"/>
      <w:marBottom w:val="0"/>
      <w:divBdr>
        <w:top w:val="none" w:sz="0" w:space="0" w:color="auto"/>
        <w:left w:val="none" w:sz="0" w:space="0" w:color="auto"/>
        <w:bottom w:val="none" w:sz="0" w:space="0" w:color="auto"/>
        <w:right w:val="none" w:sz="0" w:space="0" w:color="auto"/>
      </w:divBdr>
    </w:div>
    <w:div w:id="2040547407">
      <w:bodyDiv w:val="1"/>
      <w:marLeft w:val="0"/>
      <w:marRight w:val="0"/>
      <w:marTop w:val="0"/>
      <w:marBottom w:val="0"/>
      <w:divBdr>
        <w:top w:val="none" w:sz="0" w:space="0" w:color="auto"/>
        <w:left w:val="none" w:sz="0" w:space="0" w:color="auto"/>
        <w:bottom w:val="none" w:sz="0" w:space="0" w:color="auto"/>
        <w:right w:val="none" w:sz="0" w:space="0" w:color="auto"/>
      </w:divBdr>
      <w:divsChild>
        <w:div w:id="1078672524">
          <w:marLeft w:val="0"/>
          <w:marRight w:val="0"/>
          <w:marTop w:val="0"/>
          <w:marBottom w:val="0"/>
          <w:divBdr>
            <w:top w:val="single" w:sz="2" w:space="0" w:color="D9D9E3"/>
            <w:left w:val="single" w:sz="2" w:space="0" w:color="D9D9E3"/>
            <w:bottom w:val="single" w:sz="2" w:space="0" w:color="D9D9E3"/>
            <w:right w:val="single" w:sz="2" w:space="0" w:color="D9D9E3"/>
          </w:divBdr>
          <w:divsChild>
            <w:div w:id="1782139230">
              <w:marLeft w:val="0"/>
              <w:marRight w:val="0"/>
              <w:marTop w:val="0"/>
              <w:marBottom w:val="0"/>
              <w:divBdr>
                <w:top w:val="single" w:sz="2" w:space="0" w:color="D9D9E3"/>
                <w:left w:val="single" w:sz="2" w:space="0" w:color="D9D9E3"/>
                <w:bottom w:val="single" w:sz="2" w:space="0" w:color="D9D9E3"/>
                <w:right w:val="single" w:sz="2" w:space="0" w:color="D9D9E3"/>
              </w:divBdr>
              <w:divsChild>
                <w:div w:id="574126915">
                  <w:marLeft w:val="0"/>
                  <w:marRight w:val="0"/>
                  <w:marTop w:val="0"/>
                  <w:marBottom w:val="0"/>
                  <w:divBdr>
                    <w:top w:val="single" w:sz="2" w:space="0" w:color="D9D9E3"/>
                    <w:left w:val="single" w:sz="2" w:space="0" w:color="D9D9E3"/>
                    <w:bottom w:val="single" w:sz="2" w:space="0" w:color="D9D9E3"/>
                    <w:right w:val="single" w:sz="2" w:space="0" w:color="D9D9E3"/>
                  </w:divBdr>
                  <w:divsChild>
                    <w:div w:id="516504134">
                      <w:marLeft w:val="0"/>
                      <w:marRight w:val="0"/>
                      <w:marTop w:val="0"/>
                      <w:marBottom w:val="0"/>
                      <w:divBdr>
                        <w:top w:val="single" w:sz="2" w:space="0" w:color="D9D9E3"/>
                        <w:left w:val="single" w:sz="2" w:space="0" w:color="D9D9E3"/>
                        <w:bottom w:val="single" w:sz="2" w:space="0" w:color="D9D9E3"/>
                        <w:right w:val="single" w:sz="2" w:space="0" w:color="D9D9E3"/>
                      </w:divBdr>
                      <w:divsChild>
                        <w:div w:id="2106534505">
                          <w:marLeft w:val="0"/>
                          <w:marRight w:val="0"/>
                          <w:marTop w:val="0"/>
                          <w:marBottom w:val="0"/>
                          <w:divBdr>
                            <w:top w:val="single" w:sz="2" w:space="0" w:color="auto"/>
                            <w:left w:val="single" w:sz="2" w:space="0" w:color="auto"/>
                            <w:bottom w:val="single" w:sz="6" w:space="0" w:color="auto"/>
                            <w:right w:val="single" w:sz="2" w:space="0" w:color="auto"/>
                          </w:divBdr>
                          <w:divsChild>
                            <w:div w:id="802357465">
                              <w:marLeft w:val="0"/>
                              <w:marRight w:val="0"/>
                              <w:marTop w:val="100"/>
                              <w:marBottom w:val="100"/>
                              <w:divBdr>
                                <w:top w:val="single" w:sz="2" w:space="0" w:color="D9D9E3"/>
                                <w:left w:val="single" w:sz="2" w:space="0" w:color="D9D9E3"/>
                                <w:bottom w:val="single" w:sz="2" w:space="0" w:color="D9D9E3"/>
                                <w:right w:val="single" w:sz="2" w:space="0" w:color="D9D9E3"/>
                              </w:divBdr>
                              <w:divsChild>
                                <w:div w:id="1871913988">
                                  <w:marLeft w:val="0"/>
                                  <w:marRight w:val="0"/>
                                  <w:marTop w:val="0"/>
                                  <w:marBottom w:val="0"/>
                                  <w:divBdr>
                                    <w:top w:val="single" w:sz="2" w:space="0" w:color="D9D9E3"/>
                                    <w:left w:val="single" w:sz="2" w:space="0" w:color="D9D9E3"/>
                                    <w:bottom w:val="single" w:sz="2" w:space="0" w:color="D9D9E3"/>
                                    <w:right w:val="single" w:sz="2" w:space="0" w:color="D9D9E3"/>
                                  </w:divBdr>
                                  <w:divsChild>
                                    <w:div w:id="1516724984">
                                      <w:marLeft w:val="0"/>
                                      <w:marRight w:val="0"/>
                                      <w:marTop w:val="0"/>
                                      <w:marBottom w:val="0"/>
                                      <w:divBdr>
                                        <w:top w:val="single" w:sz="2" w:space="0" w:color="D9D9E3"/>
                                        <w:left w:val="single" w:sz="2" w:space="0" w:color="D9D9E3"/>
                                        <w:bottom w:val="single" w:sz="2" w:space="0" w:color="D9D9E3"/>
                                        <w:right w:val="single" w:sz="2" w:space="0" w:color="D9D9E3"/>
                                      </w:divBdr>
                                      <w:divsChild>
                                        <w:div w:id="713850217">
                                          <w:marLeft w:val="0"/>
                                          <w:marRight w:val="0"/>
                                          <w:marTop w:val="0"/>
                                          <w:marBottom w:val="0"/>
                                          <w:divBdr>
                                            <w:top w:val="single" w:sz="2" w:space="0" w:color="D9D9E3"/>
                                            <w:left w:val="single" w:sz="2" w:space="0" w:color="D9D9E3"/>
                                            <w:bottom w:val="single" w:sz="2" w:space="0" w:color="D9D9E3"/>
                                            <w:right w:val="single" w:sz="2" w:space="0" w:color="D9D9E3"/>
                                          </w:divBdr>
                                          <w:divsChild>
                                            <w:div w:id="664672896">
                                              <w:marLeft w:val="0"/>
                                              <w:marRight w:val="0"/>
                                              <w:marTop w:val="0"/>
                                              <w:marBottom w:val="0"/>
                                              <w:divBdr>
                                                <w:top w:val="single" w:sz="2" w:space="0" w:color="D9D9E3"/>
                                                <w:left w:val="single" w:sz="2" w:space="0" w:color="D9D9E3"/>
                                                <w:bottom w:val="single" w:sz="2" w:space="0" w:color="D9D9E3"/>
                                                <w:right w:val="single" w:sz="2" w:space="0" w:color="D9D9E3"/>
                                              </w:divBdr>
                                              <w:divsChild>
                                                <w:div w:id="43719656">
                                                  <w:marLeft w:val="0"/>
                                                  <w:marRight w:val="0"/>
                                                  <w:marTop w:val="0"/>
                                                  <w:marBottom w:val="0"/>
                                                  <w:divBdr>
                                                    <w:top w:val="single" w:sz="2" w:space="0" w:color="D9D9E3"/>
                                                    <w:left w:val="single" w:sz="2" w:space="0" w:color="D9D9E3"/>
                                                    <w:bottom w:val="single" w:sz="2" w:space="0" w:color="D9D9E3"/>
                                                    <w:right w:val="single" w:sz="2" w:space="0" w:color="D9D9E3"/>
                                                  </w:divBdr>
                                                  <w:divsChild>
                                                    <w:div w:id="20275192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73841430">
          <w:marLeft w:val="0"/>
          <w:marRight w:val="0"/>
          <w:marTop w:val="0"/>
          <w:marBottom w:val="0"/>
          <w:divBdr>
            <w:top w:val="none" w:sz="0" w:space="0" w:color="auto"/>
            <w:left w:val="none" w:sz="0" w:space="0" w:color="auto"/>
            <w:bottom w:val="none" w:sz="0" w:space="0" w:color="auto"/>
            <w:right w:val="none" w:sz="0" w:space="0" w:color="auto"/>
          </w:divBdr>
        </w:div>
      </w:divsChild>
    </w:div>
    <w:div w:id="2061661583">
      <w:bodyDiv w:val="1"/>
      <w:marLeft w:val="0"/>
      <w:marRight w:val="0"/>
      <w:marTop w:val="0"/>
      <w:marBottom w:val="0"/>
      <w:divBdr>
        <w:top w:val="none" w:sz="0" w:space="0" w:color="auto"/>
        <w:left w:val="none" w:sz="0" w:space="0" w:color="auto"/>
        <w:bottom w:val="none" w:sz="0" w:space="0" w:color="auto"/>
        <w:right w:val="none" w:sz="0" w:space="0" w:color="auto"/>
      </w:divBdr>
    </w:div>
    <w:div w:id="2091846863">
      <w:bodyDiv w:val="1"/>
      <w:marLeft w:val="0"/>
      <w:marRight w:val="0"/>
      <w:marTop w:val="0"/>
      <w:marBottom w:val="0"/>
      <w:divBdr>
        <w:top w:val="none" w:sz="0" w:space="0" w:color="auto"/>
        <w:left w:val="none" w:sz="0" w:space="0" w:color="auto"/>
        <w:bottom w:val="none" w:sz="0" w:space="0" w:color="auto"/>
        <w:right w:val="none" w:sz="0" w:space="0" w:color="auto"/>
      </w:divBdr>
    </w:div>
    <w:div w:id="209311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telecompersonal.com.ar"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lecom.com.a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amad-fdp2\GRUPOS\PRIVADO\Relinver\PRESS_RE\TABLAS%20BASE%20CENTRAL%20(Arch%20inamovibles)\Version%20Nueva\Tablas%20Final.xlsx!Resultados%20Financieros!F11C2:F18C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file:///\\amad-fdp2\GRUPOS\PRIVADO\Relinver\PRESS_RE\TABLAS%20BASE%20CENTRAL%20(Arch%20inamovibles)\Version%20Nueva\Tablas%20Final.xlsx!quarK%20express!F2C4:F43C14" TargetMode="External"/><Relationship Id="rId14" Type="http://schemas.openxmlformats.org/officeDocument/2006/relationships/hyperlink" Target="http://www.personal.com.p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61648A7A84594B96FFD2F00135B5B5"/>
        <w:category>
          <w:name w:val="General"/>
          <w:gallery w:val="placeholder"/>
        </w:category>
        <w:types>
          <w:type w:val="bbPlcHdr"/>
        </w:types>
        <w:behaviors>
          <w:behavior w:val="content"/>
        </w:behaviors>
        <w:guid w:val="{9DBEBFBB-A568-3A4A-8743-52F5F5FA1789}"/>
      </w:docPartPr>
      <w:docPartBody>
        <w:p w:rsidR="00C60987" w:rsidRDefault="007450EB" w:rsidP="007450EB">
          <w:pPr>
            <w:pStyle w:val="1261648A7A84594B96FFD2F00135B5B5"/>
          </w:pPr>
          <w:r>
            <w:rPr>
              <w:caps/>
              <w:color w:val="FFFFFF" w:themeColor="background1"/>
              <w:sz w:val="18"/>
              <w:szCs w:val="18"/>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ulso">
    <w:altName w:val="Pulso"/>
    <w:panose1 w:val="00000000000000000000"/>
    <w:charset w:val="00"/>
    <w:family w:val="auto"/>
    <w:pitch w:val="variable"/>
    <w:sig w:usb0="80000047" w:usb1="00000010" w:usb2="00000000" w:usb3="00000000" w:csb0="00000001" w:csb1="00000000"/>
  </w:font>
  <w:font w:name="FrutigerBlack">
    <w:altName w:val="Courier New"/>
    <w:charset w:val="00"/>
    <w:family w:val="auto"/>
    <w:pitch w:val="variable"/>
    <w:sig w:usb0="00000003" w:usb1="00000000" w:usb2="00000000" w:usb3="00000000" w:csb0="00000001" w:csb1="00000000"/>
  </w:font>
  <w:font w:name="robo">
    <w:altName w:val="Cambria"/>
    <w:charset w:val="00"/>
    <w:family w:val="roman"/>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EB"/>
    <w:rsid w:val="00095938"/>
    <w:rsid w:val="000A5CDE"/>
    <w:rsid w:val="000E48B7"/>
    <w:rsid w:val="000F6825"/>
    <w:rsid w:val="00110F49"/>
    <w:rsid w:val="001B0945"/>
    <w:rsid w:val="00233EC1"/>
    <w:rsid w:val="00275CE0"/>
    <w:rsid w:val="00283911"/>
    <w:rsid w:val="00294ACB"/>
    <w:rsid w:val="002D5BAE"/>
    <w:rsid w:val="002F7275"/>
    <w:rsid w:val="003531CD"/>
    <w:rsid w:val="003C2B87"/>
    <w:rsid w:val="003D42FA"/>
    <w:rsid w:val="003F5BAB"/>
    <w:rsid w:val="00422A03"/>
    <w:rsid w:val="00471183"/>
    <w:rsid w:val="004715A9"/>
    <w:rsid w:val="00477DDC"/>
    <w:rsid w:val="004E665A"/>
    <w:rsid w:val="004E6E40"/>
    <w:rsid w:val="00512399"/>
    <w:rsid w:val="00513858"/>
    <w:rsid w:val="005318B2"/>
    <w:rsid w:val="00534623"/>
    <w:rsid w:val="005655A8"/>
    <w:rsid w:val="00580076"/>
    <w:rsid w:val="00582495"/>
    <w:rsid w:val="0058632D"/>
    <w:rsid w:val="005B4A21"/>
    <w:rsid w:val="006B3115"/>
    <w:rsid w:val="006B5957"/>
    <w:rsid w:val="006C299E"/>
    <w:rsid w:val="006C7947"/>
    <w:rsid w:val="006F7652"/>
    <w:rsid w:val="007450EB"/>
    <w:rsid w:val="00771315"/>
    <w:rsid w:val="007C4423"/>
    <w:rsid w:val="007F618C"/>
    <w:rsid w:val="008169CB"/>
    <w:rsid w:val="0083536C"/>
    <w:rsid w:val="00860519"/>
    <w:rsid w:val="00914AB0"/>
    <w:rsid w:val="0091577F"/>
    <w:rsid w:val="00933BB4"/>
    <w:rsid w:val="00941EDF"/>
    <w:rsid w:val="009512FE"/>
    <w:rsid w:val="00987D32"/>
    <w:rsid w:val="009C4F11"/>
    <w:rsid w:val="00A31D9C"/>
    <w:rsid w:val="00A84F84"/>
    <w:rsid w:val="00AB5397"/>
    <w:rsid w:val="00AE7025"/>
    <w:rsid w:val="00B042AC"/>
    <w:rsid w:val="00B04641"/>
    <w:rsid w:val="00BF011D"/>
    <w:rsid w:val="00C1473A"/>
    <w:rsid w:val="00C60987"/>
    <w:rsid w:val="00C62D87"/>
    <w:rsid w:val="00C73FAA"/>
    <w:rsid w:val="00C807B6"/>
    <w:rsid w:val="00C92EE5"/>
    <w:rsid w:val="00C9449B"/>
    <w:rsid w:val="00C94D51"/>
    <w:rsid w:val="00CA7ABD"/>
    <w:rsid w:val="00D6679B"/>
    <w:rsid w:val="00D832EB"/>
    <w:rsid w:val="00D90686"/>
    <w:rsid w:val="00D9081C"/>
    <w:rsid w:val="00D95DF5"/>
    <w:rsid w:val="00DA5E7E"/>
    <w:rsid w:val="00DC71EE"/>
    <w:rsid w:val="00E918C5"/>
    <w:rsid w:val="00E92769"/>
    <w:rsid w:val="00EC0F63"/>
    <w:rsid w:val="00F3068B"/>
    <w:rsid w:val="00F64CC2"/>
    <w:rsid w:val="00F81A06"/>
    <w:rsid w:val="00FF59B0"/>
  </w:rsids>
  <m:mathPr>
    <m:mathFont m:val="Cambria Math"/>
    <m:brkBin m:val="before"/>
    <m:brkBinSub m:val="--"/>
    <m:smallFrac m:val="0"/>
    <m:dispDef/>
    <m:lMargin m:val="0"/>
    <m:rMargin m:val="0"/>
    <m:defJc m:val="centerGroup"/>
    <m:wrapIndent m:val="1440"/>
    <m:intLim m:val="subSup"/>
    <m:naryLim m:val="undOvr"/>
  </m:mathPr>
  <w:themeFontLang w:val="es-AR"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AR"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261648A7A84594B96FFD2F00135B5B5">
    <w:name w:val="1261648A7A84594B96FFD2F00135B5B5"/>
    <w:rsid w:val="007450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04CF7-9427-4682-8400-A0449D762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5234</Words>
  <Characters>28793</Characters>
  <Application>Microsoft Office Word</Application>
  <DocSecurity>0</DocSecurity>
  <Lines>239</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Telecom Argentina</vt:lpstr>
      <vt:lpstr>Telecom Argentina</vt:lpstr>
    </vt:vector>
  </TitlesOfParts>
  <Company/>
  <LinksUpToDate>false</LinksUpToDate>
  <CharactersWithSpaces>33960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 Argentina</dc:title>
  <dc:subject/>
  <dc:creator>Tomas Pellicori</dc:creator>
  <cp:keywords/>
  <dc:description/>
  <cp:lastModifiedBy>Tomas Pellicori</cp:lastModifiedBy>
  <cp:revision>3</cp:revision>
  <cp:lastPrinted>2024-11-06T22:31:00Z</cp:lastPrinted>
  <dcterms:created xsi:type="dcterms:W3CDTF">2025-08-11T14:57:00Z</dcterms:created>
  <dcterms:modified xsi:type="dcterms:W3CDTF">2025-08-11T15:10:00Z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c2cfbec7e855e115147aa41f5521bda38fb153c9bfa9a368d5b21a83f4ab3ebb</vt:lpwstr>
  </property>
</Properties>
</file>