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2A6659" w14:textId="77777777" w:rsidR="00851CE9" w:rsidRPr="004A0698" w:rsidRDefault="00283615" w:rsidP="00247A66">
      <w:pPr>
        <w:spacing w:after="0" w:line="240" w:lineRule="auto"/>
        <w:jc w:val="center"/>
        <w:rPr>
          <w:rFonts w:ascii="Times New Roman" w:hAnsi="Times New Roman" w:cs="Times New Roman"/>
          <w:b/>
          <w:bCs/>
          <w:sz w:val="36"/>
          <w:szCs w:val="36"/>
        </w:rPr>
      </w:pPr>
      <w:r w:rsidRPr="004A0698">
        <w:rPr>
          <w:rFonts w:ascii="Times New Roman" w:hAnsi="Times New Roman" w:cs="Times New Roman"/>
          <w:noProof/>
        </w:rPr>
        <w:drawing>
          <wp:inline distT="0" distB="0" distL="0" distR="0" wp14:anchorId="62C58684" wp14:editId="07777777">
            <wp:extent cx="1613411" cy="1167618"/>
            <wp:effectExtent l="0" t="0" r="6350" b="0"/>
            <wp:docPr id="1" name="Picture 1" descr="A red and black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red and black logo&#10;&#10;AI-generated content may be incorrect."/>
                    <pic:cNvPicPr/>
                  </pic:nvPicPr>
                  <pic:blipFill>
                    <a:blip r:embed="rId7">
                      <a:extLst>
                        <a:ext uri="{28A0092B-C50C-407E-A947-70E740481C1C}">
                          <a14:useLocalDpi xmlns:a14="http://schemas.microsoft.com/office/drawing/2010/main" val="0"/>
                        </a:ext>
                      </a:extLst>
                    </a:blip>
                    <a:stretch>
                      <a:fillRect/>
                    </a:stretch>
                  </pic:blipFill>
                  <pic:spPr>
                    <a:xfrm>
                      <a:off x="0" y="0"/>
                      <a:ext cx="1613411" cy="1167618"/>
                    </a:xfrm>
                    <a:prstGeom prst="rect">
                      <a:avLst/>
                    </a:prstGeom>
                  </pic:spPr>
                </pic:pic>
              </a:graphicData>
            </a:graphic>
          </wp:inline>
        </w:drawing>
      </w:r>
    </w:p>
    <w:p w14:paraId="0A37501D" w14:textId="77777777" w:rsidR="00851CE9" w:rsidRPr="004A0698" w:rsidRDefault="00851CE9" w:rsidP="00247A66">
      <w:pPr>
        <w:spacing w:after="0" w:line="240" w:lineRule="auto"/>
        <w:jc w:val="center"/>
        <w:rPr>
          <w:rFonts w:ascii="Times New Roman" w:hAnsi="Times New Roman" w:cs="Times New Roman"/>
          <w:b/>
          <w:bCs/>
          <w:sz w:val="36"/>
          <w:szCs w:val="36"/>
        </w:rPr>
      </w:pPr>
    </w:p>
    <w:p w14:paraId="279C1890" w14:textId="77777777" w:rsidR="0051774B" w:rsidRDefault="00283615" w:rsidP="00247A66">
      <w:pPr>
        <w:spacing w:after="0" w:line="240" w:lineRule="auto"/>
        <w:jc w:val="center"/>
        <w:rPr>
          <w:rFonts w:ascii="Times New Roman" w:hAnsi="Times New Roman" w:cs="Times New Roman"/>
          <w:b/>
          <w:bCs/>
          <w:sz w:val="36"/>
          <w:szCs w:val="36"/>
        </w:rPr>
      </w:pPr>
      <w:r>
        <w:rPr>
          <w:rFonts w:ascii="Times New Roman" w:hAnsi="Times New Roman" w:cs="Times New Roman"/>
          <w:b/>
          <w:bCs/>
          <w:sz w:val="36"/>
          <w:szCs w:val="36"/>
        </w:rPr>
        <w:t xml:space="preserve">USPTO and </w:t>
      </w:r>
      <w:proofErr w:type="spellStart"/>
      <w:r>
        <w:rPr>
          <w:rFonts w:ascii="Times New Roman" w:hAnsi="Times New Roman" w:cs="Times New Roman"/>
          <w:b/>
          <w:bCs/>
          <w:sz w:val="36"/>
          <w:szCs w:val="36"/>
        </w:rPr>
        <w:t>USDOJ</w:t>
      </w:r>
      <w:proofErr w:type="spellEnd"/>
      <w:r>
        <w:rPr>
          <w:rFonts w:ascii="Times New Roman" w:hAnsi="Times New Roman" w:cs="Times New Roman"/>
          <w:b/>
          <w:bCs/>
          <w:sz w:val="36"/>
          <w:szCs w:val="36"/>
        </w:rPr>
        <w:t xml:space="preserve"> File Public Interest Comment in </w:t>
      </w:r>
      <w:r w:rsidR="00247A66" w:rsidRPr="004A0698">
        <w:rPr>
          <w:rFonts w:ascii="Times New Roman" w:hAnsi="Times New Roman" w:cs="Times New Roman"/>
          <w:b/>
          <w:bCs/>
          <w:sz w:val="36"/>
          <w:szCs w:val="36"/>
        </w:rPr>
        <w:t>Netlist</w:t>
      </w:r>
      <w:r>
        <w:rPr>
          <w:rFonts w:ascii="Times New Roman" w:hAnsi="Times New Roman" w:cs="Times New Roman"/>
          <w:b/>
          <w:bCs/>
          <w:sz w:val="36"/>
          <w:szCs w:val="36"/>
        </w:rPr>
        <w:t xml:space="preserve">’ </w:t>
      </w:r>
      <w:r w:rsidR="00AE2D58">
        <w:rPr>
          <w:rFonts w:ascii="Times New Roman" w:hAnsi="Times New Roman" w:cs="Times New Roman"/>
          <w:b/>
          <w:bCs/>
          <w:sz w:val="36"/>
          <w:szCs w:val="36"/>
        </w:rPr>
        <w:t>U.S. International Trade Commission</w:t>
      </w:r>
      <w:r>
        <w:rPr>
          <w:rFonts w:ascii="Times New Roman" w:hAnsi="Times New Roman" w:cs="Times New Roman"/>
          <w:b/>
          <w:bCs/>
          <w:sz w:val="36"/>
          <w:szCs w:val="36"/>
        </w:rPr>
        <w:t xml:space="preserve"> Action </w:t>
      </w:r>
    </w:p>
    <w:p w14:paraId="365A7A57" w14:textId="77777777" w:rsidR="002A2A7D" w:rsidRPr="004A0698" w:rsidRDefault="00283615" w:rsidP="00247A66">
      <w:pPr>
        <w:spacing w:after="0" w:line="240" w:lineRule="auto"/>
        <w:jc w:val="center"/>
        <w:rPr>
          <w:rFonts w:ascii="Times New Roman" w:hAnsi="Times New Roman" w:cs="Times New Roman"/>
          <w:b/>
          <w:bCs/>
          <w:sz w:val="36"/>
          <w:szCs w:val="36"/>
        </w:rPr>
      </w:pPr>
      <w:r>
        <w:rPr>
          <w:rFonts w:ascii="Times New Roman" w:hAnsi="Times New Roman" w:cs="Times New Roman"/>
          <w:b/>
          <w:bCs/>
          <w:sz w:val="36"/>
          <w:szCs w:val="36"/>
        </w:rPr>
        <w:t>Against Samsung</w:t>
      </w:r>
    </w:p>
    <w:p w14:paraId="5DAB6C7B" w14:textId="77777777" w:rsidR="00AC255B" w:rsidRPr="004A0698" w:rsidRDefault="00AC255B" w:rsidP="00247A66">
      <w:pPr>
        <w:spacing w:after="0" w:line="240" w:lineRule="auto"/>
        <w:rPr>
          <w:rFonts w:ascii="Times New Roman" w:hAnsi="Times New Roman" w:cs="Times New Roman"/>
          <w:b/>
          <w:bCs/>
        </w:rPr>
      </w:pPr>
    </w:p>
    <w:p w14:paraId="5339500F" w14:textId="77777777" w:rsidR="00AF0DB7" w:rsidRDefault="00283615" w:rsidP="182F714C">
      <w:pPr>
        <w:shd w:val="clear" w:color="auto" w:fill="FFFFFF" w:themeFill="background1"/>
        <w:spacing w:after="150" w:line="300" w:lineRule="atLeast"/>
        <w:jc w:val="both"/>
        <w:rPr>
          <w:rFonts w:ascii="Times New Roman" w:hAnsi="Times New Roman" w:cs="Times New Roman"/>
        </w:rPr>
      </w:pPr>
      <w:r w:rsidRPr="29BD3BB9">
        <w:rPr>
          <w:rFonts w:ascii="Times New Roman" w:hAnsi="Times New Roman" w:cs="Times New Roman"/>
          <w:b/>
          <w:bCs/>
          <w:smallCaps/>
        </w:rPr>
        <w:t>Irvine, California</w:t>
      </w:r>
      <w:r w:rsidRPr="29BD3BB9">
        <w:rPr>
          <w:rFonts w:ascii="Times New Roman" w:hAnsi="Times New Roman" w:cs="Times New Roman"/>
        </w:rPr>
        <w:t xml:space="preserve">, December 1, 2025 – Netlist, Inc. (OTCQB: </w:t>
      </w:r>
      <w:proofErr w:type="spellStart"/>
      <w:r w:rsidRPr="29BD3BB9">
        <w:rPr>
          <w:rFonts w:ascii="Times New Roman" w:hAnsi="Times New Roman" w:cs="Times New Roman"/>
        </w:rPr>
        <w:t>NLST</w:t>
      </w:r>
      <w:proofErr w:type="spellEnd"/>
      <w:r w:rsidRPr="29BD3BB9">
        <w:rPr>
          <w:rFonts w:ascii="Times New Roman" w:hAnsi="Times New Roman" w:cs="Times New Roman"/>
        </w:rPr>
        <w:t>) today announced the United States Patent and Trademark Office (USPTO) and the United States Department of Justice (</w:t>
      </w:r>
      <w:proofErr w:type="spellStart"/>
      <w:r w:rsidRPr="29BD3BB9">
        <w:rPr>
          <w:rFonts w:ascii="Times New Roman" w:hAnsi="Times New Roman" w:cs="Times New Roman"/>
        </w:rPr>
        <w:t>USDOJ</w:t>
      </w:r>
      <w:proofErr w:type="spellEnd"/>
      <w:r w:rsidRPr="29BD3BB9">
        <w:rPr>
          <w:rFonts w:ascii="Times New Roman" w:hAnsi="Times New Roman" w:cs="Times New Roman"/>
        </w:rPr>
        <w:t>) have filed a joint public interest comment in</w:t>
      </w:r>
      <w:r w:rsidR="165FE16E" w:rsidRPr="29BD3BB9">
        <w:rPr>
          <w:rFonts w:ascii="Times New Roman" w:hAnsi="Times New Roman" w:cs="Times New Roman"/>
        </w:rPr>
        <w:t xml:space="preserve"> </w:t>
      </w:r>
      <w:r w:rsidR="14047A44" w:rsidRPr="29BD3BB9">
        <w:rPr>
          <w:rFonts w:ascii="Times New Roman" w:hAnsi="Times New Roman" w:cs="Times New Roman"/>
        </w:rPr>
        <w:t xml:space="preserve">connection with </w:t>
      </w:r>
      <w:r w:rsidRPr="29BD3BB9">
        <w:rPr>
          <w:rFonts w:ascii="Times New Roman" w:hAnsi="Times New Roman" w:cs="Times New Roman"/>
        </w:rPr>
        <w:t xml:space="preserve">Netlist’s </w:t>
      </w:r>
      <w:r w:rsidR="387B93FA" w:rsidRPr="29BD3BB9">
        <w:rPr>
          <w:rFonts w:ascii="Times New Roman" w:hAnsi="Times New Roman" w:cs="Times New Roman"/>
        </w:rPr>
        <w:t>c</w:t>
      </w:r>
      <w:r w:rsidR="1AF8EC2A" w:rsidRPr="29BD3BB9">
        <w:rPr>
          <w:rFonts w:ascii="Times New Roman" w:hAnsi="Times New Roman" w:cs="Times New Roman"/>
        </w:rPr>
        <w:t>omplaint</w:t>
      </w:r>
      <w:r w:rsidR="00AE2D58" w:rsidRPr="29BD3BB9">
        <w:rPr>
          <w:rFonts w:ascii="Times New Roman" w:hAnsi="Times New Roman" w:cs="Times New Roman"/>
        </w:rPr>
        <w:t xml:space="preserve"> </w:t>
      </w:r>
      <w:r w:rsidR="008F5A3B" w:rsidRPr="29BD3BB9">
        <w:rPr>
          <w:rFonts w:ascii="Times New Roman" w:hAnsi="Times New Roman" w:cs="Times New Roman"/>
        </w:rPr>
        <w:t>before the United States International Trade Commission (ITC)</w:t>
      </w:r>
      <w:r w:rsidRPr="29BD3BB9">
        <w:rPr>
          <w:rFonts w:ascii="Times New Roman" w:hAnsi="Times New Roman" w:cs="Times New Roman"/>
        </w:rPr>
        <w:t xml:space="preserve"> against Samsung</w:t>
      </w:r>
      <w:r w:rsidR="1B424077" w:rsidRPr="29BD3BB9">
        <w:rPr>
          <w:rFonts w:ascii="Times New Roman" w:hAnsi="Times New Roman" w:cs="Times New Roman"/>
        </w:rPr>
        <w:t xml:space="preserve">, </w:t>
      </w:r>
      <w:proofErr w:type="gramStart"/>
      <w:r w:rsidR="1B424077" w:rsidRPr="29BD3BB9">
        <w:rPr>
          <w:rFonts w:ascii="Times New Roman" w:hAnsi="Times New Roman" w:cs="Times New Roman"/>
        </w:rPr>
        <w:t>Google</w:t>
      </w:r>
      <w:proofErr w:type="gramEnd"/>
      <w:r w:rsidR="1B424077" w:rsidRPr="29BD3BB9">
        <w:rPr>
          <w:rFonts w:ascii="Times New Roman" w:hAnsi="Times New Roman" w:cs="Times New Roman"/>
        </w:rPr>
        <w:t xml:space="preserve"> and Super Micro (Respondents)</w:t>
      </w:r>
      <w:r w:rsidRPr="29BD3BB9">
        <w:rPr>
          <w:rFonts w:ascii="Times New Roman" w:hAnsi="Times New Roman" w:cs="Times New Roman"/>
        </w:rPr>
        <w:t xml:space="preserve">.  </w:t>
      </w:r>
    </w:p>
    <w:p w14:paraId="2BB08A40" w14:textId="1A3DE2FA" w:rsidR="0051774B" w:rsidRPr="0051774B" w:rsidRDefault="00283615" w:rsidP="182F714C">
      <w:pPr>
        <w:shd w:val="clear" w:color="auto" w:fill="FFFFFF" w:themeFill="background1"/>
        <w:spacing w:after="150" w:line="300" w:lineRule="atLeast"/>
        <w:jc w:val="both"/>
        <w:rPr>
          <w:rFonts w:ascii="Times New Roman" w:eastAsia="Times New Roman" w:hAnsi="Times New Roman" w:cs="Times New Roman"/>
        </w:rPr>
      </w:pPr>
      <w:r w:rsidRPr="50B9422D">
        <w:rPr>
          <w:rFonts w:ascii="Times New Roman" w:hAnsi="Times New Roman" w:cs="Times New Roman"/>
        </w:rPr>
        <w:t>Netlist is</w:t>
      </w:r>
      <w:r w:rsidR="008F5A3B" w:rsidRPr="50B9422D">
        <w:rPr>
          <w:rFonts w:ascii="Times New Roman" w:hAnsi="Times New Roman" w:cs="Times New Roman"/>
        </w:rPr>
        <w:t xml:space="preserve"> </w:t>
      </w:r>
      <w:r w:rsidR="00D51BED" w:rsidRPr="50B9422D">
        <w:rPr>
          <w:rFonts w:ascii="Times New Roman" w:hAnsi="Times New Roman" w:cs="Times New Roman"/>
        </w:rPr>
        <w:t xml:space="preserve">seeking exclusion </w:t>
      </w:r>
      <w:r w:rsidR="004E10D6" w:rsidRPr="50B9422D">
        <w:rPr>
          <w:rFonts w:ascii="Times New Roman" w:hAnsi="Times New Roman" w:cs="Times New Roman"/>
        </w:rPr>
        <w:t xml:space="preserve">and cease and desist </w:t>
      </w:r>
      <w:r w:rsidR="00D51BED" w:rsidRPr="50B9422D">
        <w:rPr>
          <w:rFonts w:ascii="Times New Roman" w:hAnsi="Times New Roman" w:cs="Times New Roman"/>
        </w:rPr>
        <w:t>order</w:t>
      </w:r>
      <w:r w:rsidR="004E10D6" w:rsidRPr="50B9422D">
        <w:rPr>
          <w:rFonts w:ascii="Times New Roman" w:hAnsi="Times New Roman" w:cs="Times New Roman"/>
        </w:rPr>
        <w:t>s</w:t>
      </w:r>
      <w:r w:rsidR="00AE2D58" w:rsidRPr="50B9422D">
        <w:rPr>
          <w:rFonts w:ascii="Times New Roman" w:hAnsi="Times New Roman" w:cs="Times New Roman"/>
        </w:rPr>
        <w:t xml:space="preserve"> against</w:t>
      </w:r>
      <w:r w:rsidR="00422B2F" w:rsidRPr="50B9422D">
        <w:rPr>
          <w:rFonts w:ascii="Times New Roman" w:hAnsi="Times New Roman" w:cs="Times New Roman"/>
        </w:rPr>
        <w:t xml:space="preserve"> </w:t>
      </w:r>
      <w:r w:rsidR="5367F2DD" w:rsidRPr="50B9422D">
        <w:rPr>
          <w:rFonts w:ascii="Times New Roman" w:hAnsi="Times New Roman" w:cs="Times New Roman"/>
        </w:rPr>
        <w:t>the Respondents</w:t>
      </w:r>
      <w:r w:rsidRPr="50B9422D">
        <w:rPr>
          <w:rFonts w:ascii="Times New Roman" w:hAnsi="Times New Roman" w:cs="Times New Roman"/>
          <w:lang w:val="en-IN"/>
        </w:rPr>
        <w:t>, which would direct U.S. Customs and Border Protection to stop Samsung memory products that infringe Netlist’s patents from entering the U.S.</w:t>
      </w:r>
      <w:r w:rsidR="20C4C1E1" w:rsidRPr="50B9422D">
        <w:rPr>
          <w:rFonts w:ascii="Times New Roman" w:hAnsi="Times New Roman" w:cs="Times New Roman"/>
          <w:lang w:val="en-IN"/>
        </w:rPr>
        <w:t xml:space="preserve"> </w:t>
      </w:r>
      <w:r w:rsidR="20C4C1E1" w:rsidRPr="50B9422D">
        <w:rPr>
          <w:rFonts w:ascii="Times New Roman" w:eastAsia="Times New Roman" w:hAnsi="Times New Roman" w:cs="Times New Roman"/>
          <w:lang w:val="en-IN"/>
        </w:rPr>
        <w:t xml:space="preserve"> </w:t>
      </w:r>
      <w:r w:rsidR="20C4C1E1" w:rsidRPr="50B9422D">
        <w:rPr>
          <w:rFonts w:ascii="Times New Roman" w:eastAsia="Times New Roman" w:hAnsi="Times New Roman" w:cs="Times New Roman"/>
          <w:color w:val="000000" w:themeColor="text1"/>
        </w:rPr>
        <w:t>In the ITC complaint, Netlist asserts that</w:t>
      </w:r>
      <w:r w:rsidR="20C4C1E1" w:rsidRPr="50B9422D">
        <w:rPr>
          <w:rFonts w:ascii="Times New Roman" w:eastAsia="Times New Roman" w:hAnsi="Times New Roman" w:cs="Times New Roman"/>
        </w:rPr>
        <w:t xml:space="preserve"> </w:t>
      </w:r>
      <w:r w:rsidR="5AE5D6F5" w:rsidRPr="50B9422D">
        <w:rPr>
          <w:rFonts w:ascii="Times New Roman" w:eastAsia="Times New Roman" w:hAnsi="Times New Roman" w:cs="Times New Roman"/>
        </w:rPr>
        <w:t>the Respondents</w:t>
      </w:r>
      <w:r w:rsidR="20C4C1E1" w:rsidRPr="50B9422D">
        <w:rPr>
          <w:rFonts w:ascii="Times New Roman" w:eastAsia="Times New Roman" w:hAnsi="Times New Roman" w:cs="Times New Roman"/>
        </w:rPr>
        <w:t xml:space="preserve"> infringe U.S. Patent Nos. 12,737,366, 10,025,731, 10,268,608, 10,217,523, 9,824,035, and 12,308,087</w:t>
      </w:r>
      <w:r w:rsidR="4C3301F4" w:rsidRPr="50B9422D">
        <w:rPr>
          <w:rFonts w:ascii="Times New Roman" w:eastAsia="Times New Roman" w:hAnsi="Times New Roman" w:cs="Times New Roman"/>
        </w:rPr>
        <w:t xml:space="preserve">, </w:t>
      </w:r>
      <w:r w:rsidR="23FCF602" w:rsidRPr="50B9422D">
        <w:rPr>
          <w:rFonts w:ascii="Times New Roman" w:eastAsia="Times New Roman" w:hAnsi="Times New Roman" w:cs="Times New Roman"/>
        </w:rPr>
        <w:t>by importing into the U.S.</w:t>
      </w:r>
      <w:r w:rsidR="4C3301F4" w:rsidRPr="50B9422D">
        <w:rPr>
          <w:rFonts w:ascii="Times New Roman" w:eastAsia="Times New Roman" w:hAnsi="Times New Roman" w:cs="Times New Roman"/>
        </w:rPr>
        <w:t xml:space="preserve"> </w:t>
      </w:r>
      <w:r w:rsidR="20C4C1E1" w:rsidRPr="50B9422D">
        <w:rPr>
          <w:rFonts w:ascii="Times New Roman" w:eastAsia="Times New Roman" w:hAnsi="Times New Roman" w:cs="Times New Roman"/>
        </w:rPr>
        <w:t>the following product</w:t>
      </w:r>
      <w:r w:rsidR="6EF1D77C" w:rsidRPr="50B9422D">
        <w:rPr>
          <w:rFonts w:ascii="Times New Roman" w:eastAsia="Times New Roman" w:hAnsi="Times New Roman" w:cs="Times New Roman"/>
        </w:rPr>
        <w:t>s</w:t>
      </w:r>
      <w:r w:rsidR="20C4C1E1" w:rsidRPr="50B9422D">
        <w:rPr>
          <w:rFonts w:ascii="Times New Roman" w:eastAsia="Times New Roman" w:hAnsi="Times New Roman" w:cs="Times New Roman"/>
        </w:rPr>
        <w:t xml:space="preserve">: DDR5 memory modules, e.g., DDR5 </w:t>
      </w:r>
      <w:proofErr w:type="spellStart"/>
      <w:r w:rsidR="20C4C1E1" w:rsidRPr="50B9422D">
        <w:rPr>
          <w:rFonts w:ascii="Times New Roman" w:eastAsia="Times New Roman" w:hAnsi="Times New Roman" w:cs="Times New Roman"/>
        </w:rPr>
        <w:t>RDIMM</w:t>
      </w:r>
      <w:proofErr w:type="spellEnd"/>
      <w:r w:rsidR="20C4C1E1" w:rsidRPr="50B9422D">
        <w:rPr>
          <w:rFonts w:ascii="Times New Roman" w:eastAsia="Times New Roman" w:hAnsi="Times New Roman" w:cs="Times New Roman"/>
        </w:rPr>
        <w:t xml:space="preserve">, </w:t>
      </w:r>
      <w:proofErr w:type="spellStart"/>
      <w:r w:rsidR="20C4C1E1" w:rsidRPr="50B9422D">
        <w:rPr>
          <w:rFonts w:ascii="Times New Roman" w:eastAsia="Times New Roman" w:hAnsi="Times New Roman" w:cs="Times New Roman"/>
        </w:rPr>
        <w:t>UDIMM</w:t>
      </w:r>
      <w:proofErr w:type="spellEnd"/>
      <w:r w:rsidR="20C4C1E1" w:rsidRPr="50B9422D">
        <w:rPr>
          <w:rFonts w:ascii="Times New Roman" w:eastAsia="Times New Roman" w:hAnsi="Times New Roman" w:cs="Times New Roman"/>
        </w:rPr>
        <w:t xml:space="preserve">, SODIMM, and </w:t>
      </w:r>
      <w:proofErr w:type="spellStart"/>
      <w:r w:rsidR="20C4C1E1" w:rsidRPr="50B9422D">
        <w:rPr>
          <w:rFonts w:ascii="Times New Roman" w:eastAsia="Times New Roman" w:hAnsi="Times New Roman" w:cs="Times New Roman"/>
        </w:rPr>
        <w:t>MRDIMM</w:t>
      </w:r>
      <w:proofErr w:type="spellEnd"/>
      <w:r w:rsidR="20C4C1E1" w:rsidRPr="50B9422D">
        <w:rPr>
          <w:rFonts w:ascii="Times New Roman" w:eastAsia="Times New Roman" w:hAnsi="Times New Roman" w:cs="Times New Roman"/>
        </w:rPr>
        <w:t xml:space="preserve">, and high-bandwidth memory (“HBM”).  </w:t>
      </w:r>
    </w:p>
    <w:p w14:paraId="4EEA565B" w14:textId="28CB91A1" w:rsidR="0051774B" w:rsidRPr="0051774B" w:rsidRDefault="00283615" w:rsidP="29BD3BB9">
      <w:pPr>
        <w:pStyle w:val="NormalWeb"/>
        <w:shd w:val="clear" w:color="auto" w:fill="FFFFFF" w:themeFill="background1"/>
        <w:spacing w:before="0" w:beforeAutospacing="0" w:after="150" w:afterAutospacing="0" w:line="300" w:lineRule="atLeast"/>
        <w:jc w:val="both"/>
        <w:rPr>
          <w:rFonts w:eastAsiaTheme="minorEastAsia"/>
          <w:kern w:val="2"/>
          <w14:ligatures w14:val="standardContextual"/>
        </w:rPr>
      </w:pPr>
      <w:proofErr w:type="spellStart"/>
      <w:r>
        <w:t>C.K</w:t>
      </w:r>
      <w:proofErr w:type="spellEnd"/>
      <w:r>
        <w:t>. Hong, Netlist's Chief Executive Officer, said “</w:t>
      </w:r>
      <w:r w:rsidR="48DC20D0">
        <w:t>t</w:t>
      </w:r>
      <w:r>
        <w:t>h</w:t>
      </w:r>
      <w:r w:rsidR="5939D52D">
        <w:t>is is the first time</w:t>
      </w:r>
      <w:r w:rsidR="29E4A66A">
        <w:t xml:space="preserve"> in history </w:t>
      </w:r>
      <w:r w:rsidR="2D3D0B22">
        <w:t>that</w:t>
      </w:r>
      <w:r>
        <w:t xml:space="preserve"> the USPTO and </w:t>
      </w:r>
      <w:proofErr w:type="spellStart"/>
      <w:r>
        <w:t>USDOJ</w:t>
      </w:r>
      <w:proofErr w:type="spellEnd"/>
      <w:r w:rsidR="11337C48">
        <w:t xml:space="preserve"> ha</w:t>
      </w:r>
      <w:r w:rsidR="46E0C5E0">
        <w:t>ve</w:t>
      </w:r>
      <w:r w:rsidR="11337C48">
        <w:t xml:space="preserve"> weighed in on a public interest issue in a 337 investigation</w:t>
      </w:r>
      <w:r w:rsidR="0027474A">
        <w:t>, and they did so in support of Netlist’s position on the matter</w:t>
      </w:r>
      <w:r w:rsidR="267FDD17">
        <w:t>.</w:t>
      </w:r>
      <w:r w:rsidR="0027474A">
        <w:t xml:space="preserve"> </w:t>
      </w:r>
      <w:r w:rsidR="45686759">
        <w:t>The</w:t>
      </w:r>
      <w:r w:rsidR="2D3CCBEF">
        <w:t xml:space="preserve"> USPTO and </w:t>
      </w:r>
      <w:proofErr w:type="spellStart"/>
      <w:r w:rsidR="2D3CCBEF">
        <w:t>USDOJ</w:t>
      </w:r>
      <w:proofErr w:type="spellEnd"/>
      <w:r w:rsidR="2D3CCBEF">
        <w:t xml:space="preserve"> are agencies that advise the President on U.S. IP policy, and th</w:t>
      </w:r>
      <w:r w:rsidR="1323E6E2">
        <w:t>is</w:t>
      </w:r>
      <w:r w:rsidR="208D2EE0">
        <w:t xml:space="preserve"> submission reflect</w:t>
      </w:r>
      <w:r w:rsidR="6C119DB6">
        <w:t>s</w:t>
      </w:r>
      <w:r w:rsidR="208D2EE0">
        <w:t xml:space="preserve"> the Administration’s strong support for American innovation and the enforcement of US patent rights, particularly through injunctive remedy</w:t>
      </w:r>
      <w:r w:rsidR="7065197F">
        <w:t xml:space="preserve">. </w:t>
      </w:r>
      <w:r w:rsidR="7D637559">
        <w:t xml:space="preserve"> </w:t>
      </w:r>
      <w:r>
        <w:t xml:space="preserve">Netlist </w:t>
      </w:r>
      <w:r w:rsidR="3F06C2E9">
        <w:t>anticipates</w:t>
      </w:r>
      <w:r>
        <w:t xml:space="preserve"> the ITC </w:t>
      </w:r>
      <w:r w:rsidR="7976091F">
        <w:t>will</w:t>
      </w:r>
      <w:r>
        <w:t xml:space="preserve"> </w:t>
      </w:r>
      <w:r w:rsidR="1B58DCF1">
        <w:t xml:space="preserve">decide </w:t>
      </w:r>
      <w:r>
        <w:t xml:space="preserve">on </w:t>
      </w:r>
      <w:r w:rsidRPr="29BD3BB9">
        <w:rPr>
          <w:rFonts w:eastAsiaTheme="minorEastAsia"/>
        </w:rPr>
        <w:t>institution of an investigation by the end of the year.”</w:t>
      </w:r>
      <w:r>
        <w:t xml:space="preserve"> </w:t>
      </w:r>
    </w:p>
    <w:p w14:paraId="3E8D8496" w14:textId="54C817F9" w:rsidR="0051774B" w:rsidRPr="0051774B" w:rsidRDefault="00283615" w:rsidP="182F714C">
      <w:pPr>
        <w:pStyle w:val="NormalWeb"/>
        <w:shd w:val="clear" w:color="auto" w:fill="FFFFFF" w:themeFill="background1"/>
        <w:spacing w:before="0" w:beforeAutospacing="0" w:after="150" w:afterAutospacing="0" w:line="300" w:lineRule="atLeast"/>
        <w:jc w:val="both"/>
        <w:rPr>
          <w:rFonts w:eastAsiaTheme="minorEastAsia"/>
          <w:kern w:val="2"/>
          <w14:ligatures w14:val="standardContextual"/>
        </w:rPr>
      </w:pPr>
      <w:r w:rsidRPr="60F9E15C" w:rsidDel="00283615">
        <w:rPr>
          <w:rFonts w:eastAsiaTheme="minorEastAsia"/>
        </w:rPr>
        <w:t>As noted in the join</w:t>
      </w:r>
      <w:r w:rsidR="66EEF804" w:rsidRPr="60F9E15C">
        <w:rPr>
          <w:rFonts w:eastAsiaTheme="minorEastAsia"/>
        </w:rPr>
        <w:t>t</w:t>
      </w:r>
      <w:r w:rsidRPr="60F9E15C">
        <w:rPr>
          <w:rFonts w:eastAsiaTheme="minorEastAsia"/>
        </w:rPr>
        <w:t xml:space="preserve"> public interest statement, “</w:t>
      </w:r>
      <w:r>
        <w:t xml:space="preserve">[t]he USPTO, as the Executive-branch agency charged with examining patent applications, issuing patents, and advising the President on intellectual property policy, has a fundamental interest in ensuring that valid patent rights receive appropriate protection. The Department of Justice’s Antitrust Division enforces </w:t>
      </w:r>
      <w:bookmarkStart w:id="0" w:name="_Int_Peh6KKrj"/>
      <w:r>
        <w:t>the federal</w:t>
      </w:r>
      <w:bookmarkEnd w:id="0"/>
      <w:r>
        <w:t xml:space="preserve"> antitrust laws and has a strong interest in promoting competition, including by promoting a strong and effective patent system to spur innovation and fuel economic growth. Together, the Agencies share the view that the public interest favors robust, predictable enforcement of valid patent rights, particularly at the border, where American innovation often confronts foreign imitation.”</w:t>
      </w:r>
    </w:p>
    <w:p w14:paraId="6A05A809" w14:textId="0726042C" w:rsidR="0051774B" w:rsidRPr="0051774B" w:rsidRDefault="00283615" w:rsidP="60F9E15C">
      <w:pPr>
        <w:pStyle w:val="NormalWeb"/>
        <w:shd w:val="clear" w:color="auto" w:fill="FFFFFF" w:themeFill="background1"/>
        <w:spacing w:before="0" w:beforeAutospacing="0" w:after="150" w:afterAutospacing="0" w:line="300" w:lineRule="atLeast"/>
        <w:jc w:val="both"/>
        <w:rPr>
          <w:rFonts w:eastAsiaTheme="minorEastAsia"/>
          <w:b/>
          <w:bCs/>
          <w:kern w:val="2"/>
          <w14:ligatures w14:val="standardContextual"/>
        </w:rPr>
      </w:pPr>
      <w:r w:rsidRPr="60F9E15C">
        <w:rPr>
          <w:rFonts w:eastAsiaTheme="minorEastAsia"/>
        </w:rPr>
        <w:lastRenderedPageBreak/>
        <w:t xml:space="preserve">The ITC is an independent, non-partisan agency that investigates and makes determinations </w:t>
      </w:r>
      <w:r w:rsidR="004E10D6" w:rsidRPr="60F9E15C">
        <w:rPr>
          <w:rFonts w:eastAsiaTheme="minorEastAsia"/>
        </w:rPr>
        <w:t>against unfair acts in the import trade that</w:t>
      </w:r>
      <w:r w:rsidR="005C01FA" w:rsidRPr="60F9E15C">
        <w:rPr>
          <w:rFonts w:eastAsiaTheme="minorEastAsia"/>
        </w:rPr>
        <w:t xml:space="preserve"> </w:t>
      </w:r>
      <w:r w:rsidR="004E10D6" w:rsidRPr="60F9E15C">
        <w:rPr>
          <w:rFonts w:eastAsiaTheme="minorEastAsia"/>
        </w:rPr>
        <w:t xml:space="preserve">violate </w:t>
      </w:r>
      <w:r w:rsidRPr="60F9E15C">
        <w:rPr>
          <w:rFonts w:eastAsiaTheme="minorEastAsia"/>
        </w:rPr>
        <w:t>U.S. intellectual property rights.  ITC investigations proceed on an expedited basis, commonly progressing to trial within a year.</w:t>
      </w:r>
      <w:r w:rsidR="0051774B" w:rsidRPr="60F9E15C">
        <w:rPr>
          <w:rFonts w:eastAsiaTheme="minorEastAsia"/>
        </w:rPr>
        <w:t xml:space="preserve"> </w:t>
      </w:r>
    </w:p>
    <w:p w14:paraId="5C811731" w14:textId="77777777" w:rsidR="004A0698" w:rsidRPr="004A0698" w:rsidRDefault="00283615" w:rsidP="004A0698">
      <w:pPr>
        <w:spacing w:after="0" w:line="240" w:lineRule="auto"/>
        <w:jc w:val="both"/>
        <w:rPr>
          <w:rFonts w:ascii="Times New Roman" w:hAnsi="Times New Roman" w:cs="Times New Roman"/>
          <w:b/>
          <w:bCs/>
        </w:rPr>
      </w:pPr>
      <w:r w:rsidRPr="004A0698">
        <w:rPr>
          <w:rFonts w:ascii="Times New Roman" w:hAnsi="Times New Roman" w:cs="Times New Roman"/>
          <w:b/>
          <w:bCs/>
        </w:rPr>
        <w:t>About Netlist</w:t>
      </w:r>
    </w:p>
    <w:p w14:paraId="59BC1A90" w14:textId="77777777" w:rsidR="004A0698" w:rsidRPr="004A0698" w:rsidRDefault="00283615" w:rsidP="004A0698">
      <w:pPr>
        <w:spacing w:after="0" w:line="240" w:lineRule="auto"/>
        <w:jc w:val="both"/>
        <w:rPr>
          <w:rFonts w:ascii="Times New Roman" w:hAnsi="Times New Roman" w:cs="Times New Roman"/>
        </w:rPr>
      </w:pPr>
      <w:r w:rsidRPr="004A0698">
        <w:rPr>
          <w:rFonts w:ascii="Times New Roman" w:hAnsi="Times New Roman" w:cs="Times New Roman"/>
        </w:rPr>
        <w:t>Netlist is a leading innovator in advanced memory and storage solutions. With a rich portfolio of patented technologies, Netlist</w:t>
      </w:r>
      <w:r w:rsidR="008F5A3B">
        <w:rPr>
          <w:rFonts w:ascii="Times New Roman" w:hAnsi="Times New Roman" w:cs="Times New Roman"/>
        </w:rPr>
        <w:t>’</w:t>
      </w:r>
      <w:r w:rsidRPr="004A0698">
        <w:rPr>
          <w:rFonts w:ascii="Times New Roman" w:hAnsi="Times New Roman" w:cs="Times New Roman"/>
        </w:rPr>
        <w:t xml:space="preserve">s inventions are foundational to the advancement of AI computing. To learn more about Netlist, please visit </w:t>
      </w:r>
      <w:hyperlink r:id="rId8" w:history="1">
        <w:proofErr w:type="spellStart"/>
        <w:r w:rsidR="0051774B" w:rsidRPr="00405176">
          <w:rPr>
            <w:rStyle w:val="Hyperlink"/>
            <w:rFonts w:ascii="Times New Roman" w:hAnsi="Times New Roman" w:cs="Times New Roman"/>
          </w:rPr>
          <w:t>www.netlist.com</w:t>
        </w:r>
        <w:proofErr w:type="spellEnd"/>
      </w:hyperlink>
      <w:r w:rsidR="0051774B">
        <w:rPr>
          <w:rFonts w:ascii="Times New Roman" w:hAnsi="Times New Roman" w:cs="Times New Roman"/>
        </w:rPr>
        <w:t xml:space="preserve">. </w:t>
      </w:r>
    </w:p>
    <w:p w14:paraId="41C8F396" w14:textId="77777777" w:rsidR="004A0698" w:rsidRPr="004A0698" w:rsidRDefault="004A0698" w:rsidP="004A0698">
      <w:pPr>
        <w:spacing w:after="0" w:line="240" w:lineRule="auto"/>
        <w:jc w:val="both"/>
        <w:rPr>
          <w:rFonts w:ascii="Times New Roman" w:hAnsi="Times New Roman" w:cs="Times New Roman"/>
        </w:rPr>
      </w:pPr>
    </w:p>
    <w:p w14:paraId="378F2B39" w14:textId="033E04DF" w:rsidR="60F9E15C" w:rsidRDefault="60F9E15C" w:rsidP="60F9E15C">
      <w:pPr>
        <w:spacing w:after="0" w:line="240" w:lineRule="auto"/>
        <w:jc w:val="both"/>
        <w:rPr>
          <w:rFonts w:ascii="Times New Roman" w:hAnsi="Times New Roman" w:cs="Times New Roman"/>
          <w:b/>
          <w:bCs/>
        </w:rPr>
      </w:pPr>
    </w:p>
    <w:p w14:paraId="48C2CFB5" w14:textId="50245410" w:rsidR="60F9E15C" w:rsidRDefault="60F9E15C">
      <w:r>
        <w:br w:type="page"/>
      </w:r>
    </w:p>
    <w:p w14:paraId="3848F678" w14:textId="76D3CF5C" w:rsidR="00283615" w:rsidRDefault="00283615" w:rsidP="60F9E15C">
      <w:pPr>
        <w:spacing w:after="0" w:line="240" w:lineRule="auto"/>
        <w:jc w:val="both"/>
      </w:pPr>
      <w:r w:rsidRPr="60F9E15C">
        <w:rPr>
          <w:rFonts w:ascii="Times New Roman" w:hAnsi="Times New Roman" w:cs="Times New Roman"/>
          <w:b/>
          <w:bCs/>
        </w:rPr>
        <w:t>Safe Harbor Statement</w:t>
      </w:r>
    </w:p>
    <w:p w14:paraId="08ABAC08" w14:textId="77777777" w:rsidR="0051774B" w:rsidRPr="0051774B" w:rsidRDefault="00283615" w:rsidP="0051774B">
      <w:pPr>
        <w:keepNext/>
        <w:rPr>
          <w:rFonts w:ascii="Times New Roman" w:hAnsi="Times New Roman" w:cs="Times New Roman"/>
        </w:rPr>
      </w:pPr>
      <w:r w:rsidRPr="0051774B">
        <w:rPr>
          <w:rFonts w:ascii="Times New Roman" w:hAnsi="Times New Roman" w:cs="Times New Roman"/>
        </w:rPr>
        <w:t xml:space="preserve">This news release contains forward-looking statements within the meaning of the Private Securities Litigation Reform Act of 1995. Forward-looking statements contained in this news release include, without limitation, statements about Netlist's ability to execute on its strategic initiatives, the results of pending litigations and Netlist’s ability to successfully defend its intellectual property. Forward-looking statements are statements other than historical facts and often address future events or Netlist's future performance and reflect management's present expectations regarding future events and are subject to known and unknown risks, uncertainties and other factors that could cause actual results to differ materially from those expressed in or implied by any forward-looking statements. These risks, uncertainties and other factors include, among others: risks that Samsung will appeal the final orders by the trial court for the Samsung litigation, risks that Micron will appeal the final orders by the trial court (appeals in general could cause a lengthy delay in Netlist's ability to collect damage awards, could overturn the verdicts or reduce the damages awards); risks that Netlist will suffer adverse outcomes in its litigation with Samsung, Micron or Google or in its various other active proceedings to defend the validity of its patents; risks related to Netlist's plans for its intellectual property, including its strategies for monetizing, licensing, expanding, and defending its patent portfolio; risks associated with patent infringement litigation initiated by Netlist, or by others against Netlist, as well as the costs and unpredictability of any such litigation; risks associated with Netlist's product sales, including the market and demand for products sold by Netlist and its ability to successfully develop and launch new products that are attractive to the market; the success of product, joint development and licensing partnerships; the competitive landscape of Netlist's industry; and general economic, political and market conditions, including the ongoing conflicts between Russia and Ukraine and Israel and Palestine, factory slowdowns and/or shutdowns, and changes in international tariff policies. All forward-looking statements reflect management's present assumptions, expectations and beliefs regarding future events and are subject to known and unknown risks, uncertainties and other factors that could cause actual results to differ materially from those expressed in or implied by any forward-looking statements. These and other risks and uncertainties are described in Netlist's Annual Report on Form 10-K for the fiscal year ended December 28, 2024 filed with the SEC on March 28, 2025, and the other filings it makes with the U.S. Securities and Exchange Commission from time to time, including any subsequently filed quarterly and current reports. </w:t>
      </w:r>
      <w:proofErr w:type="gramStart"/>
      <w:r w:rsidRPr="0051774B">
        <w:rPr>
          <w:rFonts w:ascii="Times New Roman" w:hAnsi="Times New Roman" w:cs="Times New Roman"/>
        </w:rPr>
        <w:t>In particular, you</w:t>
      </w:r>
      <w:proofErr w:type="gramEnd"/>
      <w:r w:rsidRPr="0051774B">
        <w:rPr>
          <w:rFonts w:ascii="Times New Roman" w:hAnsi="Times New Roman" w:cs="Times New Roman"/>
        </w:rPr>
        <w:t xml:space="preserve"> are encouraged to review the Company’s Quarterly Report on Form 10-Q for the quarter ended September 27, 2025 filed with the SEC </w:t>
      </w:r>
      <w:r>
        <w:rPr>
          <w:rFonts w:ascii="Times New Roman" w:hAnsi="Times New Roman" w:cs="Times New Roman"/>
        </w:rPr>
        <w:t>on November 12, 2025</w:t>
      </w:r>
      <w:r w:rsidRPr="0051774B">
        <w:rPr>
          <w:rFonts w:ascii="Times New Roman" w:hAnsi="Times New Roman" w:cs="Times New Roman"/>
        </w:rPr>
        <w:t xml:space="preserve">. </w:t>
      </w:r>
      <w:proofErr w:type="gramStart"/>
      <w:r w:rsidRPr="0051774B">
        <w:rPr>
          <w:rFonts w:ascii="Times New Roman" w:hAnsi="Times New Roman" w:cs="Times New Roman"/>
        </w:rPr>
        <w:t>In light of</w:t>
      </w:r>
      <w:proofErr w:type="gramEnd"/>
      <w:r w:rsidRPr="0051774B">
        <w:rPr>
          <w:rFonts w:ascii="Times New Roman" w:hAnsi="Times New Roman" w:cs="Times New Roman"/>
        </w:rPr>
        <w:t xml:space="preserve"> these risks, uncertainties and other factors, these forward-looking statements should not be relied on as predictions of future events. These forward-looking statements represent Netlist's assumptions, </w:t>
      </w:r>
      <w:proofErr w:type="gramStart"/>
      <w:r w:rsidRPr="0051774B">
        <w:rPr>
          <w:rFonts w:ascii="Times New Roman" w:hAnsi="Times New Roman" w:cs="Times New Roman"/>
        </w:rPr>
        <w:t>expectations</w:t>
      </w:r>
      <w:proofErr w:type="gramEnd"/>
      <w:r w:rsidRPr="0051774B">
        <w:rPr>
          <w:rFonts w:ascii="Times New Roman" w:hAnsi="Times New Roman" w:cs="Times New Roman"/>
        </w:rPr>
        <w:t xml:space="preserve"> and beliefs only as of the date they are made, and except as required by law, Netlist undertakes no obligation to revise or update any forward-looking statements for any reason.</w:t>
      </w:r>
    </w:p>
    <w:p w14:paraId="72A3D3EC" w14:textId="77777777" w:rsidR="004A0698" w:rsidRPr="0051774B" w:rsidRDefault="004A0698" w:rsidP="004A0698">
      <w:pPr>
        <w:spacing w:after="0" w:line="240" w:lineRule="auto"/>
        <w:jc w:val="both"/>
        <w:rPr>
          <w:rFonts w:ascii="Times New Roman" w:hAnsi="Times New Roman" w:cs="Times New Roman"/>
        </w:rPr>
      </w:pPr>
    </w:p>
    <w:p w14:paraId="0D0B940D" w14:textId="77777777" w:rsidR="004A0698" w:rsidRPr="007A0034" w:rsidRDefault="004A0698" w:rsidP="004A0698">
      <w:pPr>
        <w:spacing w:after="0" w:line="240" w:lineRule="auto"/>
        <w:jc w:val="both"/>
        <w:rPr>
          <w:rFonts w:ascii="Times New Roman" w:hAnsi="Times New Roman" w:cs="Times New Roman"/>
        </w:rPr>
      </w:pPr>
    </w:p>
    <w:p w14:paraId="4614E364" w14:textId="77777777" w:rsidR="004A0698" w:rsidRPr="007A0034" w:rsidRDefault="00283615" w:rsidP="004A0698">
      <w:pPr>
        <w:spacing w:after="0" w:line="240" w:lineRule="auto"/>
        <w:jc w:val="both"/>
        <w:rPr>
          <w:rFonts w:ascii="Times New Roman" w:hAnsi="Times New Roman" w:cs="Times New Roman"/>
        </w:rPr>
      </w:pPr>
      <w:r w:rsidRPr="007A0034">
        <w:rPr>
          <w:rFonts w:ascii="Times New Roman" w:hAnsi="Times New Roman" w:cs="Times New Roman"/>
        </w:rPr>
        <w:t>For more information, please contact:</w:t>
      </w:r>
    </w:p>
    <w:p w14:paraId="089031B7" w14:textId="77777777" w:rsidR="004A0698" w:rsidRPr="007A0034" w:rsidRDefault="00283615" w:rsidP="004A0698">
      <w:pPr>
        <w:spacing w:after="0" w:line="240" w:lineRule="auto"/>
        <w:jc w:val="both"/>
        <w:rPr>
          <w:rFonts w:ascii="Times New Roman" w:hAnsi="Times New Roman" w:cs="Times New Roman"/>
        </w:rPr>
      </w:pPr>
      <w:r w:rsidRPr="007A0034">
        <w:rPr>
          <w:rFonts w:ascii="Times New Roman" w:hAnsi="Times New Roman" w:cs="Times New Roman"/>
        </w:rPr>
        <w:t>Investors/Media</w:t>
      </w:r>
    </w:p>
    <w:p w14:paraId="5938486B" w14:textId="77777777" w:rsidR="004A0698" w:rsidRPr="004A0698" w:rsidRDefault="00283615" w:rsidP="004A0698">
      <w:pPr>
        <w:spacing w:after="0" w:line="240" w:lineRule="auto"/>
        <w:jc w:val="both"/>
        <w:rPr>
          <w:rFonts w:ascii="Times New Roman" w:hAnsi="Times New Roman" w:cs="Times New Roman"/>
        </w:rPr>
      </w:pPr>
      <w:r w:rsidRPr="007A0034">
        <w:rPr>
          <w:rFonts w:ascii="Times New Roman" w:hAnsi="Times New Roman" w:cs="Times New Roman"/>
        </w:rPr>
        <w:t>Mike Smargiassi</w:t>
      </w:r>
    </w:p>
    <w:p w14:paraId="5DE75239" w14:textId="77777777" w:rsidR="004A0698" w:rsidRPr="004A0698" w:rsidRDefault="00283615" w:rsidP="004A0698">
      <w:pPr>
        <w:spacing w:after="0" w:line="240" w:lineRule="auto"/>
        <w:jc w:val="both"/>
        <w:rPr>
          <w:rFonts w:ascii="Times New Roman" w:hAnsi="Times New Roman" w:cs="Times New Roman"/>
        </w:rPr>
      </w:pPr>
      <w:r w:rsidRPr="004A0698">
        <w:rPr>
          <w:rFonts w:ascii="Times New Roman" w:hAnsi="Times New Roman" w:cs="Times New Roman"/>
        </w:rPr>
        <w:t>The Plunkett Group</w:t>
      </w:r>
    </w:p>
    <w:p w14:paraId="4DE223A6" w14:textId="77777777" w:rsidR="004A0698" w:rsidRDefault="00283615" w:rsidP="004A0698">
      <w:pPr>
        <w:spacing w:after="0" w:line="240" w:lineRule="auto"/>
        <w:jc w:val="both"/>
        <w:rPr>
          <w:rFonts w:ascii="Times New Roman" w:hAnsi="Times New Roman" w:cs="Times New Roman"/>
        </w:rPr>
      </w:pPr>
      <w:hyperlink r:id="rId9" w:history="1">
        <w:proofErr w:type="spellStart"/>
        <w:r w:rsidRPr="00B00F96">
          <w:rPr>
            <w:rStyle w:val="Hyperlink"/>
            <w:rFonts w:ascii="Times New Roman" w:hAnsi="Times New Roman" w:cs="Times New Roman"/>
          </w:rPr>
          <w:t>NLST@theplunkettgroup.com</w:t>
        </w:r>
        <w:proofErr w:type="spellEnd"/>
      </w:hyperlink>
    </w:p>
    <w:p w14:paraId="0C0F6EA7" w14:textId="77777777" w:rsidR="004A0698" w:rsidRPr="004A0698" w:rsidRDefault="00283615" w:rsidP="004A0698">
      <w:pPr>
        <w:spacing w:after="0" w:line="240" w:lineRule="auto"/>
        <w:jc w:val="both"/>
        <w:rPr>
          <w:rFonts w:ascii="Times New Roman" w:hAnsi="Times New Roman" w:cs="Times New Roman"/>
        </w:rPr>
      </w:pPr>
      <w:r w:rsidRPr="004A0698">
        <w:rPr>
          <w:rFonts w:ascii="Times New Roman" w:hAnsi="Times New Roman" w:cs="Times New Roman"/>
        </w:rPr>
        <w:t>(212) 739-6729</w:t>
      </w:r>
    </w:p>
    <w:sectPr w:rsidR="004A0698" w:rsidRPr="004A069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altName w:val="Arial"/>
    <w:charset w:val="00"/>
    <w:family w:val="swiss"/>
    <w:pitch w:val="variable"/>
    <w:sig w:usb0="20000287" w:usb1="00000003" w:usb2="00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s>
</file>

<file path=word/intelligence2.xml><?xml version="1.0" encoding="utf-8"?>
<int2:intelligence xmlns:int2="http://schemas.microsoft.com/office/intelligence/2020/intelligence" xmlns:oel="http://schemas.microsoft.com/office/2019/extlst">
  <int2:observations>
    <int2:bookmark int2:bookmarkName="_Int_Peh6KKrj" int2:invalidationBookmarkName="" int2:hashCode="GuNY9Zyyas3h20" int2:id="ELLYjB1P">
      <int2:state int2:value="Rejected" int2:type="gram"/>
    </int2:bookmark>
  </int2:observations>
  <int2:intelligenceSettings/>
  <int2:onDemandWorkflows/>
</int2:intelligenc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trackRevisions/>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47A66"/>
    <w:rsid w:val="0003449B"/>
    <w:rsid w:val="000520DB"/>
    <w:rsid w:val="000671D4"/>
    <w:rsid w:val="00071F97"/>
    <w:rsid w:val="000906E4"/>
    <w:rsid w:val="000A3340"/>
    <w:rsid w:val="000A77E8"/>
    <w:rsid w:val="000B6C14"/>
    <w:rsid w:val="000D39DF"/>
    <w:rsid w:val="001274F0"/>
    <w:rsid w:val="00135E62"/>
    <w:rsid w:val="0018466C"/>
    <w:rsid w:val="001B351A"/>
    <w:rsid w:val="001B565F"/>
    <w:rsid w:val="00244A31"/>
    <w:rsid w:val="00247A66"/>
    <w:rsid w:val="00262B92"/>
    <w:rsid w:val="00266D55"/>
    <w:rsid w:val="0027474A"/>
    <w:rsid w:val="00283615"/>
    <w:rsid w:val="002A2A7D"/>
    <w:rsid w:val="002B0238"/>
    <w:rsid w:val="002B5F20"/>
    <w:rsid w:val="002E505A"/>
    <w:rsid w:val="00307E6C"/>
    <w:rsid w:val="0031070D"/>
    <w:rsid w:val="00312A79"/>
    <w:rsid w:val="0035773E"/>
    <w:rsid w:val="00363BCF"/>
    <w:rsid w:val="00391A64"/>
    <w:rsid w:val="00393EFE"/>
    <w:rsid w:val="003B3903"/>
    <w:rsid w:val="003B7DDD"/>
    <w:rsid w:val="003D1699"/>
    <w:rsid w:val="003E3861"/>
    <w:rsid w:val="00405176"/>
    <w:rsid w:val="004174AA"/>
    <w:rsid w:val="00422B2F"/>
    <w:rsid w:val="00453395"/>
    <w:rsid w:val="0046180B"/>
    <w:rsid w:val="00464DB4"/>
    <w:rsid w:val="004739C7"/>
    <w:rsid w:val="00494EA8"/>
    <w:rsid w:val="004A0698"/>
    <w:rsid w:val="004B253A"/>
    <w:rsid w:val="004B5980"/>
    <w:rsid w:val="004D3B62"/>
    <w:rsid w:val="004E10D6"/>
    <w:rsid w:val="00506875"/>
    <w:rsid w:val="0051774B"/>
    <w:rsid w:val="00532CD8"/>
    <w:rsid w:val="005449B2"/>
    <w:rsid w:val="0054596D"/>
    <w:rsid w:val="005C01FA"/>
    <w:rsid w:val="00617B91"/>
    <w:rsid w:val="00631E44"/>
    <w:rsid w:val="00647328"/>
    <w:rsid w:val="00650328"/>
    <w:rsid w:val="0065313F"/>
    <w:rsid w:val="006744E2"/>
    <w:rsid w:val="006C4A0B"/>
    <w:rsid w:val="006E7414"/>
    <w:rsid w:val="00711254"/>
    <w:rsid w:val="00737821"/>
    <w:rsid w:val="00765111"/>
    <w:rsid w:val="007761FB"/>
    <w:rsid w:val="007A0034"/>
    <w:rsid w:val="007E58C4"/>
    <w:rsid w:val="008315B9"/>
    <w:rsid w:val="00851CE9"/>
    <w:rsid w:val="00892E7D"/>
    <w:rsid w:val="00897D61"/>
    <w:rsid w:val="008A7A2C"/>
    <w:rsid w:val="008C137E"/>
    <w:rsid w:val="008D536C"/>
    <w:rsid w:val="008D5649"/>
    <w:rsid w:val="008E2E90"/>
    <w:rsid w:val="008F3136"/>
    <w:rsid w:val="008F5A3B"/>
    <w:rsid w:val="00935EE4"/>
    <w:rsid w:val="009713E8"/>
    <w:rsid w:val="00986DC0"/>
    <w:rsid w:val="00991B4D"/>
    <w:rsid w:val="009A2D08"/>
    <w:rsid w:val="009B6EFE"/>
    <w:rsid w:val="009C24F0"/>
    <w:rsid w:val="009E08FF"/>
    <w:rsid w:val="009E6EBA"/>
    <w:rsid w:val="00A15EE8"/>
    <w:rsid w:val="00A36FB4"/>
    <w:rsid w:val="00A46830"/>
    <w:rsid w:val="00A83147"/>
    <w:rsid w:val="00AC255B"/>
    <w:rsid w:val="00AE2D58"/>
    <w:rsid w:val="00AE3318"/>
    <w:rsid w:val="00AF0DB7"/>
    <w:rsid w:val="00B00F96"/>
    <w:rsid w:val="00B15E7F"/>
    <w:rsid w:val="00B3584D"/>
    <w:rsid w:val="00B77FC7"/>
    <w:rsid w:val="00B8326C"/>
    <w:rsid w:val="00B865F3"/>
    <w:rsid w:val="00BD20D4"/>
    <w:rsid w:val="00C21693"/>
    <w:rsid w:val="00C85D3C"/>
    <w:rsid w:val="00D51BED"/>
    <w:rsid w:val="00D5371B"/>
    <w:rsid w:val="00D6461A"/>
    <w:rsid w:val="00E52EF5"/>
    <w:rsid w:val="00E64FBB"/>
    <w:rsid w:val="00E8283A"/>
    <w:rsid w:val="00E84B32"/>
    <w:rsid w:val="00EA37A1"/>
    <w:rsid w:val="00EE06AB"/>
    <w:rsid w:val="00F01141"/>
    <w:rsid w:val="00F26983"/>
    <w:rsid w:val="00F321B1"/>
    <w:rsid w:val="00FB1B9F"/>
    <w:rsid w:val="00FB417B"/>
    <w:rsid w:val="00FE638A"/>
    <w:rsid w:val="00FE7458"/>
    <w:rsid w:val="00FF16DC"/>
    <w:rsid w:val="05ED1C93"/>
    <w:rsid w:val="09C1C2FF"/>
    <w:rsid w:val="11337C48"/>
    <w:rsid w:val="1323E6E2"/>
    <w:rsid w:val="14047A44"/>
    <w:rsid w:val="1464D622"/>
    <w:rsid w:val="161835C9"/>
    <w:rsid w:val="165FE16E"/>
    <w:rsid w:val="182F714C"/>
    <w:rsid w:val="1ABD0498"/>
    <w:rsid w:val="1AF8EC2A"/>
    <w:rsid w:val="1B424077"/>
    <w:rsid w:val="1B58DCF1"/>
    <w:rsid w:val="1BE8F55D"/>
    <w:rsid w:val="208D2EE0"/>
    <w:rsid w:val="20A3C585"/>
    <w:rsid w:val="20C4C1E1"/>
    <w:rsid w:val="21C7F552"/>
    <w:rsid w:val="23FCF602"/>
    <w:rsid w:val="24C84010"/>
    <w:rsid w:val="2578BF76"/>
    <w:rsid w:val="2676438D"/>
    <w:rsid w:val="267FDD17"/>
    <w:rsid w:val="28862B19"/>
    <w:rsid w:val="293140B2"/>
    <w:rsid w:val="29BD3BB9"/>
    <w:rsid w:val="29E4A66A"/>
    <w:rsid w:val="2C279923"/>
    <w:rsid w:val="2D3CCBEF"/>
    <w:rsid w:val="2D3D0B22"/>
    <w:rsid w:val="2DEA8671"/>
    <w:rsid w:val="3266751A"/>
    <w:rsid w:val="32A8EB59"/>
    <w:rsid w:val="35948518"/>
    <w:rsid w:val="3674813E"/>
    <w:rsid w:val="3689046D"/>
    <w:rsid w:val="3831F66A"/>
    <w:rsid w:val="387B93FA"/>
    <w:rsid w:val="38C86FDF"/>
    <w:rsid w:val="3BCF9ECC"/>
    <w:rsid w:val="3E5F009A"/>
    <w:rsid w:val="3F06C2E9"/>
    <w:rsid w:val="3F1A92A0"/>
    <w:rsid w:val="4214F169"/>
    <w:rsid w:val="45686759"/>
    <w:rsid w:val="463922A8"/>
    <w:rsid w:val="46E0C5E0"/>
    <w:rsid w:val="47A672B6"/>
    <w:rsid w:val="4800F083"/>
    <w:rsid w:val="48DC20D0"/>
    <w:rsid w:val="4A7DB15F"/>
    <w:rsid w:val="4C3301F4"/>
    <w:rsid w:val="50B9422D"/>
    <w:rsid w:val="5278F97F"/>
    <w:rsid w:val="5367F2DD"/>
    <w:rsid w:val="536FF280"/>
    <w:rsid w:val="5939D52D"/>
    <w:rsid w:val="5AE5D6F5"/>
    <w:rsid w:val="5E5CAA57"/>
    <w:rsid w:val="6019324D"/>
    <w:rsid w:val="60F9E15C"/>
    <w:rsid w:val="6599BC34"/>
    <w:rsid w:val="66EEF804"/>
    <w:rsid w:val="68101DC3"/>
    <w:rsid w:val="68C6D118"/>
    <w:rsid w:val="6C119DB6"/>
    <w:rsid w:val="6DD3E766"/>
    <w:rsid w:val="6EF1D77C"/>
    <w:rsid w:val="706082B2"/>
    <w:rsid w:val="7065197F"/>
    <w:rsid w:val="7786C886"/>
    <w:rsid w:val="77CB1748"/>
    <w:rsid w:val="78A60ED2"/>
    <w:rsid w:val="78C12F82"/>
    <w:rsid w:val="791EB1F3"/>
    <w:rsid w:val="7920620A"/>
    <w:rsid w:val="7976091F"/>
    <w:rsid w:val="79C19D6C"/>
    <w:rsid w:val="7B07AE8C"/>
    <w:rsid w:val="7CE74CC3"/>
    <w:rsid w:val="7D637559"/>
    <w:rsid w:val="7EA85DA8"/>
    <w:rsid w:val="7EC60AA1"/>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C156C9"/>
  <w15:chartTrackingRefBased/>
  <w15:docId w15:val="{79AC8347-A2F3-4CA5-B823-9A013D4948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47A6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47A6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47A6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47A6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47A6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47A6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47A6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47A6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47A6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47A6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47A6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47A6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47A6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47A6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47A6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47A6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47A6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47A66"/>
    <w:rPr>
      <w:rFonts w:eastAsiaTheme="majorEastAsia" w:cstheme="majorBidi"/>
      <w:color w:val="272727" w:themeColor="text1" w:themeTint="D8"/>
    </w:rPr>
  </w:style>
  <w:style w:type="paragraph" w:styleId="Title">
    <w:name w:val="Title"/>
    <w:basedOn w:val="Normal"/>
    <w:next w:val="Normal"/>
    <w:link w:val="TitleChar"/>
    <w:uiPriority w:val="10"/>
    <w:qFormat/>
    <w:rsid w:val="00247A6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47A6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47A6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47A6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47A66"/>
    <w:pPr>
      <w:spacing w:before="160"/>
      <w:jc w:val="center"/>
    </w:pPr>
    <w:rPr>
      <w:i/>
      <w:iCs/>
      <w:color w:val="404040" w:themeColor="text1" w:themeTint="BF"/>
    </w:rPr>
  </w:style>
  <w:style w:type="character" w:customStyle="1" w:styleId="QuoteChar">
    <w:name w:val="Quote Char"/>
    <w:basedOn w:val="DefaultParagraphFont"/>
    <w:link w:val="Quote"/>
    <w:uiPriority w:val="29"/>
    <w:rsid w:val="00247A66"/>
    <w:rPr>
      <w:i/>
      <w:iCs/>
      <w:color w:val="404040" w:themeColor="text1" w:themeTint="BF"/>
    </w:rPr>
  </w:style>
  <w:style w:type="paragraph" w:styleId="ListParagraph">
    <w:name w:val="List Paragraph"/>
    <w:basedOn w:val="Normal"/>
    <w:uiPriority w:val="34"/>
    <w:qFormat/>
    <w:rsid w:val="00247A66"/>
    <w:pPr>
      <w:ind w:left="720"/>
      <w:contextualSpacing/>
    </w:pPr>
  </w:style>
  <w:style w:type="character" w:styleId="IntenseEmphasis">
    <w:name w:val="Intense Emphasis"/>
    <w:basedOn w:val="DefaultParagraphFont"/>
    <w:uiPriority w:val="21"/>
    <w:qFormat/>
    <w:rsid w:val="00247A66"/>
    <w:rPr>
      <w:i/>
      <w:iCs/>
      <w:color w:val="0F4761" w:themeColor="accent1" w:themeShade="BF"/>
    </w:rPr>
  </w:style>
  <w:style w:type="paragraph" w:styleId="IntenseQuote">
    <w:name w:val="Intense Quote"/>
    <w:basedOn w:val="Normal"/>
    <w:next w:val="Normal"/>
    <w:link w:val="IntenseQuoteChar"/>
    <w:uiPriority w:val="30"/>
    <w:qFormat/>
    <w:rsid w:val="00247A6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47A66"/>
    <w:rPr>
      <w:i/>
      <w:iCs/>
      <w:color w:val="0F4761" w:themeColor="accent1" w:themeShade="BF"/>
    </w:rPr>
  </w:style>
  <w:style w:type="character" w:styleId="IntenseReference">
    <w:name w:val="Intense Reference"/>
    <w:basedOn w:val="DefaultParagraphFont"/>
    <w:uiPriority w:val="32"/>
    <w:qFormat/>
    <w:rsid w:val="00247A66"/>
    <w:rPr>
      <w:b/>
      <w:bCs/>
      <w:smallCaps/>
      <w:color w:val="0F4761" w:themeColor="accent1" w:themeShade="BF"/>
      <w:spacing w:val="5"/>
    </w:rPr>
  </w:style>
  <w:style w:type="character" w:styleId="Hyperlink">
    <w:name w:val="Hyperlink"/>
    <w:basedOn w:val="DefaultParagraphFont"/>
    <w:uiPriority w:val="99"/>
    <w:unhideWhenUsed/>
    <w:rsid w:val="004A0698"/>
    <w:rPr>
      <w:color w:val="467886" w:themeColor="hyperlink"/>
      <w:u w:val="single"/>
    </w:rPr>
  </w:style>
  <w:style w:type="character" w:customStyle="1" w:styleId="UnresolvedMention1">
    <w:name w:val="Unresolved Mention1"/>
    <w:basedOn w:val="DefaultParagraphFont"/>
    <w:uiPriority w:val="99"/>
    <w:semiHidden/>
    <w:unhideWhenUsed/>
    <w:rsid w:val="004A0698"/>
    <w:rPr>
      <w:color w:val="605E5C"/>
      <w:shd w:val="clear" w:color="auto" w:fill="E1DFDD"/>
    </w:rPr>
  </w:style>
  <w:style w:type="paragraph" w:styleId="NormalWeb">
    <w:name w:val="Normal (Web)"/>
    <w:basedOn w:val="Normal"/>
    <w:uiPriority w:val="99"/>
    <w:unhideWhenUsed/>
    <w:rsid w:val="00AC255B"/>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CommentReference">
    <w:name w:val="annotation reference"/>
    <w:basedOn w:val="DefaultParagraphFont"/>
    <w:uiPriority w:val="99"/>
    <w:semiHidden/>
    <w:unhideWhenUsed/>
    <w:rsid w:val="002B0238"/>
    <w:rPr>
      <w:sz w:val="16"/>
      <w:szCs w:val="16"/>
    </w:rPr>
  </w:style>
  <w:style w:type="paragraph" w:styleId="CommentText">
    <w:name w:val="annotation text"/>
    <w:basedOn w:val="Normal"/>
    <w:link w:val="CommentTextChar"/>
    <w:uiPriority w:val="99"/>
    <w:unhideWhenUsed/>
    <w:rsid w:val="002B0238"/>
    <w:pPr>
      <w:spacing w:line="240" w:lineRule="auto"/>
    </w:pPr>
    <w:rPr>
      <w:sz w:val="20"/>
      <w:szCs w:val="20"/>
    </w:rPr>
  </w:style>
  <w:style w:type="character" w:customStyle="1" w:styleId="CommentTextChar">
    <w:name w:val="Comment Text Char"/>
    <w:basedOn w:val="DefaultParagraphFont"/>
    <w:link w:val="CommentText"/>
    <w:uiPriority w:val="99"/>
    <w:rsid w:val="002B0238"/>
    <w:rPr>
      <w:sz w:val="20"/>
      <w:szCs w:val="20"/>
    </w:rPr>
  </w:style>
  <w:style w:type="paragraph" w:styleId="CommentSubject">
    <w:name w:val="annotation subject"/>
    <w:basedOn w:val="CommentText"/>
    <w:next w:val="CommentText"/>
    <w:link w:val="CommentSubjectChar"/>
    <w:uiPriority w:val="99"/>
    <w:semiHidden/>
    <w:unhideWhenUsed/>
    <w:rsid w:val="002B0238"/>
    <w:rPr>
      <w:b/>
      <w:bCs/>
    </w:rPr>
  </w:style>
  <w:style w:type="character" w:customStyle="1" w:styleId="CommentSubjectChar">
    <w:name w:val="Comment Subject Char"/>
    <w:basedOn w:val="CommentTextChar"/>
    <w:link w:val="CommentSubject"/>
    <w:uiPriority w:val="99"/>
    <w:semiHidden/>
    <w:rsid w:val="002B0238"/>
    <w:rPr>
      <w:b/>
      <w:bCs/>
      <w:sz w:val="20"/>
      <w:szCs w:val="20"/>
    </w:rPr>
  </w:style>
  <w:style w:type="paragraph" w:styleId="Revision">
    <w:name w:val="Revision"/>
    <w:hidden/>
    <w:uiPriority w:val="99"/>
    <w:semiHidden/>
    <w:rsid w:val="008D536C"/>
    <w:pPr>
      <w:spacing w:after="0" w:line="240" w:lineRule="auto"/>
    </w:pPr>
  </w:style>
  <w:style w:type="paragraph" w:styleId="BalloonText">
    <w:name w:val="Balloon Text"/>
    <w:basedOn w:val="Normal"/>
    <w:link w:val="BalloonTextChar"/>
    <w:uiPriority w:val="99"/>
    <w:semiHidden/>
    <w:unhideWhenUsed/>
    <w:rsid w:val="004E10D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E10D6"/>
    <w:rPr>
      <w:rFonts w:ascii="Segoe UI" w:hAnsi="Segoe UI" w:cs="Segoe UI"/>
      <w:sz w:val="18"/>
      <w:szCs w:val="18"/>
    </w:rPr>
  </w:style>
  <w:style w:type="character" w:customStyle="1" w:styleId="UnresolvedMention2">
    <w:name w:val="Unresolved Mention2"/>
    <w:basedOn w:val="DefaultParagraphFont"/>
    <w:uiPriority w:val="99"/>
    <w:semiHidden/>
    <w:unhideWhenUsed/>
    <w:rsid w:val="0051774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otect.checkpoint.com/v2/r01/___http://www.netlist.com___.YXAzOmdkcm5ldGxpc3Q6YzpvOjNiNDRhYWJlZTcwOWFlNWFmYzkxZTI3NWJlM2FiMGZiOjc6MjMwYjo4ZjAwZWRjYmRlYmIzYjE5ZjI5OGE5MWI0Nzc1OWIzZjlmYTU5ZjY4NWM1ZDBmZTVhODFjMzc3NTI5NmRjNTc2OnA6RjpO" TargetMode="External"/><Relationship Id="rId3" Type="http://schemas.openxmlformats.org/officeDocument/2006/relationships/customXml" Target="../customXml/item3.xml"/><Relationship Id="rId7" Type="http://schemas.openxmlformats.org/officeDocument/2006/relationships/image" Target="media/image1.jpeg"/><Relationship Id="rId12" Type="http://schemas.microsoft.com/office/2020/10/relationships/intelligence" Target="intelligence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yperlink" Target="mailto:NLST@theplunkettgroup.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B2C96D775422046A25052F97DFE8A18" ma:contentTypeVersion="19" ma:contentTypeDescription="Create a new document." ma:contentTypeScope="" ma:versionID="1bc95c8db42eb2a17573c6e7b8de69e1">
  <xsd:schema xmlns:xsd="http://www.w3.org/2001/XMLSchema" xmlns:xs="http://www.w3.org/2001/XMLSchema" xmlns:p="http://schemas.microsoft.com/office/2006/metadata/properties" xmlns:ns2="68082392-d32c-4ad1-a768-68236d241b47" xmlns:ns3="baf3960a-0189-4a25-a941-c5eae014b3b6" targetNamespace="http://schemas.microsoft.com/office/2006/metadata/properties" ma:root="true" ma:fieldsID="922a146a1637c22a1f146fc91801a00b" ns2:_="" ns3:_="">
    <xsd:import namespace="68082392-d32c-4ad1-a768-68236d241b47"/>
    <xsd:import namespace="baf3960a-0189-4a25-a941-c5eae014b3b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lcf76f155ced4ddcb4097134ff3c332f" minOccurs="0"/>
                <xsd:element ref="ns3:TaxCatchAll" minOccurs="0"/>
                <xsd:element ref="ns2:MediaServiceLocation" minOccurs="0"/>
                <xsd:element ref="ns2:MediaServiceObjectDetectorVersions" minOccurs="0"/>
                <xsd:element ref="ns2:MediaLengthInSecond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8082392-d32c-4ad1-a768-68236d241b4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b12650f8-4472-4335-88b3-8a3060b55912" ma:termSetId="09814cd3-568e-fe90-9814-8d621ff8fb84" ma:anchorId="fba54fb3-c3e1-fe81-a776-ca4b69148c4d" ma:open="true" ma:isKeyword="false">
      <xsd:complexType>
        <xsd:sequence>
          <xsd:element ref="pc:Terms" minOccurs="0" maxOccurs="1"/>
        </xsd:sequence>
      </xsd:complexType>
    </xsd:element>
    <xsd:element name="MediaServiceLocation" ma:index="22"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af3960a-0189-4a25-a941-c5eae014b3b6"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7b70da8b-5d8f-474f-8fc2-1722731abd1a}" ma:internalName="TaxCatchAll" ma:showField="CatchAllData" ma:web="baf3960a-0189-4a25-a941-c5eae014b3b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68082392-d32c-4ad1-a768-68236d241b47">
      <Terms xmlns="http://schemas.microsoft.com/office/infopath/2007/PartnerControls"/>
    </lcf76f155ced4ddcb4097134ff3c332f>
    <TaxCatchAll xmlns="baf3960a-0189-4a25-a941-c5eae014b3b6" xsi:nil="true"/>
  </documentManagement>
</p:properties>
</file>

<file path=customXml/itemProps1.xml><?xml version="1.0" encoding="utf-8"?>
<ds:datastoreItem xmlns:ds="http://schemas.openxmlformats.org/officeDocument/2006/customXml" ds:itemID="{316CF967-2A6D-4F1B-AFB9-161A3F5C7F51}">
  <ds:schemaRefs>
    <ds:schemaRef ds:uri="http://schemas.microsoft.com/sharepoint/v3/contenttype/forms"/>
  </ds:schemaRefs>
</ds:datastoreItem>
</file>

<file path=customXml/itemProps2.xml><?xml version="1.0" encoding="utf-8"?>
<ds:datastoreItem xmlns:ds="http://schemas.openxmlformats.org/officeDocument/2006/customXml" ds:itemID="{98D8D79F-13BD-4E86-A96A-97C9167C509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8082392-d32c-4ad1-a768-68236d241b47"/>
    <ds:schemaRef ds:uri="baf3960a-0189-4a25-a941-c5eae014b3b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713D5B2-7861-4DD3-B806-AD4C3CA416D4}">
  <ds:schemaRefs>
    <ds:schemaRef ds:uri="http://schemas.microsoft.com/office/2006/metadata/properties"/>
    <ds:schemaRef ds:uri="http://schemas.microsoft.com/office/infopath/2007/PartnerControls"/>
    <ds:schemaRef ds:uri="68082392-d32c-4ad1-a768-68236d241b47"/>
    <ds:schemaRef ds:uri="baf3960a-0189-4a25-a941-c5eae014b3b6"/>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4</Pages>
  <Words>1029</Words>
  <Characters>5866</Characters>
  <Application>Microsoft Office Word</Application>
  <DocSecurity>0</DocSecurity>
  <Lines>48</Lines>
  <Paragraphs>13</Paragraphs>
  <ScaleCrop>false</ScaleCrop>
  <Company/>
  <LinksUpToDate>false</LinksUpToDate>
  <CharactersWithSpaces>6882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Raymond Chan</dc:creator>
  <cp:lastModifiedBy>Mike Smargiassi</cp:lastModifiedBy>
  <cp:revision>3</cp:revision>
  <dcterms:created xsi:type="dcterms:W3CDTF">2025-12-01T00:25:00Z</dcterms:created>
  <dcterms:modified xsi:type="dcterms:W3CDTF">2025-12-01T00:31:00Z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0x010100BB2C96D775422046A25052F97DFE8A18</vt:lpwstr>
  </property>
  <property fmtid="{D5CDD505-2E9C-101B-9397-08002B2CF9AE}" pid="3" name="MediaServiceImageTags">
    <vt:lpwstr/>
  </property>
  <property fmtid="{D5CDD505-2E9C-101B-9397-08002B2CF9AE}" pid="4" name="_NewReviewCycle">
    <vt:lpwstr/>
  </property>
</Properties>
</file>