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0"/>
        <w:ind w:left="78" w:right="0" w:firstLine="0"/>
        <w:jc w:val="left"/>
        <w:rPr>
          <w:rFonts w:ascii="Menlo" w:hAnsi="Menlo" w:cs="Menlo" w:eastAsia="Menlo"/>
          <w:i/>
          <w:iCs/>
          <w:position w:val="21"/>
          <w:sz w:val="39"/>
          <w:szCs w:val="39"/>
        </w:rPr>
      </w:pPr>
      <w:bookmarkStart w:name="C Mighell / P Kenneally" w:id="1"/>
      <w:bookmarkEnd w:id="1"/>
      <w:r>
        <w:rPr/>
      </w:r>
      <w:r>
        <w:rPr>
          <w:color w:val="1A3D77"/>
          <w:spacing w:val="-64"/>
          <w:w w:val="98"/>
          <w:position w:val="30"/>
          <w:sz w:val="20"/>
          <w:szCs w:val="20"/>
        </w:rPr>
        <w:t>�</w:t>
      </w:r>
      <w:r>
        <w:rPr>
          <w:rFonts w:ascii="Menlo" w:hAnsi="Menlo" w:cs="Menlo" w:eastAsia="Menlo"/>
          <w:i/>
          <w:iCs/>
          <w:color w:val="1A3D77"/>
          <w:spacing w:val="-197"/>
          <w:w w:val="98"/>
          <w:position w:val="21"/>
          <w:sz w:val="39"/>
          <w:szCs w:val="39"/>
        </w:rPr>
        <w:t>�</w:t>
      </w:r>
      <w:r>
        <w:rPr>
          <w:color w:val="4D6693"/>
          <w:w w:val="101"/>
          <w:sz w:val="44"/>
          <w:szCs w:val="44"/>
        </w:rPr>
        <w:t>'</w:t>
      </w:r>
      <w:r>
        <w:rPr>
          <w:color w:val="4D6693"/>
          <w:spacing w:val="-37"/>
          <w:w w:val="101"/>
          <w:sz w:val="44"/>
          <w:szCs w:val="44"/>
        </w:rPr>
        <w:t>·</w:t>
      </w:r>
      <w:r>
        <w:rPr>
          <w:rFonts w:ascii="Menlo" w:hAnsi="Menlo" w:cs="Menlo" w:eastAsia="Menlo"/>
          <w:i/>
          <w:iCs/>
          <w:color w:val="1A3D77"/>
          <w:spacing w:val="-199"/>
          <w:w w:val="98"/>
          <w:position w:val="21"/>
          <w:sz w:val="39"/>
          <w:szCs w:val="39"/>
        </w:rPr>
        <w:t>j</w:t>
      </w:r>
      <w:r>
        <w:rPr>
          <w:color w:val="4D6693"/>
          <w:w w:val="101"/>
          <w:sz w:val="44"/>
          <w:szCs w:val="44"/>
        </w:rPr>
        <w:t>-</w:t>
      </w:r>
      <w:r>
        <w:rPr>
          <w:color w:val="4D6693"/>
          <w:spacing w:val="-104"/>
          <w:sz w:val="44"/>
          <w:szCs w:val="44"/>
        </w:rPr>
        <w:t>-</w:t>
      </w:r>
      <w:r>
        <w:rPr>
          <w:rFonts w:ascii="Menlo" w:hAnsi="Menlo" w:cs="Menlo" w:eastAsia="Menlo"/>
          <w:i/>
          <w:iCs/>
          <w:color w:val="1A3D77"/>
          <w:spacing w:val="-72"/>
          <w:position w:val="21"/>
          <w:sz w:val="39"/>
          <w:szCs w:val="39"/>
        </w:rPr>
        <w:t>)</w:t>
      </w:r>
    </w:p>
    <w:p>
      <w:pPr>
        <w:pStyle w:val="Heading1"/>
      </w:pPr>
      <w:r>
        <w:rPr>
          <w:b w:val="0"/>
        </w:rPr>
        <w:br w:type="column"/>
      </w:r>
      <w:r>
        <w:rPr>
          <w:color w:val="1A3D77"/>
        </w:rPr>
        <w:t>US.</w:t>
      </w:r>
      <w:r>
        <w:rPr>
          <w:color w:val="1A3D77"/>
          <w:spacing w:val="9"/>
        </w:rPr>
        <w:t> </w:t>
      </w:r>
      <w:r>
        <w:rPr>
          <w:color w:val="1A3D77"/>
        </w:rPr>
        <w:t>Department</w:t>
      </w:r>
      <w:r>
        <w:rPr>
          <w:color w:val="1A3D77"/>
          <w:spacing w:val="50"/>
        </w:rPr>
        <w:t> </w:t>
      </w:r>
      <w:r>
        <w:rPr>
          <w:color w:val="1A3D77"/>
        </w:rPr>
        <w:t>of</w:t>
      </w:r>
      <w:r>
        <w:rPr>
          <w:color w:val="1A3D77"/>
          <w:spacing w:val="-9"/>
        </w:rPr>
        <w:t> </w:t>
      </w:r>
      <w:r>
        <w:rPr>
          <w:color w:val="1A3D77"/>
          <w:spacing w:val="-2"/>
        </w:rPr>
        <w:t>Justice</w:t>
      </w:r>
    </w:p>
    <w:p>
      <w:pPr>
        <w:pStyle w:val="BodyText"/>
        <w:spacing w:line="263" w:lineRule="exact"/>
        <w:ind w:left="78"/>
      </w:pPr>
      <w:r>
        <w:rPr>
          <w:color w:val="1A3D77"/>
        </w:rPr>
        <w:t>Drug</w:t>
      </w:r>
      <w:r>
        <w:rPr>
          <w:color w:val="1A3D77"/>
          <w:spacing w:val="38"/>
        </w:rPr>
        <w:t> </w:t>
      </w:r>
      <w:r>
        <w:rPr>
          <w:color w:val="4D6693"/>
        </w:rPr>
        <w:t>E</w:t>
      </w:r>
      <w:r>
        <w:rPr>
          <w:color w:val="1A3D77"/>
        </w:rPr>
        <w:t>nforcement</w:t>
      </w:r>
      <w:r>
        <w:rPr>
          <w:color w:val="1A3D77"/>
          <w:spacing w:val="23"/>
        </w:rPr>
        <w:t> </w:t>
      </w:r>
      <w:r>
        <w:rPr>
          <w:color w:val="1A3D77"/>
          <w:spacing w:val="-2"/>
        </w:rPr>
        <w:t>Administration</w:t>
      </w:r>
    </w:p>
    <w:p>
      <w:pPr>
        <w:pStyle w:val="BodyText"/>
        <w:spacing w:after="0" w:line="263" w:lineRule="exact"/>
        <w:sectPr>
          <w:type w:val="continuous"/>
          <w:pgSz w:w="11920" w:h="16840"/>
          <w:pgMar w:top="1240" w:bottom="280" w:left="1133" w:right="992"/>
          <w:cols w:num="2" w:equalWidth="0">
            <w:col w:w="877" w:space="4286"/>
            <w:col w:w="463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71"/>
        <w:rPr>
          <w:sz w:val="16"/>
        </w:rPr>
      </w:pPr>
    </w:p>
    <w:p>
      <w:pPr>
        <w:tabs>
          <w:tab w:pos="5474" w:val="left" w:leader="none"/>
        </w:tabs>
        <w:spacing w:before="0"/>
        <w:ind w:left="131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781282</wp:posOffset>
                </wp:positionH>
                <wp:positionV relativeFrom="paragraph">
                  <wp:posOffset>-42239</wp:posOffset>
                </wp:positionV>
                <wp:extent cx="617728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77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280" h="0">
                              <a:moveTo>
                                <a:pt x="0" y="0"/>
                              </a:moveTo>
                              <a:lnTo>
                                <a:pt x="6177017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61.518333pt,-3.325933pt" to="547.89765pt,-3.325933pt" stroked="true" strokeweight=".96202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color w:val="1A3D77"/>
          <w:sz w:val="16"/>
        </w:rPr>
        <w:t>Office</w:t>
      </w:r>
      <w:r>
        <w:rPr>
          <w:i/>
          <w:color w:val="1A3D77"/>
          <w:spacing w:val="11"/>
          <w:sz w:val="16"/>
        </w:rPr>
        <w:t> </w:t>
      </w:r>
      <w:r>
        <w:rPr>
          <w:i/>
          <w:color w:val="1A3D77"/>
          <w:sz w:val="16"/>
        </w:rPr>
        <w:t>of</w:t>
      </w:r>
      <w:r>
        <w:rPr>
          <w:i/>
          <w:color w:val="1A3D77"/>
          <w:spacing w:val="21"/>
          <w:sz w:val="16"/>
        </w:rPr>
        <w:t> </w:t>
      </w:r>
      <w:r>
        <w:rPr>
          <w:i/>
          <w:color w:val="1A3D77"/>
          <w:sz w:val="16"/>
        </w:rPr>
        <w:t>the</w:t>
      </w:r>
      <w:r>
        <w:rPr>
          <w:i/>
          <w:color w:val="1A3D77"/>
          <w:spacing w:val="10"/>
          <w:sz w:val="16"/>
        </w:rPr>
        <w:t> </w:t>
      </w:r>
      <w:r>
        <w:rPr>
          <w:i/>
          <w:color w:val="1A3D77"/>
          <w:spacing w:val="-2"/>
          <w:sz w:val="16"/>
        </w:rPr>
        <w:t>Administrator</w:t>
      </w:r>
      <w:r>
        <w:rPr>
          <w:i/>
          <w:color w:val="1A3D77"/>
          <w:sz w:val="16"/>
        </w:rPr>
        <w:tab/>
        <w:t>Springfield</w:t>
      </w:r>
      <w:r>
        <w:rPr>
          <w:i/>
          <w:color w:val="4D6693"/>
          <w:sz w:val="16"/>
        </w:rPr>
        <w:t>,</w:t>
      </w:r>
      <w:r>
        <w:rPr>
          <w:i/>
          <w:color w:val="4D6693"/>
          <w:spacing w:val="11"/>
          <w:sz w:val="16"/>
        </w:rPr>
        <w:t> </w:t>
      </w:r>
      <w:r>
        <w:rPr>
          <w:i/>
          <w:color w:val="1A3D77"/>
          <w:sz w:val="16"/>
        </w:rPr>
        <w:t>VA</w:t>
      </w:r>
      <w:r>
        <w:rPr>
          <w:i/>
          <w:color w:val="1A3D77"/>
          <w:spacing w:val="53"/>
          <w:sz w:val="16"/>
        </w:rPr>
        <w:t> </w:t>
      </w:r>
      <w:r>
        <w:rPr>
          <w:i/>
          <w:color w:val="1A3D77"/>
          <w:sz w:val="16"/>
        </w:rPr>
        <w:t>22</w:t>
      </w:r>
      <w:r>
        <w:rPr>
          <w:i/>
          <w:color w:val="1A3D77"/>
          <w:spacing w:val="-20"/>
          <w:sz w:val="16"/>
        </w:rPr>
        <w:t> </w:t>
      </w:r>
      <w:r>
        <w:rPr>
          <w:i/>
          <w:color w:val="1A3D77"/>
          <w:sz w:val="16"/>
        </w:rPr>
        <w:t>I</w:t>
      </w:r>
      <w:r>
        <w:rPr>
          <w:i/>
          <w:color w:val="1A3D77"/>
          <w:spacing w:val="-18"/>
          <w:sz w:val="16"/>
        </w:rPr>
        <w:t> </w:t>
      </w:r>
      <w:r>
        <w:rPr>
          <w:i/>
          <w:color w:val="1A3D77"/>
          <w:spacing w:val="-5"/>
          <w:sz w:val="16"/>
        </w:rPr>
        <w:t>52</w:t>
      </w:r>
    </w:p>
    <w:p>
      <w:pPr>
        <w:pStyle w:val="BodyText"/>
        <w:spacing w:before="251"/>
        <w:rPr>
          <w:i/>
        </w:rPr>
      </w:pPr>
    </w:p>
    <w:p>
      <w:pPr>
        <w:pStyle w:val="BodyText"/>
        <w:ind w:left="5196"/>
      </w:pPr>
      <w:r>
        <w:rPr>
          <w:color w:val="1A1A1A"/>
          <w:w w:val="105"/>
        </w:rPr>
        <w:t>June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17,</w:t>
      </w:r>
      <w:r>
        <w:rPr>
          <w:color w:val="1A1A1A"/>
          <w:spacing w:val="-6"/>
          <w:w w:val="105"/>
        </w:rPr>
        <w:t> </w:t>
      </w:r>
      <w:r>
        <w:rPr>
          <w:color w:val="1A1A1A"/>
          <w:spacing w:val="-4"/>
          <w:w w:val="105"/>
        </w:rPr>
        <w:t>2026</w:t>
      </w:r>
    </w:p>
    <w:p>
      <w:pPr>
        <w:pStyle w:val="BodyText"/>
        <w:spacing w:line="249" w:lineRule="auto" w:before="10"/>
        <w:ind w:left="459" w:right="7146" w:firstLine="3"/>
      </w:pPr>
      <w:r>
        <w:rPr>
          <w:color w:val="1A1A1A"/>
          <w:w w:val="105"/>
        </w:rPr>
        <w:t>Connor Mighell Patrick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Kenneally Burke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Law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Group 1000 Main St.</w:t>
      </w:r>
    </w:p>
    <w:p>
      <w:pPr>
        <w:pStyle w:val="BodyText"/>
        <w:spacing w:before="6"/>
        <w:ind w:left="457"/>
      </w:pPr>
      <w:r>
        <w:rPr>
          <w:color w:val="1A1A1A"/>
          <w:w w:val="105"/>
        </w:rPr>
        <w:t>Suite</w:t>
      </w:r>
      <w:r>
        <w:rPr>
          <w:color w:val="1A1A1A"/>
          <w:spacing w:val="-4"/>
          <w:w w:val="105"/>
        </w:rPr>
        <w:t> 2300</w:t>
      </w:r>
    </w:p>
    <w:p>
      <w:pPr>
        <w:pStyle w:val="BodyText"/>
        <w:spacing w:before="15"/>
        <w:ind w:left="458"/>
      </w:pPr>
      <w:r>
        <w:rPr>
          <w:color w:val="1A1A1A"/>
          <w:w w:val="105"/>
        </w:rPr>
        <w:t>Houston,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TX</w:t>
      </w:r>
      <w:r>
        <w:rPr>
          <w:color w:val="1A1A1A"/>
          <w:spacing w:val="46"/>
          <w:w w:val="105"/>
        </w:rPr>
        <w:t> </w:t>
      </w:r>
      <w:r>
        <w:rPr>
          <w:color w:val="1A1A1A"/>
          <w:spacing w:val="-2"/>
          <w:w w:val="105"/>
        </w:rPr>
        <w:t>77002</w:t>
      </w:r>
    </w:p>
    <w:p>
      <w:pPr>
        <w:pStyle w:val="BodyText"/>
        <w:spacing w:before="9"/>
        <w:ind w:left="457"/>
      </w:pPr>
      <w:r>
        <w:rPr>
          <w:color w:val="1A1A1A"/>
        </w:rPr>
        <w:t>(847)</w:t>
      </w:r>
      <w:r>
        <w:rPr>
          <w:color w:val="1A1A1A"/>
          <w:spacing w:val="32"/>
        </w:rPr>
        <w:t> </w:t>
      </w:r>
      <w:r>
        <w:rPr>
          <w:color w:val="1A1A1A"/>
        </w:rPr>
        <w:t>651-</w:t>
      </w:r>
      <w:r>
        <w:rPr>
          <w:color w:val="1A1A1A"/>
          <w:spacing w:val="-4"/>
        </w:rPr>
        <w:t>8525</w:t>
      </w:r>
    </w:p>
    <w:p>
      <w:pPr>
        <w:pStyle w:val="BodyText"/>
        <w:spacing w:line="249" w:lineRule="auto" w:before="15"/>
        <w:ind w:left="459" w:right="2846" w:firstLine="4"/>
      </w:pPr>
      <w:hyperlink r:id="rId5">
        <w:r>
          <w:rPr>
            <w:color w:val="1A1A1A"/>
            <w:spacing w:val="-2"/>
            <w:w w:val="105"/>
          </w:rPr>
          <w:t>patrick.kenneally@burkegroup.law</w:t>
        </w:r>
      </w:hyperlink>
      <w:r>
        <w:rPr>
          <w:color w:val="1A1A1A"/>
          <w:spacing w:val="-2"/>
          <w:w w:val="105"/>
        </w:rPr>
        <w:t> </w:t>
      </w:r>
      <w:hyperlink r:id="rId6">
        <w:r>
          <w:rPr>
            <w:color w:val="1A1A1A"/>
            <w:spacing w:val="-2"/>
            <w:w w:val="105"/>
          </w:rPr>
          <w:t>connor.mighell@burkegroup.law</w:t>
        </w:r>
      </w:hyperlink>
    </w:p>
    <w:p>
      <w:pPr>
        <w:pStyle w:val="BodyText"/>
        <w:spacing w:before="12"/>
      </w:pPr>
    </w:p>
    <w:p>
      <w:pPr>
        <w:pStyle w:val="BodyText"/>
        <w:spacing w:before="1"/>
        <w:ind w:left="458"/>
      </w:pPr>
      <w:r>
        <w:rPr>
          <w:color w:val="1A1A1A"/>
          <w:w w:val="105"/>
        </w:rPr>
        <w:t>Dear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Connor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Mighell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and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Patrick</w:t>
      </w:r>
      <w:r>
        <w:rPr>
          <w:color w:val="1A1A1A"/>
          <w:spacing w:val="-4"/>
          <w:w w:val="105"/>
        </w:rPr>
        <w:t> </w:t>
      </w:r>
      <w:r>
        <w:rPr>
          <w:color w:val="1A1A1A"/>
          <w:spacing w:val="-2"/>
          <w:w w:val="105"/>
        </w:rPr>
        <w:t>Kenneally,</w:t>
      </w:r>
    </w:p>
    <w:p>
      <w:pPr>
        <w:pStyle w:val="BodyText"/>
        <w:spacing w:before="28"/>
      </w:pPr>
    </w:p>
    <w:p>
      <w:pPr>
        <w:spacing w:line="252" w:lineRule="auto" w:before="1"/>
        <w:ind w:left="453" w:right="149" w:firstLine="722"/>
        <w:jc w:val="left"/>
        <w:rPr>
          <w:i/>
          <w:sz w:val="23"/>
        </w:rPr>
      </w:pPr>
      <w:r>
        <w:rPr>
          <w:color w:val="1A1A1A"/>
          <w:w w:val="105"/>
          <w:sz w:val="23"/>
        </w:rPr>
        <w:t>This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is in</w:t>
      </w:r>
      <w:r>
        <w:rPr>
          <w:color w:val="1A1A1A"/>
          <w:spacing w:val="-8"/>
          <w:w w:val="105"/>
          <w:sz w:val="23"/>
        </w:rPr>
        <w:t> </w:t>
      </w:r>
      <w:r>
        <w:rPr>
          <w:color w:val="1A1A1A"/>
          <w:w w:val="105"/>
          <w:sz w:val="23"/>
        </w:rPr>
        <w:t>response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your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May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28,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2026</w:t>
      </w:r>
      <w:r>
        <w:rPr>
          <w:color w:val="1A1A1A"/>
          <w:spacing w:val="-1"/>
          <w:w w:val="105"/>
          <w:sz w:val="23"/>
        </w:rPr>
        <w:t> </w:t>
      </w:r>
      <w:r>
        <w:rPr>
          <w:color w:val="1A1A1A"/>
          <w:w w:val="105"/>
          <w:sz w:val="23"/>
        </w:rPr>
        <w:t>email and</w:t>
      </w:r>
      <w:r>
        <w:rPr>
          <w:color w:val="1A1A1A"/>
          <w:spacing w:val="-7"/>
          <w:w w:val="105"/>
          <w:sz w:val="23"/>
        </w:rPr>
        <w:t> </w:t>
      </w:r>
      <w:r>
        <w:rPr>
          <w:color w:val="1A1A1A"/>
          <w:w w:val="105"/>
          <w:sz w:val="23"/>
        </w:rPr>
        <w:t>letter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on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behalf</w:t>
      </w:r>
      <w:r>
        <w:rPr>
          <w:color w:val="1A1A1A"/>
          <w:spacing w:val="-7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5"/>
          <w:w w:val="105"/>
          <w:sz w:val="23"/>
        </w:rPr>
        <w:t> </w:t>
      </w:r>
      <w:r>
        <w:rPr>
          <w:color w:val="1A1A1A"/>
          <w:w w:val="105"/>
          <w:sz w:val="23"/>
        </w:rPr>
        <w:t>MMJ requesting to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participate</w:t>
      </w:r>
      <w:r>
        <w:rPr>
          <w:color w:val="1A1A1A"/>
          <w:spacing w:val="-8"/>
          <w:w w:val="105"/>
          <w:sz w:val="23"/>
        </w:rPr>
        <w:t> </w:t>
      </w:r>
      <w:r>
        <w:rPr>
          <w:color w:val="1A1A1A"/>
          <w:w w:val="105"/>
          <w:sz w:val="23"/>
        </w:rPr>
        <w:t>in</w:t>
      </w:r>
      <w:r>
        <w:rPr>
          <w:color w:val="1A1A1A"/>
          <w:spacing w:val="-1"/>
          <w:w w:val="105"/>
          <w:sz w:val="23"/>
        </w:rPr>
        <w:t> </w:t>
      </w:r>
      <w:r>
        <w:rPr>
          <w:color w:val="1A1A1A"/>
          <w:w w:val="105"/>
          <w:sz w:val="23"/>
        </w:rPr>
        <w:t>a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hearing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on</w:t>
      </w:r>
      <w:r>
        <w:rPr>
          <w:color w:val="1A1A1A"/>
          <w:spacing w:val="-11"/>
          <w:w w:val="105"/>
          <w:sz w:val="23"/>
        </w:rPr>
        <w:t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4"/>
          <w:w w:val="105"/>
          <w:sz w:val="23"/>
        </w:rPr>
        <w:t> </w:t>
      </w:r>
      <w:r>
        <w:rPr>
          <w:color w:val="1A1A1A"/>
          <w:w w:val="105"/>
          <w:sz w:val="23"/>
        </w:rPr>
        <w:t>notice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proposed rulemaking (NPRM)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transfer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marijuana from</w:t>
      </w:r>
      <w:r>
        <w:rPr>
          <w:color w:val="1A1A1A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schedule I</w:t>
      </w:r>
      <w:r>
        <w:rPr>
          <w:color w:val="1A1A1A"/>
          <w:spacing w:val="-6"/>
          <w:w w:val="105"/>
          <w:sz w:val="23"/>
        </w:rPr>
        <w:t> </w:t>
      </w:r>
      <w:r>
        <w:rPr>
          <w:color w:val="1A1A1A"/>
          <w:w w:val="105"/>
          <w:sz w:val="23"/>
        </w:rPr>
        <w:t>of the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Controlled Substances Act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(CSA) to</w:t>
      </w:r>
      <w:r>
        <w:rPr>
          <w:color w:val="1A1A1A"/>
          <w:spacing w:val="-5"/>
          <w:w w:val="105"/>
          <w:sz w:val="23"/>
        </w:rPr>
        <w:t> </w:t>
      </w:r>
      <w:r>
        <w:rPr>
          <w:color w:val="1A1A1A"/>
          <w:w w:val="105"/>
          <w:sz w:val="23"/>
        </w:rPr>
        <w:t>schedule III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of the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CSA, which is currently scheduled to begin on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June</w:t>
      </w:r>
      <w:r>
        <w:rPr>
          <w:color w:val="1A1A1A"/>
          <w:spacing w:val="-3"/>
          <w:w w:val="105"/>
          <w:sz w:val="23"/>
        </w:rPr>
        <w:t> </w:t>
      </w:r>
      <w:r>
        <w:rPr>
          <w:color w:val="1A1A1A"/>
          <w:w w:val="105"/>
          <w:sz w:val="23"/>
        </w:rPr>
        <w:t>29, 2026.</w:t>
      </w:r>
      <w:r>
        <w:rPr>
          <w:color w:val="1A1A1A"/>
          <w:spacing w:val="40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See Schedules of</w:t>
      </w:r>
      <w:r>
        <w:rPr>
          <w:i/>
          <w:color w:val="1A1A1A"/>
          <w:spacing w:val="-1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Controlled Substances: Rescheduling of</w:t>
      </w:r>
      <w:r>
        <w:rPr>
          <w:i/>
          <w:color w:val="1A1A1A"/>
          <w:spacing w:val="-5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Marijuana,</w:t>
      </w:r>
      <w:r>
        <w:rPr>
          <w:i/>
          <w:color w:val="1A1A1A"/>
          <w:spacing w:val="-2"/>
          <w:w w:val="105"/>
          <w:sz w:val="23"/>
        </w:rPr>
        <w:t> </w:t>
      </w:r>
      <w:r>
        <w:rPr>
          <w:color w:val="1A3D77"/>
          <w:w w:val="105"/>
          <w:sz w:val="23"/>
          <w:u w:val="thick" w:color="1A3D77"/>
        </w:rPr>
        <w:t>89 FR 44597</w:t>
      </w:r>
      <w:r>
        <w:rPr>
          <w:color w:val="1A3D77"/>
          <w:w w:val="105"/>
          <w:sz w:val="23"/>
        </w:rPr>
        <w:t> </w:t>
      </w:r>
      <w:r>
        <w:rPr>
          <w:color w:val="1A1A1A"/>
          <w:w w:val="105"/>
          <w:sz w:val="23"/>
        </w:rPr>
        <w:t>(May 21, 2024)</w:t>
      </w:r>
      <w:r>
        <w:rPr>
          <w:color w:val="1A1A1A"/>
          <w:spacing w:val="-2"/>
          <w:w w:val="105"/>
          <w:sz w:val="23"/>
        </w:rPr>
        <w:t> </w:t>
      </w:r>
      <w:r>
        <w:rPr>
          <w:color w:val="1A1A1A"/>
          <w:w w:val="105"/>
          <w:sz w:val="23"/>
        </w:rPr>
        <w:t>(NPRM); </w:t>
      </w:r>
      <w:r>
        <w:rPr>
          <w:i/>
          <w:color w:val="1A1A1A"/>
          <w:w w:val="105"/>
          <w:sz w:val="23"/>
        </w:rPr>
        <w:t>Schedules of</w:t>
      </w:r>
      <w:r>
        <w:rPr>
          <w:i/>
          <w:color w:val="1A1A1A"/>
          <w:spacing w:val="-1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Controlled</w:t>
      </w:r>
    </w:p>
    <w:p>
      <w:pPr>
        <w:spacing w:line="249" w:lineRule="auto" w:before="0"/>
        <w:ind w:left="463" w:right="284" w:hanging="3"/>
        <w:jc w:val="left"/>
        <w:rPr>
          <w:sz w:val="23"/>
        </w:rPr>
      </w:pPr>
      <w:r>
        <w:rPr>
          <w:i/>
          <w:color w:val="1A1A1A"/>
          <w:w w:val="105"/>
          <w:sz w:val="23"/>
        </w:rPr>
        <w:t>Substances:</w:t>
      </w:r>
      <w:r>
        <w:rPr>
          <w:i/>
          <w:color w:val="1A1A1A"/>
          <w:spacing w:val="6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Rescheduling of</w:t>
      </w:r>
      <w:r>
        <w:rPr>
          <w:i/>
          <w:color w:val="1A1A1A"/>
          <w:spacing w:val="-16"/>
          <w:w w:val="105"/>
          <w:sz w:val="23"/>
        </w:rPr>
        <w:t> </w:t>
      </w:r>
      <w:r>
        <w:rPr>
          <w:i/>
          <w:color w:val="1A1A1A"/>
          <w:w w:val="105"/>
          <w:sz w:val="23"/>
        </w:rPr>
        <w:t>Marijuana,</w:t>
      </w:r>
      <w:r>
        <w:rPr>
          <w:i/>
          <w:color w:val="1A1A1A"/>
          <w:spacing w:val="-14"/>
          <w:w w:val="105"/>
          <w:sz w:val="23"/>
        </w:rPr>
        <w:t> </w:t>
      </w:r>
      <w:r>
        <w:rPr>
          <w:color w:val="1A3D77"/>
          <w:w w:val="105"/>
          <w:sz w:val="23"/>
          <w:u w:val="thick" w:color="1A3D77"/>
        </w:rPr>
        <w:t>91</w:t>
      </w:r>
      <w:r>
        <w:rPr>
          <w:color w:val="1A3D77"/>
          <w:spacing w:val="-2"/>
          <w:w w:val="105"/>
          <w:sz w:val="23"/>
          <w:u w:val="thick" w:color="1A3D77"/>
        </w:rPr>
        <w:t> </w:t>
      </w:r>
      <w:r>
        <w:rPr>
          <w:color w:val="1A3D77"/>
          <w:w w:val="105"/>
          <w:sz w:val="23"/>
          <w:u w:val="thick" w:color="1A3D77"/>
        </w:rPr>
        <w:t>FR 22777</w:t>
      </w:r>
      <w:r>
        <w:rPr>
          <w:color w:val="1A3D77"/>
          <w:spacing w:val="-4"/>
          <w:w w:val="105"/>
          <w:sz w:val="23"/>
        </w:rPr>
        <w:t> </w:t>
      </w:r>
      <w:r>
        <w:rPr>
          <w:color w:val="1A1A1A"/>
          <w:w w:val="105"/>
          <w:sz w:val="23"/>
        </w:rPr>
        <w:t>(Apr.</w:t>
      </w:r>
      <w:r>
        <w:rPr>
          <w:color w:val="1A1A1A"/>
          <w:spacing w:val="-13"/>
          <w:w w:val="105"/>
          <w:sz w:val="23"/>
        </w:rPr>
        <w:t> </w:t>
      </w:r>
      <w:r>
        <w:rPr>
          <w:color w:val="1A1A1A"/>
          <w:w w:val="105"/>
          <w:sz w:val="23"/>
        </w:rPr>
        <w:t>28,</w:t>
      </w:r>
      <w:r>
        <w:rPr>
          <w:color w:val="1A1A1A"/>
          <w:spacing w:val="-13"/>
          <w:w w:val="105"/>
          <w:sz w:val="23"/>
        </w:rPr>
        <w:t> </w:t>
      </w:r>
      <w:r>
        <w:rPr>
          <w:color w:val="1A1A1A"/>
          <w:w w:val="105"/>
          <w:sz w:val="23"/>
        </w:rPr>
        <w:t>2026)</w:t>
      </w:r>
      <w:r>
        <w:rPr>
          <w:color w:val="1A1A1A"/>
          <w:spacing w:val="-12"/>
          <w:w w:val="105"/>
          <w:sz w:val="23"/>
        </w:rPr>
        <w:t> </w:t>
      </w:r>
      <w:r>
        <w:rPr>
          <w:color w:val="1A1A1A"/>
          <w:w w:val="105"/>
          <w:sz w:val="23"/>
        </w:rPr>
        <w:t>(Notice</w:t>
      </w:r>
      <w:r>
        <w:rPr>
          <w:color w:val="1A1A1A"/>
          <w:spacing w:val="-10"/>
          <w:w w:val="105"/>
          <w:sz w:val="23"/>
        </w:rPr>
        <w:t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4"/>
          <w:w w:val="105"/>
          <w:sz w:val="23"/>
        </w:rPr>
        <w:t> </w:t>
      </w:r>
      <w:r>
        <w:rPr>
          <w:color w:val="1A1A1A"/>
          <w:w w:val="105"/>
          <w:sz w:val="23"/>
        </w:rPr>
        <w:t>Hearing). For the</w:t>
      </w:r>
      <w:r>
        <w:rPr>
          <w:color w:val="1A1A1A"/>
          <w:spacing w:val="-9"/>
          <w:w w:val="105"/>
          <w:sz w:val="23"/>
        </w:rPr>
        <w:t> </w:t>
      </w:r>
      <w:r>
        <w:rPr>
          <w:color w:val="1A1A1A"/>
          <w:w w:val="105"/>
          <w:sz w:val="23"/>
        </w:rPr>
        <w:t>reason stated below, DEA denies your request to participate in the hearing.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455" w:right="165" w:firstLine="726"/>
      </w:pPr>
      <w:r>
        <w:rPr>
          <w:color w:val="1A1A1A"/>
          <w:w w:val="105"/>
        </w:rPr>
        <w:t>As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set forth in 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Notice of Hearing, any "interested</w:t>
      </w:r>
      <w:r>
        <w:rPr>
          <w:color w:val="1A1A1A"/>
          <w:spacing w:val="31"/>
          <w:w w:val="105"/>
        </w:rPr>
        <w:t> </w:t>
      </w:r>
      <w:r>
        <w:rPr>
          <w:color w:val="1A1A1A"/>
          <w:w w:val="105"/>
        </w:rPr>
        <w:t>person" requesting to participate in 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hearing must file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a written notice, which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must be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in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conformity</w:t>
      </w:r>
      <w:r>
        <w:rPr>
          <w:color w:val="1A1A1A"/>
          <w:spacing w:val="23"/>
          <w:w w:val="105"/>
        </w:rPr>
        <w:t> </w:t>
      </w:r>
      <w:r>
        <w:rPr>
          <w:color w:val="1A1A1A"/>
          <w:w w:val="105"/>
        </w:rPr>
        <w:t>with the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requirements of </w:t>
      </w:r>
      <w:r>
        <w:rPr>
          <w:color w:val="1A3D77"/>
          <w:w w:val="105"/>
          <w:u w:val="thick" w:color="1A3D77"/>
        </w:rPr>
        <w:t>21 CFR</w:t>
      </w:r>
      <w:r>
        <w:rPr>
          <w:color w:val="1A3D77"/>
          <w:spacing w:val="33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l</w:t>
      </w:r>
      <w:r>
        <w:rPr>
          <w:color w:val="1A3D77"/>
          <w:spacing w:val="-2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308.44(b)</w:t>
      </w:r>
      <w:r>
        <w:rPr>
          <w:color w:val="1A3D77"/>
          <w:w w:val="105"/>
        </w:rPr>
        <w:t> </w:t>
      </w:r>
      <w:r>
        <w:rPr>
          <w:color w:val="1A1A1A"/>
          <w:w w:val="105"/>
        </w:rPr>
        <w:t>and in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form prescribed in </w:t>
      </w:r>
      <w:r>
        <w:rPr>
          <w:color w:val="1A3D77"/>
          <w:w w:val="105"/>
          <w:u w:val="thick" w:color="1A1A1A"/>
        </w:rPr>
        <w:t>21 CFR 1316.48</w:t>
      </w:r>
      <w:r>
        <w:rPr>
          <w:color w:val="1A1A1A"/>
          <w:w w:val="105"/>
        </w:rPr>
        <w:t>.</w:t>
      </w:r>
      <w:r>
        <w:rPr>
          <w:color w:val="1A1A1A"/>
          <w:spacing w:val="40"/>
          <w:w w:val="105"/>
        </w:rPr>
        <w:t> </w:t>
      </w:r>
      <w:r>
        <w:rPr>
          <w:i/>
          <w:color w:val="1A1A1A"/>
          <w:w w:val="105"/>
        </w:rPr>
        <w:t>See </w:t>
      </w:r>
      <w:r>
        <w:rPr>
          <w:color w:val="1A1A1A"/>
          <w:w w:val="105"/>
        </w:rPr>
        <w:t>Notice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Hearing, </w:t>
      </w:r>
      <w:r>
        <w:rPr>
          <w:color w:val="1A3D77"/>
          <w:w w:val="105"/>
          <w:u w:val="thick" w:color="1A3D77"/>
        </w:rPr>
        <w:t>91</w:t>
      </w:r>
      <w:r>
        <w:rPr>
          <w:color w:val="1A3D77"/>
          <w:w w:val="105"/>
        </w:rPr>
        <w:t> </w:t>
      </w:r>
      <w:r>
        <w:rPr>
          <w:color w:val="1A3D77"/>
          <w:w w:val="105"/>
          <w:u w:val="thick" w:color="1A1A1A"/>
        </w:rPr>
        <w:t>FR at 22778</w:t>
      </w:r>
      <w:r>
        <w:rPr>
          <w:color w:val="1A1A1A"/>
          <w:w w:val="105"/>
        </w:rPr>
        <w:t>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Among those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requirements, such requests must: (1)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state with particularity the interest of the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person in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proceeding; (2) state with particularity the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objections or issues concerning which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person desires to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be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heard; and (3)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state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briefly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position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of the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person regarding the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objections or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issues.</w:t>
      </w:r>
      <w:r>
        <w:rPr>
          <w:color w:val="1A1A1A"/>
          <w:spacing w:val="40"/>
          <w:w w:val="105"/>
        </w:rPr>
        <w:t> </w:t>
      </w:r>
      <w:r>
        <w:rPr>
          <w:i/>
          <w:color w:val="1A3D77"/>
          <w:w w:val="105"/>
          <w:u w:val="thick" w:color="1A3D77"/>
        </w:rPr>
        <w:t>Id.</w:t>
      </w:r>
      <w:r>
        <w:rPr>
          <w:i/>
          <w:color w:val="1A3D77"/>
          <w:spacing w:val="40"/>
          <w:w w:val="105"/>
        </w:rPr>
        <w:t> </w:t>
      </w:r>
      <w:r>
        <w:rPr>
          <w:color w:val="1A1A1A"/>
          <w:w w:val="105"/>
        </w:rPr>
        <w:t>Further, as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both the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NPRM and the Notice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of Hearing make clear, the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purpose of</w:t>
      </w:r>
      <w:r>
        <w:rPr>
          <w:color w:val="1A1A1A"/>
          <w:spacing w:val="-4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hearing is to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"receive factual evidence and expert opinion regarding whether marijuana should be transferred</w:t>
      </w:r>
      <w:r>
        <w:rPr>
          <w:color w:val="1A1A1A"/>
          <w:spacing w:val="29"/>
          <w:w w:val="105"/>
        </w:rPr>
        <w:t> </w:t>
      </w:r>
      <w:r>
        <w:rPr>
          <w:color w:val="1A1A1A"/>
          <w:w w:val="105"/>
        </w:rPr>
        <w:t>to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schedule III of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list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controlled substances."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NPRM,</w:t>
      </w:r>
      <w:r>
        <w:rPr>
          <w:color w:val="1A1A1A"/>
          <w:spacing w:val="-5"/>
          <w:w w:val="105"/>
        </w:rPr>
        <w:t> </w:t>
      </w:r>
      <w:r>
        <w:rPr>
          <w:color w:val="1A3D77"/>
          <w:w w:val="105"/>
          <w:u w:val="thick" w:color="1A3D77"/>
        </w:rPr>
        <w:t>89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FR</w:t>
      </w:r>
      <w:r>
        <w:rPr>
          <w:color w:val="1A3D77"/>
          <w:spacing w:val="-1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at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44599</w:t>
      </w:r>
      <w:r>
        <w:rPr>
          <w:color w:val="1A3D77"/>
          <w:spacing w:val="-15"/>
          <w:w w:val="105"/>
        </w:rPr>
        <w:t> </w:t>
      </w:r>
      <w:r>
        <w:rPr>
          <w:color w:val="1A1A1A"/>
          <w:w w:val="105"/>
        </w:rPr>
        <w:t>(cleaned up);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Notice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Hearing,</w:t>
      </w:r>
      <w:r>
        <w:rPr>
          <w:color w:val="1A1A1A"/>
          <w:spacing w:val="-6"/>
          <w:w w:val="105"/>
        </w:rPr>
        <w:t> </w:t>
      </w:r>
      <w:r>
        <w:rPr>
          <w:color w:val="1A3D77"/>
          <w:w w:val="105"/>
          <w:u w:val="thick" w:color="1A3D77"/>
        </w:rPr>
        <w:t>91 FR</w:t>
      </w:r>
      <w:r>
        <w:rPr>
          <w:color w:val="1A3D77"/>
          <w:spacing w:val="-6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at</w:t>
      </w:r>
      <w:r>
        <w:rPr>
          <w:color w:val="1A3D77"/>
          <w:spacing w:val="-7"/>
          <w:w w:val="105"/>
          <w:u w:val="thick" w:color="1A3D77"/>
        </w:rPr>
        <w:t> </w:t>
      </w:r>
      <w:r>
        <w:rPr>
          <w:color w:val="1A3D77"/>
          <w:w w:val="105"/>
          <w:u w:val="thick" w:color="1A3D77"/>
        </w:rPr>
        <w:t>22778</w:t>
      </w:r>
      <w:r>
        <w:rPr>
          <w:color w:val="1A3D77"/>
          <w:spacing w:val="-3"/>
          <w:w w:val="105"/>
        </w:rPr>
        <w:t> </w:t>
      </w:r>
      <w:r>
        <w:rPr>
          <w:color w:val="1A1A1A"/>
          <w:w w:val="105"/>
        </w:rPr>
        <w:t>(cleaned </w:t>
      </w:r>
      <w:r>
        <w:rPr>
          <w:color w:val="1A1A1A"/>
          <w:spacing w:val="-4"/>
          <w:w w:val="105"/>
        </w:rPr>
        <w:t>up).</w:t>
      </w:r>
    </w:p>
    <w:p>
      <w:pPr>
        <w:pStyle w:val="BodyText"/>
        <w:spacing w:before="9"/>
      </w:pPr>
    </w:p>
    <w:p>
      <w:pPr>
        <w:pStyle w:val="BodyText"/>
        <w:spacing w:line="252" w:lineRule="auto" w:before="1"/>
        <w:ind w:left="449" w:firstLine="723"/>
      </w:pPr>
      <w:r>
        <w:rPr>
          <w:color w:val="1A1A1A"/>
          <w:w w:val="105"/>
        </w:rPr>
        <w:t>In your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request to participate in the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hearing, you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state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that MMJ is comprised of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three entities,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MMJ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International Holdings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(MMJIH), MMJ BioPharma Cultivation, Inc.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(MMJBC), and MMJ BioPharma Labs, Inc.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(MMJBL).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You state that MMJIH develops "pharmaceutical cannabinoid therapeutics" and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"oversee[s] regulatory strategy, clinical development planning, chemistry, manufacturing, and controls preparation, and Investigation New Drug (IND) submission for cannabinoid-based treatments targeting Huntington's disease and multiple sclerosis."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You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further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note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that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MMJIH</w:t>
      </w:r>
      <w:r>
        <w:rPr>
          <w:color w:val="1A1A1A"/>
          <w:spacing w:val="-2"/>
          <w:w w:val="105"/>
        </w:rPr>
        <w:t> </w:t>
      </w:r>
      <w:r>
        <w:rPr>
          <w:color w:val="1A1A1A"/>
          <w:w w:val="105"/>
        </w:rPr>
        <w:t>has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"initiated formal regulatory engagement" with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the</w:t>
      </w:r>
    </w:p>
    <w:p>
      <w:pPr>
        <w:pStyle w:val="BodyText"/>
        <w:spacing w:after="0" w:line="252" w:lineRule="auto"/>
        <w:sectPr>
          <w:type w:val="continuous"/>
          <w:pgSz w:w="11920" w:h="16840"/>
          <w:pgMar w:top="1240" w:bottom="280" w:left="1133" w:right="992"/>
        </w:sectPr>
      </w:pPr>
    </w:p>
    <w:p>
      <w:pPr>
        <w:pStyle w:val="BodyText"/>
        <w:spacing w:before="24"/>
      </w:pPr>
    </w:p>
    <w:p>
      <w:pPr>
        <w:pStyle w:val="BodyText"/>
        <w:spacing w:line="249" w:lineRule="auto"/>
        <w:ind w:left="434" w:right="149" w:firstLine="2"/>
      </w:pPr>
      <w:r>
        <w:rPr>
          <w:color w:val="161616"/>
          <w:w w:val="105"/>
        </w:rPr>
        <w:t>U.S. Food and Drug Administration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(FDA) regarding two cannabinoid drug candidates.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state that MMJBC "supports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cultivation and production of pharmaceutical-grade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cannabis plant material required for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extraction and formulation of 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active botanical drug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substance used in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MMJIH's IND programs."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state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MMJBC has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"submitted an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application to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 DEA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for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registration as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a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bulk manufacturer of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marijuana,' and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"MMJBC's bulk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manufacturing registration application remains pending"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Finally, you note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that MMJBL performs "analytical testing, formulation support, and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regulatory-grade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characterization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botanical extracts used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in MMJIH's drug development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program," and has 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"schedule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I analytical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laboratory</w:t>
      </w:r>
      <w:r>
        <w:rPr>
          <w:color w:val="161616"/>
          <w:w w:val="105"/>
        </w:rPr>
        <w:t> </w:t>
      </w:r>
      <w:r>
        <w:rPr>
          <w:color w:val="161616"/>
          <w:spacing w:val="-2"/>
          <w:w w:val="105"/>
        </w:rPr>
        <w:t>registration."</w:t>
      </w:r>
    </w:p>
    <w:p>
      <w:pPr>
        <w:pStyle w:val="BodyText"/>
        <w:spacing w:before="21"/>
      </w:pPr>
    </w:p>
    <w:p>
      <w:pPr>
        <w:pStyle w:val="BodyText"/>
        <w:tabs>
          <w:tab w:pos="3081" w:val="left" w:leader="dot"/>
        </w:tabs>
        <w:spacing w:line="252" w:lineRule="auto"/>
        <w:ind w:left="434" w:right="187" w:firstLine="727"/>
      </w:pPr>
      <w:r>
        <w:rPr>
          <w:color w:val="161616"/>
          <w:w w:val="105"/>
        </w:rPr>
        <w:t>You further note that "MMJ has invested over $10 million into advancing pharmaceutical cannabinoid therapeutics through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formal federal FDA botanical drug development pathway and 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DEA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controlled-substance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registration framework."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Describing MMJ's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interest in the hearing,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you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that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rescheduling of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marijuana to schedule III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''will directly affect MMJ's pending DEA bulk manufacturing application, its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existing DEA laboratory registration, the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commercial viability of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its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FDA-pathways drug development programs, and its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claims in[]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pending federal litigation."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You assert that "MMJ objects to the proposed rescheduling</w:t>
      </w:r>
      <w:r>
        <w:rPr>
          <w:color w:val="161616"/>
        </w:rPr>
        <w:tab/>
      </w:r>
      <w:r>
        <w:rPr>
          <w:color w:val="161616"/>
          <w:w w:val="105"/>
        </w:rPr>
        <w:t>"You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further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assert that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proposed rescheduling will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cause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MMJ</w:t>
      </w:r>
    </w:p>
    <w:p>
      <w:pPr>
        <w:pStyle w:val="BodyText"/>
        <w:spacing w:line="252" w:lineRule="auto"/>
        <w:ind w:left="434" w:hanging="7"/>
      </w:pPr>
      <w:r>
        <w:rPr>
          <w:color w:val="161616"/>
          <w:w w:val="105"/>
        </w:rPr>
        <w:t>"competitive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injury"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by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creating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"a two-track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regulatory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system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that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advantages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non-compliant entities at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expense of those who have pursued the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established federal pathway."</w:t>
      </w:r>
    </w:p>
    <w:p>
      <w:pPr>
        <w:pStyle w:val="BodyText"/>
        <w:spacing w:before="3"/>
      </w:pPr>
    </w:p>
    <w:p>
      <w:pPr>
        <w:pStyle w:val="BodyText"/>
        <w:spacing w:line="252" w:lineRule="auto"/>
        <w:ind w:left="430" w:right="165" w:firstLine="726"/>
      </w:pPr>
      <w:r>
        <w:rPr>
          <w:color w:val="161616"/>
          <w:w w:val="105"/>
        </w:rPr>
        <w:t>You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state in your participation request that, at the hearing, you wish to be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heard on the following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issues: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(1)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> </w:t>
      </w:r>
      <w:r>
        <w:rPr>
          <w:color w:val="161616"/>
          <w:w w:val="105"/>
        </w:rPr>
        <w:t>proposed rescheduling's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compliance with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1961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Single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Convention on Narcotic Drugs and "international obligations";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(2)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"the proper application of the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statutory scheduling factors under 21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U.S.C. 812(b), including whether the evidentiary record supports the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proposed transfer to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Schedule III";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(3)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concern that the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"DEA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administrative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proceedings ..</w:t>
      </w:r>
    </w:p>
    <w:p>
      <w:pPr>
        <w:pStyle w:val="BodyText"/>
        <w:spacing w:line="249" w:lineRule="auto"/>
        <w:ind w:left="430" w:right="165" w:firstLine="1"/>
      </w:pPr>
      <w:r>
        <w:rPr>
          <w:color w:val="161616"/>
          <w:w w:val="105"/>
        </w:rPr>
        <w:t>. suffer from significant constitutional defects under Article II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of the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United States Constitution";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and (4) concern that DEA may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lack "lawful authority to adjudicate matters through an administrative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process that is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constitutionally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defective."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These issues present questions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law,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and your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request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fails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address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how your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participation in the</w:t>
      </w:r>
      <w:r>
        <w:rPr>
          <w:color w:val="161616"/>
          <w:spacing w:val="-15"/>
          <w:w w:val="105"/>
        </w:rPr>
        <w:t> </w:t>
      </w:r>
      <w:r>
        <w:rPr>
          <w:color w:val="161616"/>
          <w:w w:val="105"/>
        </w:rPr>
        <w:t>hearing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on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any of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these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issues would offer factual evidence or</w:t>
      </w:r>
      <w:r>
        <w:rPr>
          <w:color w:val="161616"/>
          <w:spacing w:val="-5"/>
          <w:w w:val="105"/>
        </w:rPr>
        <w:t> </w:t>
      </w:r>
      <w:r>
        <w:rPr>
          <w:color w:val="161616"/>
          <w:w w:val="105"/>
        </w:rPr>
        <w:t>expert opinion regarding whether marijuana should be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transferred 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schedule III, including any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the factors set forth in </w:t>
      </w:r>
      <w:r>
        <w:rPr>
          <w:color w:val="0A3475"/>
          <w:w w:val="105"/>
          <w:u w:val="thick" w:color="0A3475"/>
        </w:rPr>
        <w:t>21 U.S.C. 81l(c)</w:t>
      </w:r>
      <w:r>
        <w:rPr>
          <w:color w:val="0A3475"/>
          <w:w w:val="105"/>
        </w:rPr>
        <w:t> </w:t>
      </w:r>
      <w:r>
        <w:rPr>
          <w:color w:val="161616"/>
          <w:w w:val="105"/>
        </w:rPr>
        <w:t>or</w:t>
      </w:r>
      <w:r>
        <w:rPr>
          <w:color w:val="161616"/>
          <w:spacing w:val="-2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necessary findings under </w:t>
      </w:r>
      <w:r>
        <w:rPr>
          <w:color w:val="0A3475"/>
          <w:w w:val="105"/>
          <w:u w:val="thick" w:color="0A3475"/>
        </w:rPr>
        <w:t>21 </w:t>
      </w:r>
      <w:r>
        <w:rPr>
          <w:color w:val="2F4B82"/>
          <w:w w:val="105"/>
          <w:u w:val="thick" w:color="0A3475"/>
        </w:rPr>
        <w:t>U</w:t>
      </w:r>
      <w:r>
        <w:rPr>
          <w:color w:val="0A3475"/>
          <w:w w:val="105"/>
          <w:u w:val="thick" w:color="0A3475"/>
        </w:rPr>
        <w:t>.S.C.</w:t>
      </w:r>
      <w:r>
        <w:rPr>
          <w:color w:val="0A3475"/>
          <w:spacing w:val="-14"/>
          <w:w w:val="105"/>
          <w:u w:val="thick" w:color="0A3475"/>
        </w:rPr>
        <w:t> </w:t>
      </w:r>
      <w:r>
        <w:rPr>
          <w:color w:val="0A3475"/>
          <w:w w:val="105"/>
          <w:u w:val="thick" w:color="0A3475"/>
        </w:rPr>
        <w:t>812(b)(3)</w:t>
      </w:r>
      <w:r>
        <w:rPr>
          <w:color w:val="0A3475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transfer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marijuana to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schedule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III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161616"/>
          <w:spacing w:val="-4"/>
          <w:w w:val="105"/>
        </w:rPr>
        <w:t>CSA.</w:t>
      </w:r>
    </w:p>
    <w:p>
      <w:pPr>
        <w:pStyle w:val="BodyText"/>
        <w:spacing w:before="19"/>
      </w:pPr>
    </w:p>
    <w:p>
      <w:pPr>
        <w:pStyle w:val="BodyText"/>
        <w:spacing w:line="252" w:lineRule="auto"/>
        <w:ind w:left="429" w:right="149" w:firstLine="728"/>
      </w:pPr>
      <w:r>
        <w:rPr>
          <w:color w:val="161616"/>
          <w:w w:val="105"/>
        </w:rPr>
        <w:t>In addition, MMJ wishes to be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heard regarding an objection "to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proposed rescheduling to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extent that</w:t>
      </w:r>
      <w:r>
        <w:rPr>
          <w:color w:val="161616"/>
          <w:spacing w:val="-8"/>
          <w:w w:val="105"/>
        </w:rPr>
        <w:t> </w:t>
      </w:r>
      <w:r>
        <w:rPr>
          <w:color w:val="161616"/>
          <w:w w:val="105"/>
        </w:rPr>
        <w:t>it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does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not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address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disposition of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pending DEA</w:t>
      </w:r>
      <w:r>
        <w:rPr>
          <w:color w:val="161616"/>
          <w:spacing w:val="-4"/>
          <w:w w:val="105"/>
        </w:rPr>
        <w:t> </w:t>
      </w:r>
      <w:r>
        <w:rPr>
          <w:color w:val="161616"/>
          <w:w w:val="105"/>
        </w:rPr>
        <w:t>registration applications for bulk manufacturers of</w:t>
      </w:r>
      <w:r>
        <w:rPr>
          <w:color w:val="161616"/>
          <w:spacing w:val="-6"/>
          <w:w w:val="105"/>
        </w:rPr>
        <w:t> </w:t>
      </w:r>
      <w:r>
        <w:rPr>
          <w:color w:val="161616"/>
          <w:w w:val="105"/>
        </w:rPr>
        <w:t>marijuana submitted under the</w:t>
      </w:r>
      <w:r>
        <w:rPr>
          <w:color w:val="161616"/>
          <w:spacing w:val="-9"/>
          <w:w w:val="105"/>
        </w:rPr>
        <w:t> </w:t>
      </w:r>
      <w:r>
        <w:rPr>
          <w:color w:val="161616"/>
          <w:w w:val="105"/>
        </w:rPr>
        <w:t>current Schedule I framework."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> </w:t>
      </w:r>
      <w:r>
        <w:rPr>
          <w:color w:val="161616"/>
          <w:w w:val="105"/>
        </w:rPr>
        <w:t>disposition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pending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DEA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registration applications is</w:t>
      </w:r>
      <w:r>
        <w:rPr>
          <w:color w:val="161616"/>
          <w:spacing w:val="-12"/>
          <w:w w:val="105"/>
        </w:rPr>
        <w:t> </w:t>
      </w:r>
      <w:r>
        <w:rPr>
          <w:color w:val="161616"/>
          <w:w w:val="105"/>
        </w:rPr>
        <w:t>beyond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> </w:t>
      </w:r>
      <w:r>
        <w:rPr>
          <w:color w:val="161616"/>
          <w:w w:val="105"/>
        </w:rPr>
        <w:t>scope</w:t>
      </w:r>
      <w:r>
        <w:rPr>
          <w:color w:val="161616"/>
          <w:spacing w:val="-10"/>
          <w:w w:val="105"/>
        </w:rPr>
        <w:t> </w:t>
      </w:r>
      <w:r>
        <w:rPr>
          <w:color w:val="161616"/>
          <w:w w:val="105"/>
        </w:rPr>
        <w:t>of 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NPRM's proposal to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transfer marijuana from schedule I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schedule III of the</w:t>
      </w:r>
      <w:r>
        <w:rPr>
          <w:color w:val="161616"/>
          <w:spacing w:val="-1"/>
          <w:w w:val="105"/>
        </w:rPr>
        <w:t> </w:t>
      </w:r>
      <w:r>
        <w:rPr>
          <w:color w:val="161616"/>
          <w:w w:val="105"/>
        </w:rPr>
        <w:t>CSA.</w:t>
      </w:r>
    </w:p>
    <w:p>
      <w:pPr>
        <w:pStyle w:val="BodyText"/>
        <w:spacing w:before="16"/>
      </w:pPr>
    </w:p>
    <w:p>
      <w:pPr>
        <w:spacing w:line="249" w:lineRule="auto" w:before="0"/>
        <w:ind w:left="431" w:right="165" w:firstLine="721"/>
        <w:jc w:val="left"/>
        <w:rPr>
          <w:i/>
          <w:sz w:val="23"/>
        </w:rPr>
      </w:pPr>
      <w:r>
        <w:rPr>
          <w:color w:val="161616"/>
          <w:w w:val="105"/>
          <w:sz w:val="23"/>
        </w:rPr>
        <w:t>Upon review, DEA concludes that your participation request fails</w:t>
      </w:r>
      <w:r>
        <w:rPr>
          <w:color w:val="161616"/>
          <w:spacing w:val="-4"/>
          <w:w w:val="105"/>
          <w:sz w:val="23"/>
        </w:rPr>
        <w:t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sufficiently state with</w:t>
      </w:r>
      <w:r>
        <w:rPr>
          <w:color w:val="161616"/>
          <w:spacing w:val="-10"/>
          <w:w w:val="105"/>
          <w:sz w:val="23"/>
        </w:rPr>
        <w:t> </w:t>
      </w:r>
      <w:r>
        <w:rPr>
          <w:color w:val="161616"/>
          <w:w w:val="105"/>
          <w:sz w:val="23"/>
        </w:rPr>
        <w:t>particularity relevant</w:t>
      </w:r>
      <w:r>
        <w:rPr>
          <w:color w:val="161616"/>
          <w:spacing w:val="-3"/>
          <w:w w:val="105"/>
          <w:sz w:val="23"/>
        </w:rPr>
        <w:t> </w:t>
      </w:r>
      <w:r>
        <w:rPr>
          <w:color w:val="161616"/>
          <w:w w:val="105"/>
          <w:sz w:val="23"/>
        </w:rPr>
        <w:t>evidence</w:t>
      </w:r>
      <w:r>
        <w:rPr>
          <w:color w:val="161616"/>
          <w:spacing w:val="-11"/>
          <w:w w:val="105"/>
          <w:sz w:val="23"/>
        </w:rPr>
        <w:t> </w:t>
      </w:r>
      <w:r>
        <w:rPr>
          <w:color w:val="161616"/>
          <w:w w:val="105"/>
          <w:sz w:val="23"/>
        </w:rPr>
        <w:t>on a</w:t>
      </w:r>
      <w:r>
        <w:rPr>
          <w:color w:val="161616"/>
          <w:spacing w:val="-6"/>
          <w:w w:val="105"/>
          <w:sz w:val="23"/>
        </w:rPr>
        <w:t> </w:t>
      </w:r>
      <w:r>
        <w:rPr>
          <w:color w:val="161616"/>
          <w:w w:val="105"/>
          <w:sz w:val="23"/>
        </w:rPr>
        <w:t>material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issue</w:t>
      </w:r>
      <w:r>
        <w:rPr>
          <w:color w:val="161616"/>
          <w:spacing w:val="-13"/>
          <w:w w:val="105"/>
          <w:sz w:val="23"/>
        </w:rPr>
        <w:t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3"/>
          <w:w w:val="105"/>
          <w:sz w:val="23"/>
        </w:rPr>
        <w:t> </w:t>
      </w:r>
      <w:r>
        <w:rPr>
          <w:color w:val="161616"/>
          <w:w w:val="105"/>
          <w:sz w:val="23"/>
        </w:rPr>
        <w:t>fact</w:t>
      </w:r>
      <w:r>
        <w:rPr>
          <w:color w:val="161616"/>
          <w:spacing w:val="-8"/>
          <w:w w:val="105"/>
          <w:sz w:val="23"/>
        </w:rPr>
        <w:t> </w:t>
      </w:r>
      <w:r>
        <w:rPr>
          <w:color w:val="161616"/>
          <w:w w:val="105"/>
          <w:sz w:val="23"/>
        </w:rPr>
        <w:t>that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you</w:t>
      </w:r>
      <w:r>
        <w:rPr>
          <w:color w:val="161616"/>
          <w:spacing w:val="-12"/>
          <w:w w:val="105"/>
          <w:sz w:val="23"/>
        </w:rPr>
        <w:t> </w:t>
      </w:r>
      <w:r>
        <w:rPr>
          <w:color w:val="161616"/>
          <w:w w:val="105"/>
          <w:sz w:val="23"/>
        </w:rPr>
        <w:t>intend</w:t>
      </w:r>
      <w:r>
        <w:rPr>
          <w:color w:val="161616"/>
          <w:spacing w:val="-2"/>
          <w:w w:val="105"/>
          <w:sz w:val="23"/>
        </w:rPr>
        <w:t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10"/>
          <w:w w:val="105"/>
          <w:sz w:val="23"/>
        </w:rPr>
        <w:t> </w:t>
      </w:r>
      <w:r>
        <w:rPr>
          <w:color w:val="161616"/>
          <w:w w:val="105"/>
          <w:sz w:val="23"/>
        </w:rPr>
        <w:t>present</w:t>
      </w:r>
      <w:r>
        <w:rPr>
          <w:color w:val="161616"/>
          <w:spacing w:val="-1"/>
          <w:w w:val="105"/>
          <w:sz w:val="23"/>
        </w:rPr>
        <w:t> </w:t>
      </w:r>
      <w:r>
        <w:rPr>
          <w:color w:val="161616"/>
          <w:w w:val="105"/>
          <w:sz w:val="23"/>
        </w:rPr>
        <w:t>during the</w:t>
      </w:r>
      <w:r>
        <w:rPr>
          <w:color w:val="161616"/>
          <w:spacing w:val="-4"/>
          <w:w w:val="105"/>
          <w:sz w:val="23"/>
        </w:rPr>
        <w:t> </w:t>
      </w:r>
      <w:r>
        <w:rPr>
          <w:color w:val="161616"/>
          <w:w w:val="105"/>
          <w:sz w:val="23"/>
        </w:rPr>
        <w:t>hearing regarding whether marijuana satisfies the</w:t>
      </w:r>
      <w:r>
        <w:rPr>
          <w:color w:val="161616"/>
          <w:spacing w:val="-9"/>
          <w:w w:val="105"/>
          <w:sz w:val="23"/>
        </w:rPr>
        <w:t> </w:t>
      </w:r>
      <w:r>
        <w:rPr>
          <w:color w:val="161616"/>
          <w:w w:val="105"/>
          <w:sz w:val="23"/>
        </w:rPr>
        <w:t>statutory requirements for</w:t>
      </w:r>
      <w:r>
        <w:rPr>
          <w:color w:val="161616"/>
          <w:spacing w:val="-5"/>
          <w:w w:val="105"/>
          <w:sz w:val="23"/>
        </w:rPr>
        <w:t> </w:t>
      </w:r>
      <w:r>
        <w:rPr>
          <w:color w:val="161616"/>
          <w:w w:val="105"/>
          <w:sz w:val="23"/>
        </w:rPr>
        <w:t>placement in schedule III.</w:t>
      </w:r>
      <w:r>
        <w:rPr>
          <w:color w:val="161616"/>
          <w:spacing w:val="40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See Schedules of</w:t>
      </w:r>
      <w:r>
        <w:rPr>
          <w:i/>
          <w:color w:val="161616"/>
          <w:spacing w:val="-8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Controlled Substances: Rescheduling of</w:t>
      </w:r>
      <w:r>
        <w:rPr>
          <w:i/>
          <w:color w:val="161616"/>
          <w:spacing w:val="-2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the Food and Drug Administration</w:t>
      </w:r>
      <w:r>
        <w:rPr>
          <w:i/>
          <w:color w:val="161616"/>
          <w:spacing w:val="-16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Approved Product</w:t>
      </w:r>
      <w:r>
        <w:rPr>
          <w:i/>
          <w:color w:val="161616"/>
          <w:spacing w:val="-6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Containing Synthetic</w:t>
      </w:r>
      <w:r>
        <w:rPr>
          <w:i/>
          <w:color w:val="161616"/>
          <w:spacing w:val="-9"/>
          <w:w w:val="105"/>
          <w:sz w:val="23"/>
        </w:rPr>
        <w:t> </w:t>
      </w:r>
      <w:r>
        <w:rPr>
          <w:i/>
          <w:color w:val="161616"/>
          <w:w w:val="105"/>
          <w:sz w:val="23"/>
        </w:rPr>
        <w:t>Dronabinol [(-)-11</w:t>
      </w:r>
      <w:r>
        <w:rPr>
          <w:i/>
          <w:color w:val="161616"/>
          <w:w w:val="105"/>
          <w:sz w:val="23"/>
          <w:vertAlign w:val="superscript"/>
        </w:rPr>
        <w:t>9</w:t>
      </w:r>
      <w:r>
        <w:rPr>
          <w:i/>
          <w:color w:val="161616"/>
          <w:w w:val="105"/>
          <w:sz w:val="23"/>
          <w:vertAlign w:val="baseline"/>
        </w:rPr>
        <w:t>-(trans)-Tetrahydrocannabinol}</w:t>
      </w:r>
      <w:r>
        <w:rPr>
          <w:i/>
          <w:color w:val="161616"/>
          <w:spacing w:val="-28"/>
          <w:w w:val="105"/>
          <w:sz w:val="23"/>
          <w:vertAlign w:val="baseline"/>
        </w:rPr>
        <w:t> </w:t>
      </w:r>
      <w:r>
        <w:rPr>
          <w:i/>
          <w:color w:val="161616"/>
          <w:w w:val="105"/>
          <w:sz w:val="23"/>
          <w:vertAlign w:val="baseline"/>
        </w:rPr>
        <w:t>in</w:t>
      </w:r>
      <w:r>
        <w:rPr>
          <w:i/>
          <w:color w:val="161616"/>
          <w:spacing w:val="-3"/>
          <w:w w:val="105"/>
          <w:sz w:val="23"/>
          <w:vertAlign w:val="baseline"/>
        </w:rPr>
        <w:t> </w:t>
      </w:r>
      <w:r>
        <w:rPr>
          <w:i/>
          <w:color w:val="161616"/>
          <w:w w:val="105"/>
          <w:sz w:val="23"/>
          <w:vertAlign w:val="baseline"/>
        </w:rPr>
        <w:t>Sesame Oil and Encapsulated in Soft Gelatin Capsules From</w:t>
      </w:r>
    </w:p>
    <w:p>
      <w:pPr>
        <w:spacing w:after="0" w:line="249" w:lineRule="auto"/>
        <w:jc w:val="left"/>
        <w:rPr>
          <w:i/>
          <w:sz w:val="23"/>
        </w:rPr>
        <w:sectPr>
          <w:headerReference w:type="default" r:id="rId7"/>
          <w:pgSz w:w="11920" w:h="16840"/>
          <w:pgMar w:header="1117" w:footer="0" w:top="1360" w:bottom="280" w:left="1133" w:right="992"/>
          <w:pgNumType w:start="2"/>
        </w:sectPr>
      </w:pPr>
    </w:p>
    <w:p>
      <w:pPr>
        <w:pStyle w:val="BodyText"/>
        <w:spacing w:before="24"/>
        <w:rPr>
          <w:i/>
        </w:rPr>
      </w:pPr>
    </w:p>
    <w:p>
      <w:pPr>
        <w:spacing w:line="252" w:lineRule="auto" w:before="0"/>
        <w:ind w:left="464" w:right="149" w:firstLine="5"/>
        <w:jc w:val="left"/>
        <w:rPr>
          <w:sz w:val="23"/>
        </w:rPr>
      </w:pPr>
      <w:r>
        <w:rPr>
          <w:i/>
          <w:color w:val="1D1D1D"/>
          <w:w w:val="105"/>
          <w:sz w:val="23"/>
        </w:rPr>
        <w:t>Schedule</w:t>
      </w:r>
      <w:r>
        <w:rPr>
          <w:i/>
          <w:color w:val="1D1D1D"/>
          <w:spacing w:val="-2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II</w:t>
      </w:r>
      <w:r>
        <w:rPr>
          <w:i/>
          <w:color w:val="1D1D1D"/>
          <w:spacing w:val="-12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to</w:t>
      </w:r>
      <w:r>
        <w:rPr>
          <w:i/>
          <w:color w:val="1D1D1D"/>
          <w:spacing w:val="-14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 III,</w:t>
      </w:r>
      <w:r>
        <w:rPr>
          <w:i/>
          <w:color w:val="1D1D1D"/>
          <w:spacing w:val="-17"/>
          <w:w w:val="105"/>
          <w:sz w:val="23"/>
        </w:rPr>
        <w:t> </w:t>
      </w:r>
      <w:r>
        <w:rPr>
          <w:color w:val="153B7C"/>
          <w:w w:val="105"/>
          <w:sz w:val="23"/>
          <w:u w:val="thick" w:color="153B7C"/>
        </w:rPr>
        <w:t>64</w:t>
      </w:r>
      <w:r>
        <w:rPr>
          <w:color w:val="153B7C"/>
          <w:spacing w:val="-8"/>
          <w:w w:val="105"/>
          <w:sz w:val="23"/>
          <w:u w:val="thick" w:color="153B7C"/>
        </w:rPr>
        <w:t> </w:t>
      </w:r>
      <w:r>
        <w:rPr>
          <w:color w:val="153B7C"/>
          <w:w w:val="105"/>
          <w:sz w:val="23"/>
          <w:u w:val="thick" w:color="153B7C"/>
        </w:rPr>
        <w:t>FR</w:t>
      </w:r>
      <w:r>
        <w:rPr>
          <w:color w:val="153B7C"/>
          <w:spacing w:val="-8"/>
          <w:w w:val="105"/>
          <w:sz w:val="23"/>
          <w:u w:val="thick" w:color="153B7C"/>
        </w:rPr>
        <w:t> </w:t>
      </w:r>
      <w:r>
        <w:rPr>
          <w:color w:val="153B7C"/>
          <w:w w:val="105"/>
          <w:sz w:val="23"/>
          <w:u w:val="thick" w:color="153B7C"/>
        </w:rPr>
        <w:t>35928</w:t>
      </w:r>
      <w:r>
        <w:rPr>
          <w:color w:val="153B7C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(July</w:t>
      </w:r>
      <w:r>
        <w:rPr>
          <w:color w:val="1D1D1D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2,</w:t>
      </w:r>
      <w:r>
        <w:rPr>
          <w:color w:val="1D1D1D"/>
          <w:spacing w:val="-9"/>
          <w:w w:val="105"/>
          <w:sz w:val="23"/>
        </w:rPr>
        <w:t> </w:t>
      </w:r>
      <w:r>
        <w:rPr>
          <w:color w:val="1D1D1D"/>
          <w:w w:val="105"/>
          <w:sz w:val="23"/>
        </w:rPr>
        <w:t>1999);</w:t>
      </w:r>
      <w:r>
        <w:rPr>
          <w:color w:val="1D1D1D"/>
          <w:spacing w:val="-5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Schedules of</w:t>
      </w:r>
      <w:r>
        <w:rPr>
          <w:i/>
          <w:color w:val="1D1D1D"/>
          <w:spacing w:val="-16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Controlled</w:t>
      </w:r>
      <w:r>
        <w:rPr>
          <w:i/>
          <w:color w:val="1D1D1D"/>
          <w:spacing w:val="13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Substances: Placement of Pemoline in</w:t>
      </w:r>
      <w:r>
        <w:rPr>
          <w:i/>
          <w:color w:val="1D1D1D"/>
          <w:spacing w:val="-4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Schedule IV, </w:t>
      </w:r>
      <w:r>
        <w:rPr>
          <w:color w:val="153B7C"/>
          <w:w w:val="105"/>
          <w:sz w:val="23"/>
          <w:u w:val="thick" w:color="153B7C"/>
        </w:rPr>
        <w:t>40 FR 4150</w:t>
      </w:r>
      <w:r>
        <w:rPr>
          <w:color w:val="153B7C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(Jan.</w:t>
      </w:r>
      <w:r>
        <w:rPr>
          <w:color w:val="1D1D1D"/>
          <w:spacing w:val="-6"/>
          <w:w w:val="105"/>
          <w:sz w:val="23"/>
        </w:rPr>
        <w:t> </w:t>
      </w:r>
      <w:r>
        <w:rPr>
          <w:color w:val="1D1D1D"/>
          <w:w w:val="105"/>
          <w:sz w:val="23"/>
        </w:rPr>
        <w:t>28,</w:t>
      </w:r>
      <w:r>
        <w:rPr>
          <w:color w:val="1D1D1D"/>
          <w:spacing w:val="-1"/>
          <w:w w:val="105"/>
          <w:sz w:val="23"/>
        </w:rPr>
        <w:t> </w:t>
      </w:r>
      <w:r>
        <w:rPr>
          <w:color w:val="1D1D1D"/>
          <w:w w:val="105"/>
          <w:sz w:val="23"/>
        </w:rPr>
        <w:t>1975).</w:t>
      </w:r>
      <w:r>
        <w:rPr>
          <w:color w:val="1D1D1D"/>
          <w:spacing w:val="40"/>
          <w:w w:val="105"/>
          <w:sz w:val="23"/>
        </w:rPr>
        <w:t> </w:t>
      </w:r>
      <w:r>
        <w:rPr>
          <w:color w:val="1D1D1D"/>
          <w:w w:val="105"/>
          <w:sz w:val="23"/>
        </w:rPr>
        <w:t>For this</w:t>
      </w:r>
      <w:r>
        <w:rPr>
          <w:color w:val="1D1D1D"/>
          <w:spacing w:val="-3"/>
          <w:w w:val="105"/>
          <w:sz w:val="23"/>
        </w:rPr>
        <w:t> </w:t>
      </w:r>
      <w:r>
        <w:rPr>
          <w:color w:val="1D1D1D"/>
          <w:w w:val="105"/>
          <w:sz w:val="23"/>
        </w:rPr>
        <w:t>reason, DEA denies your request to participate in the hearing.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5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6093117</wp:posOffset>
                </wp:positionH>
                <wp:positionV relativeFrom="paragraph">
                  <wp:posOffset>183017</wp:posOffset>
                </wp:positionV>
                <wp:extent cx="639445" cy="5778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944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Menlo" w:hAnsi="Menlo" w:cs="Menlo" w:eastAsia="Menlo"/>
                                <w:i/>
                                <w:iCs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Menlo" w:hAnsi="Menlo" w:cs="Menlo" w:eastAsia="Menlo"/>
                                <w:i/>
                                <w:iCs/>
                                <w:color w:val="1D1D1D"/>
                                <w:spacing w:val="-5"/>
                                <w:w w:val="105"/>
                                <w:sz w:val="78"/>
                                <w:szCs w:val="78"/>
                              </w:rPr>
                              <w:t>t�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77301pt;margin-top:14.410829pt;width:50.35pt;height:45.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Menlo" w:hAnsi="Menlo" w:cs="Menlo" w:eastAsia="Menlo"/>
                          <w:i/>
                          <w:iCs/>
                          <w:sz w:val="78"/>
                          <w:szCs w:val="78"/>
                        </w:rPr>
                      </w:pPr>
                      <w:r>
                        <w:rPr>
                          <w:rFonts w:ascii="Menlo" w:hAnsi="Menlo" w:cs="Menlo" w:eastAsia="Menlo"/>
                          <w:i/>
                          <w:iCs/>
                          <w:color w:val="1D1D1D"/>
                          <w:spacing w:val="-5"/>
                          <w:w w:val="105"/>
                          <w:sz w:val="78"/>
                          <w:szCs w:val="78"/>
                        </w:rPr>
                        <w:t>t�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D1D"/>
          <w:spacing w:val="-2"/>
          <w:w w:val="105"/>
        </w:rPr>
        <w:t>Sincerely,</w:t>
      </w:r>
    </w:p>
    <w:p>
      <w:pPr>
        <w:pStyle w:val="BodyText"/>
      </w:pPr>
    </w:p>
    <w:p>
      <w:pPr>
        <w:pStyle w:val="BodyText"/>
        <w:spacing w:before="197"/>
      </w:pPr>
    </w:p>
    <w:p>
      <w:pPr>
        <w:tabs>
          <w:tab w:pos="7508" w:val="left" w:leader="none"/>
        </w:tabs>
        <w:spacing w:before="0"/>
        <w:ind w:left="5404" w:right="0" w:firstLine="0"/>
        <w:jc w:val="left"/>
        <w:rPr>
          <w:sz w:val="20"/>
          <w:szCs w:val="20"/>
        </w:rPr>
      </w:pPr>
      <w:r>
        <w:rPr>
          <w:color w:val="1D1D1D"/>
          <w:spacing w:val="-5"/>
          <w:w w:val="105"/>
          <w:sz w:val="20"/>
          <w:szCs w:val="20"/>
        </w:rPr>
        <w:t>��</w:t>
      </w:r>
      <w:r>
        <w:rPr>
          <w:color w:val="1D1D1D"/>
          <w:sz w:val="20"/>
          <w:szCs w:val="20"/>
        </w:rPr>
        <w:tab/>
      </w:r>
      <w:r>
        <w:rPr>
          <w:color w:val="1D1D1D"/>
          <w:spacing w:val="-10"/>
          <w:w w:val="105"/>
          <w:sz w:val="20"/>
          <w:szCs w:val="20"/>
        </w:rPr>
        <w:t>�</w:t>
      </w:r>
    </w:p>
    <w:p>
      <w:pPr>
        <w:pStyle w:val="BodyText"/>
        <w:spacing w:line="252" w:lineRule="auto" w:before="160"/>
        <w:ind w:left="5521" w:right="1345" w:hanging="6"/>
      </w:pPr>
      <w:r>
        <w:rPr>
          <w:color w:val="1D1D1D"/>
          <w:w w:val="105"/>
        </w:rPr>
        <w:t>Terrance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C.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Cole </w:t>
      </w:r>
      <w:r>
        <w:rPr>
          <w:color w:val="1D1D1D"/>
          <w:spacing w:val="-2"/>
          <w:w w:val="105"/>
        </w:rPr>
        <w:t>Administrator</w:t>
      </w:r>
    </w:p>
    <w:sectPr>
      <w:pgSz w:w="11920" w:h="16840"/>
      <w:pgMar w:header="1117" w:footer="0" w:top="14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nlo">
    <w:altName w:val="Menlo"/>
    <w:charset w:val="0"/>
    <w:family w:val="swiss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6073471</wp:posOffset>
              </wp:positionH>
              <wp:positionV relativeFrom="page">
                <wp:posOffset>696693</wp:posOffset>
              </wp:positionV>
              <wp:extent cx="471170" cy="187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1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t>Page</w: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t>2</w:t>
                          </w:r>
                          <w:r>
                            <w:rPr>
                              <w:color w:val="161616"/>
                              <w:spacing w:val="-2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226105pt;margin-top:54.857784pt;width:37.1pt;height:14.8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161616"/>
                        <w:spacing w:val="-2"/>
                        <w:w w:val="115"/>
                      </w:rPr>
                      <w:t>Page</w: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begin"/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instrText> PAGE </w:instrTex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separate"/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t>2</w:t>
                    </w:r>
                    <w:r>
                      <w:rPr>
                        <w:color w:val="161616"/>
                        <w:spacing w:val="-2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 w:line="275" w:lineRule="exact"/>
      <w:ind w:left="8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trick.kenneally@burkegroup.law" TargetMode="External"/><Relationship Id="rId6" Type="http://schemas.openxmlformats.org/officeDocument/2006/relationships/hyperlink" Target="mailto:connor.mighell@burkegroup.law" TargetMode="External"/><Relationship Id="rId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2026-06-22T17:39:50Z</dcterms:created>
  <dcterms:modified xsi:type="dcterms:W3CDTF">2026-06-22T17:39:50Z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Xerox AltaLink C8055</vt:lpwstr>
  </property>
  <property fmtid="{D5CDD505-2E9C-101B-9397-08002B2CF9AE}" pid="4" name="LastSaved">
    <vt:filetime>2026-06-22T00:00:00Z</vt:filetime>
  </property>
  <property fmtid="{D5CDD505-2E9C-101B-9397-08002B2CF9AE}" pid="5" name="Producer">
    <vt:lpwstr>Xerox AltaLink C8055</vt:lpwstr>
  </property>
</Properties>
</file>