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1D1" w:rsidRDefault="002513FD">
      <w:bookmarkStart w:id="0" w:name="Section1"/>
      <w:bookmarkEnd w:id="0"/>
      <w:r>
        <w:rPr>
          <w:noProof/>
        </w:rPr>
        <w:drawing>
          <wp:inline distT="0" distB="0" distL="0" distR="0" wp14:anchorId="3C2D3C47" wp14:editId="2E6E4417">
            <wp:extent cx="1574800" cy="716164"/>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8"/>
                    <a:stretch>
                      <a:fillRect/>
                    </a:stretch>
                  </pic:blipFill>
                  <pic:spPr>
                    <a:xfrm>
                      <a:off x="0" y="0"/>
                      <a:ext cx="1574800" cy="716164"/>
                    </a:xfrm>
                    <a:prstGeom prst="rect">
                      <a:avLst/>
                    </a:prstGeom>
                  </pic:spPr>
                </pic:pic>
              </a:graphicData>
            </a:graphic>
          </wp:inline>
        </w:drawing>
      </w:r>
    </w:p>
    <w:p w:rsidR="003641D1" w:rsidRDefault="003641D1"/>
    <w:p w:rsidR="003641D1" w:rsidRDefault="00AA5C91" w:rsidP="00C95F14">
      <w:pPr>
        <w:jc w:val="center"/>
        <w:rPr>
          <w:b/>
          <w:bCs/>
          <w:sz w:val="28"/>
          <w:szCs w:val="28"/>
        </w:rPr>
      </w:pPr>
      <w:r w:rsidRPr="00164C38">
        <w:rPr>
          <w:b/>
          <w:bCs/>
          <w:sz w:val="28"/>
          <w:szCs w:val="28"/>
        </w:rPr>
        <w:t xml:space="preserve">NeoGenomics </w:t>
      </w:r>
      <w:proofErr w:type="gramStart"/>
      <w:r w:rsidRPr="00164C38">
        <w:rPr>
          <w:b/>
          <w:bCs/>
          <w:sz w:val="28"/>
          <w:szCs w:val="28"/>
        </w:rPr>
        <w:t>To</w:t>
      </w:r>
      <w:proofErr w:type="gramEnd"/>
      <w:r w:rsidRPr="00164C38">
        <w:rPr>
          <w:b/>
          <w:bCs/>
          <w:sz w:val="28"/>
          <w:szCs w:val="28"/>
        </w:rPr>
        <w:t xml:space="preserve"> </w:t>
      </w:r>
      <w:r>
        <w:rPr>
          <w:b/>
          <w:bCs/>
          <w:sz w:val="28"/>
          <w:szCs w:val="28"/>
        </w:rPr>
        <w:t xml:space="preserve">Virtually </w:t>
      </w:r>
      <w:r w:rsidRPr="00164C38">
        <w:rPr>
          <w:b/>
          <w:bCs/>
          <w:sz w:val="28"/>
          <w:szCs w:val="28"/>
        </w:rPr>
        <w:t>P</w:t>
      </w:r>
      <w:r>
        <w:rPr>
          <w:b/>
          <w:bCs/>
          <w:sz w:val="28"/>
          <w:szCs w:val="28"/>
        </w:rPr>
        <w:t>articipate In Fireside Chat</w:t>
      </w:r>
      <w:r w:rsidRPr="00164C38">
        <w:rPr>
          <w:b/>
          <w:bCs/>
          <w:sz w:val="28"/>
          <w:szCs w:val="28"/>
        </w:rPr>
        <w:t xml:space="preserve"> At</w:t>
      </w:r>
      <w:r>
        <w:rPr>
          <w:b/>
          <w:bCs/>
          <w:sz w:val="28"/>
          <w:szCs w:val="28"/>
        </w:rPr>
        <w:t xml:space="preserve"> The</w:t>
      </w:r>
      <w:r w:rsidRPr="00164C38">
        <w:rPr>
          <w:b/>
          <w:bCs/>
          <w:sz w:val="28"/>
          <w:szCs w:val="28"/>
        </w:rPr>
        <w:t xml:space="preserve"> </w:t>
      </w:r>
      <w:r w:rsidRPr="00AA5C91">
        <w:rPr>
          <w:b/>
          <w:bCs/>
          <w:sz w:val="28"/>
          <w:szCs w:val="28"/>
        </w:rPr>
        <w:t>18th Annual Morgan Stanley Global Healthcare Conference</w:t>
      </w:r>
      <w:r w:rsidR="00164C38" w:rsidRPr="00164C38">
        <w:rPr>
          <w:b/>
          <w:bCs/>
          <w:sz w:val="28"/>
          <w:szCs w:val="28"/>
        </w:rPr>
        <w:t xml:space="preserve"> </w:t>
      </w:r>
    </w:p>
    <w:p w:rsidR="00C95F14" w:rsidRPr="00292576" w:rsidRDefault="00C95F14" w:rsidP="00C95F14">
      <w:pPr>
        <w:jc w:val="center"/>
        <w:rPr>
          <w:b/>
          <w:bCs/>
          <w:sz w:val="28"/>
          <w:szCs w:val="28"/>
        </w:rPr>
      </w:pPr>
    </w:p>
    <w:p w:rsidR="00C95F14" w:rsidRPr="00292576" w:rsidRDefault="002513FD" w:rsidP="00C95F14">
      <w:pPr>
        <w:ind w:firstLine="720"/>
        <w:jc w:val="both"/>
        <w:rPr>
          <w:color w:val="333333"/>
        </w:rPr>
      </w:pPr>
      <w:r w:rsidRPr="00292576">
        <w:rPr>
          <w:b/>
        </w:rPr>
        <w:t xml:space="preserve">Ft. Myers, Florida </w:t>
      </w:r>
      <w:r w:rsidR="00292576" w:rsidRPr="00292576">
        <w:rPr>
          <w:b/>
        </w:rPr>
        <w:t xml:space="preserve">– </w:t>
      </w:r>
      <w:r w:rsidR="00AA5C91">
        <w:rPr>
          <w:b/>
        </w:rPr>
        <w:t>September 10</w:t>
      </w:r>
      <w:r w:rsidRPr="0057797B">
        <w:rPr>
          <w:b/>
        </w:rPr>
        <w:t>, 20</w:t>
      </w:r>
      <w:r w:rsidR="00164C38" w:rsidRPr="0057797B">
        <w:rPr>
          <w:b/>
        </w:rPr>
        <w:t>20</w:t>
      </w:r>
      <w:r w:rsidRPr="0057797B">
        <w:rPr>
          <w:b/>
        </w:rPr>
        <w:t xml:space="preserve"> - NeoGenomics</w:t>
      </w:r>
      <w:r w:rsidRPr="00292576">
        <w:rPr>
          <w:b/>
        </w:rPr>
        <w:t xml:space="preserve">, Inc. (NASDAQ: NEO), </w:t>
      </w:r>
      <w:r w:rsidR="00B478A0" w:rsidRPr="00292576">
        <w:t>a leading provider of cancer-focused genetic testing services,</w:t>
      </w:r>
      <w:r w:rsidR="00B478A0" w:rsidRPr="00292576">
        <w:rPr>
          <w:sz w:val="22"/>
        </w:rPr>
        <w:t xml:space="preserve"> </w:t>
      </w:r>
      <w:r w:rsidR="00B478A0" w:rsidRPr="00292576">
        <w:t xml:space="preserve">today </w:t>
      </w:r>
      <w:r w:rsidR="00B478A0" w:rsidRPr="00292576">
        <w:rPr>
          <w:color w:val="333333"/>
        </w:rPr>
        <w:t>annou</w:t>
      </w:r>
      <w:bookmarkStart w:id="1" w:name="_GoBack"/>
      <w:bookmarkEnd w:id="1"/>
      <w:r w:rsidR="00B478A0" w:rsidRPr="00292576">
        <w:rPr>
          <w:color w:val="333333"/>
        </w:rPr>
        <w:t>nced that</w:t>
      </w:r>
      <w:r w:rsidR="00880145" w:rsidRPr="00292576">
        <w:rPr>
          <w:color w:val="333333"/>
        </w:rPr>
        <w:t xml:space="preserve"> </w:t>
      </w:r>
      <w:r w:rsidR="00C95F14" w:rsidRPr="00292576">
        <w:rPr>
          <w:color w:val="333333"/>
        </w:rPr>
        <w:t xml:space="preserve">Doug VanOort, Chairman and Chief Executive Officer, Kathryn McKenzie, Chief Financial Officer and </w:t>
      </w:r>
      <w:r w:rsidR="00AA5C91">
        <w:rPr>
          <w:color w:val="333333"/>
        </w:rPr>
        <w:t>Doug Brown</w:t>
      </w:r>
      <w:r w:rsidR="00C95F14" w:rsidRPr="00292576">
        <w:rPr>
          <w:color w:val="333333"/>
        </w:rPr>
        <w:t xml:space="preserve">, </w:t>
      </w:r>
      <w:r w:rsidR="00AA5C91">
        <w:rPr>
          <w:color w:val="333333"/>
        </w:rPr>
        <w:t xml:space="preserve">Chief </w:t>
      </w:r>
      <w:r w:rsidR="00AA5C91" w:rsidRPr="00AA5C91">
        <w:rPr>
          <w:color w:val="333333"/>
        </w:rPr>
        <w:t>Strategy and Corporate Development Officer</w:t>
      </w:r>
      <w:r w:rsidR="00C95F14" w:rsidRPr="00292576">
        <w:rPr>
          <w:color w:val="333333"/>
        </w:rPr>
        <w:t xml:space="preserve">, will be </w:t>
      </w:r>
      <w:r w:rsidR="00AA5C91" w:rsidRPr="00F97293">
        <w:rPr>
          <w:color w:val="333333"/>
        </w:rPr>
        <w:t>participating in</w:t>
      </w:r>
      <w:r w:rsidR="00C95F14" w:rsidRPr="00292576">
        <w:rPr>
          <w:color w:val="333333"/>
        </w:rPr>
        <w:t xml:space="preserve"> a virtual </w:t>
      </w:r>
      <w:r w:rsidR="00AA5C91">
        <w:rPr>
          <w:color w:val="333333"/>
        </w:rPr>
        <w:t>fireside chat</w:t>
      </w:r>
      <w:r w:rsidR="00C95F14" w:rsidRPr="00292576">
        <w:rPr>
          <w:color w:val="333333"/>
        </w:rPr>
        <w:t xml:space="preserve"> at the</w:t>
      </w:r>
      <w:r w:rsidR="00AA5C91">
        <w:rPr>
          <w:color w:val="333333"/>
        </w:rPr>
        <w:t xml:space="preserve"> </w:t>
      </w:r>
      <w:r w:rsidR="00AA5C91" w:rsidRPr="00AA5C91">
        <w:rPr>
          <w:color w:val="333333"/>
        </w:rPr>
        <w:t>18th Annual</w:t>
      </w:r>
      <w:r w:rsidR="00AA5C91">
        <w:rPr>
          <w:color w:val="333333"/>
        </w:rPr>
        <w:t xml:space="preserve"> Morgan Stanley </w:t>
      </w:r>
      <w:r w:rsidR="00AA5C91" w:rsidRPr="00AA5C91">
        <w:rPr>
          <w:color w:val="333333"/>
        </w:rPr>
        <w:t>Global Healthcare Conference</w:t>
      </w:r>
      <w:r w:rsidR="00C95F14" w:rsidRPr="00292576">
        <w:rPr>
          <w:color w:val="333333"/>
        </w:rPr>
        <w:t xml:space="preserve"> on </w:t>
      </w:r>
      <w:r w:rsidR="00AA5C91">
        <w:rPr>
          <w:color w:val="333333"/>
        </w:rPr>
        <w:t>Monday</w:t>
      </w:r>
      <w:r w:rsidR="00C95F14" w:rsidRPr="00292576">
        <w:rPr>
          <w:color w:val="333333"/>
        </w:rPr>
        <w:t xml:space="preserve">, </w:t>
      </w:r>
      <w:r w:rsidR="00AA5C91">
        <w:rPr>
          <w:color w:val="333333"/>
        </w:rPr>
        <w:t>September</w:t>
      </w:r>
      <w:r w:rsidR="001B4DDA" w:rsidRPr="00292576">
        <w:rPr>
          <w:color w:val="333333"/>
        </w:rPr>
        <w:t xml:space="preserve"> 1</w:t>
      </w:r>
      <w:r w:rsidR="00AA5C91">
        <w:rPr>
          <w:color w:val="333333"/>
        </w:rPr>
        <w:t>4</w:t>
      </w:r>
      <w:r w:rsidR="00C95F14" w:rsidRPr="00292576">
        <w:rPr>
          <w:color w:val="333333"/>
        </w:rPr>
        <w:t xml:space="preserve">, 2020 at </w:t>
      </w:r>
      <w:r w:rsidR="00AA5C91">
        <w:rPr>
          <w:color w:val="333333"/>
        </w:rPr>
        <w:t>9</w:t>
      </w:r>
      <w:r w:rsidR="00C95F14" w:rsidRPr="00292576">
        <w:rPr>
          <w:color w:val="333333"/>
        </w:rPr>
        <w:t>:</w:t>
      </w:r>
      <w:r w:rsidR="00AA5C91">
        <w:rPr>
          <w:color w:val="333333"/>
        </w:rPr>
        <w:t>45</w:t>
      </w:r>
      <w:r w:rsidR="001B4DDA" w:rsidRPr="00292576">
        <w:rPr>
          <w:color w:val="333333"/>
        </w:rPr>
        <w:t>a</w:t>
      </w:r>
      <w:r w:rsidR="00C95F14" w:rsidRPr="00292576">
        <w:rPr>
          <w:color w:val="333333"/>
        </w:rPr>
        <w:t>m ET.</w:t>
      </w:r>
    </w:p>
    <w:p w:rsidR="00B478A0" w:rsidRPr="00292576" w:rsidRDefault="00B478A0" w:rsidP="00C0044B">
      <w:pPr>
        <w:jc w:val="both"/>
        <w:rPr>
          <w:color w:val="333333"/>
        </w:rPr>
      </w:pPr>
    </w:p>
    <w:p w:rsidR="00607EF5" w:rsidRDefault="00B478A0" w:rsidP="00AA5C91">
      <w:pPr>
        <w:ind w:firstLine="720"/>
        <w:jc w:val="both"/>
        <w:rPr>
          <w:color w:val="333333"/>
        </w:rPr>
      </w:pPr>
      <w:r w:rsidRPr="00292576">
        <w:rPr>
          <w:color w:val="333333"/>
        </w:rPr>
        <w:t xml:space="preserve">The presentation will be webcast live and accessible online via the investors section of the Company’s website, </w:t>
      </w:r>
      <w:hyperlink r:id="rId9" w:history="1">
        <w:r w:rsidRPr="00292576">
          <w:rPr>
            <w:rStyle w:val="Hyperlink"/>
          </w:rPr>
          <w:t>www.neogenomics.com</w:t>
        </w:r>
      </w:hyperlink>
      <w:r w:rsidRPr="00292576">
        <w:rPr>
          <w:color w:val="333333"/>
        </w:rPr>
        <w:t xml:space="preserve">.  A replay of the webcast will be archived for 90 days following the presentation. </w:t>
      </w:r>
    </w:p>
    <w:p w:rsidR="00AA5C91" w:rsidRPr="00AA5C91" w:rsidRDefault="00AA5C91" w:rsidP="00AA5C91">
      <w:pPr>
        <w:ind w:firstLine="720"/>
        <w:jc w:val="both"/>
        <w:rPr>
          <w:color w:val="333333"/>
        </w:rPr>
      </w:pPr>
    </w:p>
    <w:p w:rsidR="00AA5C91" w:rsidRDefault="00AA5C91" w:rsidP="00AA5C91">
      <w:pPr>
        <w:spacing w:before="120" w:line="248" w:lineRule="auto"/>
        <w:jc w:val="both"/>
        <w:rPr>
          <w:b/>
          <w:shd w:val="clear" w:color="auto" w:fill="FFFF00"/>
        </w:rPr>
      </w:pPr>
      <w:r>
        <w:rPr>
          <w:b/>
        </w:rPr>
        <w:t>About NeoGenomics, Inc.</w:t>
      </w:r>
    </w:p>
    <w:p w:rsidR="00AA5C91" w:rsidRDefault="00AA5C91" w:rsidP="00AA5C91">
      <w:pPr>
        <w:spacing w:line="238" w:lineRule="auto"/>
        <w:jc w:val="both"/>
      </w:pPr>
      <w:r>
        <w:t>NeoGenomics, Inc. specializes in cancer genetics testing and information services. The Company provides one of the most comprehensive oncology-focused testing menus in the world for physicians to help them diagnose and treat cancer. The Company's Pharma Services Division serves pharmaceutical clients in clinical trials and drug development.</w:t>
      </w:r>
    </w:p>
    <w:p w:rsidR="00AA5C91" w:rsidRDefault="00AA5C91" w:rsidP="00AA5C91">
      <w:pPr>
        <w:spacing w:before="120" w:line="248" w:lineRule="auto"/>
        <w:jc w:val="both"/>
      </w:pPr>
      <w:r>
        <w:t xml:space="preserve">Headquartered in Fort Myers, FL, NeoGenomics operates CAP accredited and CLIA certified laboratories in Fort Myers and Tampa, Florida; Aliso Viejo, Carlsbad, Fresno and San Diego, California; Houston, Texas; Atlanta, Georgia; Nashville, Tennessee; and CAP accredited laboratories in Rolle, Switzerland, and Singapore. NeoGenomics serves the needs of pathologists, oncologists, academic centers, hospital systems, pharmaceutical firms, integrated service delivery networks, and managed care organizations throughout the United States, and pharmaceutical firms in Europe and Asia. For additional information about NeoGenomics, visit </w:t>
      </w:r>
      <w:hyperlink r:id="rId10" w:history="1">
        <w:r w:rsidRPr="00BF1886">
          <w:rPr>
            <w:rStyle w:val="Hyperlink"/>
          </w:rPr>
          <w:t>http://www.neogenomics.com/</w:t>
        </w:r>
      </w:hyperlink>
      <w:r>
        <w:t xml:space="preserve">. </w:t>
      </w:r>
    </w:p>
    <w:p w:rsidR="00AA5C91" w:rsidRDefault="00AA5C91" w:rsidP="00AA5C91">
      <w:pPr>
        <w:spacing w:line="248" w:lineRule="auto"/>
        <w:jc w:val="both"/>
        <w:rPr>
          <w:sz w:val="20"/>
          <w:shd w:val="clear" w:color="auto" w:fill="FFFF00"/>
        </w:rPr>
      </w:pPr>
    </w:p>
    <w:p w:rsidR="00AA5C91" w:rsidRDefault="00AA5C91" w:rsidP="00AA5C91">
      <w:pPr>
        <w:spacing w:line="248" w:lineRule="auto"/>
        <w:jc w:val="both"/>
        <w:rPr>
          <w:b/>
        </w:rPr>
      </w:pPr>
      <w:r>
        <w:rPr>
          <w:b/>
        </w:rPr>
        <w:t>Forward Looking Statements</w:t>
      </w:r>
    </w:p>
    <w:p w:rsidR="00AA5C91" w:rsidRDefault="00AA5C91" w:rsidP="00AA5C91">
      <w:pPr>
        <w:spacing w:line="248" w:lineRule="auto"/>
        <w:jc w:val="both"/>
      </w:pPr>
      <w:r>
        <w:t xml:space="preserve">Certain information contained in this press release constitutes forward-looking statements for purposes of the safe harbor provisions of The Private Securities Litigation Reform Act of 1995. These forward looking statements involve a number of risks and uncertainties that could cause actual future results to differ materially from those anticipated in the forward-looking statements as the result of the Company's ability to continue gaining new customers, respond to the effects of the COVID-19 outbreak, offer new types of tests, integrate its acquisitions and otherwise implement its business plan, as well as additional factors discussed under the heading "Risk Factors" and elsewhere in the Company's Annual Report on Form 10-K filed with the SEC on February 28, 2020. As a result, this press release should be read in conjunction with the Company's periodic filings with the SEC. In addition, it is the Company's practice to make information about the Company available by posting copies of its Company Overview Presentation from time to time on the Investor Relations section of its website at </w:t>
      </w:r>
      <w:hyperlink r:id="rId11" w:history="1">
        <w:r w:rsidRPr="00BF1886">
          <w:rPr>
            <w:rStyle w:val="Hyperlink"/>
          </w:rPr>
          <w:t>http://ir.neogenomics.com/</w:t>
        </w:r>
      </w:hyperlink>
      <w:r>
        <w:t>.</w:t>
      </w:r>
    </w:p>
    <w:p w:rsidR="00AA5C91" w:rsidRDefault="00AA5C91" w:rsidP="00AA5C91">
      <w:pPr>
        <w:spacing w:before="120" w:line="248" w:lineRule="auto"/>
        <w:jc w:val="both"/>
      </w:pPr>
      <w:r>
        <w:t>Forward-looking statements represent the Company's estimates only as of the date such statements are made (unless another date is indicated) and should not be relied upon as representing the Company's estimates as of any subsequent date. While the Company may elect to update forward-looking statements at some point in the future, it specifically disclaims any obligation to do so, even if its estimates change.</w:t>
      </w:r>
    </w:p>
    <w:p w:rsidR="00410CD1" w:rsidRDefault="00410CD1" w:rsidP="00410CD1">
      <w:pPr>
        <w:ind w:firstLine="720"/>
        <w:jc w:val="both"/>
        <w:rPr>
          <w:sz w:val="20"/>
        </w:rPr>
      </w:pPr>
    </w:p>
    <w:p w:rsidR="00410CD1" w:rsidRDefault="00410CD1" w:rsidP="00410CD1">
      <w:pPr>
        <w:jc w:val="both"/>
        <w:rPr>
          <w:b/>
        </w:rPr>
      </w:pPr>
      <w:r>
        <w:rPr>
          <w:b/>
        </w:rPr>
        <w:lastRenderedPageBreak/>
        <w:t>For further information, please contact:</w:t>
      </w:r>
    </w:p>
    <w:p w:rsidR="00410CD1" w:rsidRDefault="00410CD1" w:rsidP="00410CD1">
      <w:pPr>
        <w:spacing w:before="120"/>
        <w:jc w:val="both"/>
        <w:rPr>
          <w:sz w:val="20"/>
        </w:rPr>
      </w:pPr>
      <w:r>
        <w:rPr>
          <w:b/>
        </w:rPr>
        <w:t>NeoGenomics, Inc.</w:t>
      </w:r>
      <w:r>
        <w:rPr>
          <w:sz w:val="20"/>
        </w:rPr>
        <w:tab/>
      </w:r>
    </w:p>
    <w:p w:rsidR="00AA5C91" w:rsidRPr="00AA5C91" w:rsidRDefault="00AA5C91" w:rsidP="00AA5C91">
      <w:r w:rsidRPr="00AA5C91">
        <w:t>Doug Brown</w:t>
      </w:r>
      <w:r w:rsidRPr="00AA5C91">
        <w:br/>
        <w:t>Chief Strategy and Corporate Development Officer</w:t>
      </w:r>
      <w:r w:rsidRPr="00AA5C91">
        <w:br/>
        <w:t>T: 239.768.0600 x2539</w:t>
      </w:r>
      <w:r w:rsidRPr="00AA5C91">
        <w:br/>
        <w:t>M: 704.236.2064</w:t>
      </w:r>
      <w:r w:rsidRPr="00AA5C91">
        <w:br/>
      </w:r>
      <w:hyperlink r:id="rId12" w:history="1">
        <w:r w:rsidRPr="00AA5C91">
          <w:rPr>
            <w:rStyle w:val="Hyperlink"/>
          </w:rPr>
          <w:t>doug.brown@neogenomics.com</w:t>
        </w:r>
      </w:hyperlink>
    </w:p>
    <w:p w:rsidR="00AA5C91" w:rsidRDefault="00AA5C91" w:rsidP="00AA5C91"/>
    <w:p w:rsidR="00AA5C91" w:rsidRPr="00AA5C91" w:rsidRDefault="00AA5C91" w:rsidP="00AA5C91">
      <w:r w:rsidRPr="00AA5C91">
        <w:t>Charlie Eidson</w:t>
      </w:r>
      <w:r w:rsidRPr="00AA5C91">
        <w:br/>
        <w:t>Manager of Investor Relations and Manager of Strategy and Corporate Development</w:t>
      </w:r>
      <w:r w:rsidRPr="00AA5C91">
        <w:br/>
        <w:t>T: 239.768.0600 x2726</w:t>
      </w:r>
      <w:r w:rsidRPr="00AA5C91">
        <w:br/>
        <w:t>M: 952.221.8816</w:t>
      </w:r>
      <w:r w:rsidRPr="00AA5C91">
        <w:br/>
      </w:r>
      <w:hyperlink r:id="rId13" w:history="1">
        <w:r w:rsidRPr="00AA5C91">
          <w:rPr>
            <w:rStyle w:val="Hyperlink"/>
          </w:rPr>
          <w:t>charlie.eidson@neogenomics.com</w:t>
        </w:r>
      </w:hyperlink>
    </w:p>
    <w:p w:rsidR="00410CD1" w:rsidRDefault="00410CD1" w:rsidP="00410CD1"/>
    <w:p w:rsidR="00410CD1" w:rsidRDefault="00410CD1" w:rsidP="00410CD1">
      <w:pPr>
        <w:jc w:val="both"/>
      </w:pPr>
    </w:p>
    <w:p w:rsidR="00347D7C" w:rsidRDefault="00347D7C" w:rsidP="00410CD1">
      <w:pPr>
        <w:jc w:val="both"/>
      </w:pPr>
    </w:p>
    <w:sectPr w:rsidR="00347D7C" w:rsidSect="00EC10E2">
      <w:footerReference w:type="default" r:id="rId14"/>
      <w:pgSz w:w="12240" w:h="15840"/>
      <w:pgMar w:top="576" w:right="1080" w:bottom="576" w:left="1080" w:header="270" w:footer="2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D6E" w:rsidRDefault="00DE5D6E">
      <w:r>
        <w:separator/>
      </w:r>
    </w:p>
  </w:endnote>
  <w:endnote w:type="continuationSeparator" w:id="0">
    <w:p w:rsidR="00DE5D6E" w:rsidRDefault="00DE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Kepler Std Light">
    <w:altName w:val="Kepler Std Ligh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Kepler Std">
    <w:altName w:val="Kepler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067116"/>
      <w:docPartObj>
        <w:docPartGallery w:val="Page Numbers (Bottom of Page)"/>
        <w:docPartUnique/>
      </w:docPartObj>
    </w:sdtPr>
    <w:sdtEndPr>
      <w:rPr>
        <w:noProof/>
      </w:rPr>
    </w:sdtEndPr>
    <w:sdtContent>
      <w:p w:rsidR="00EC10E2" w:rsidRDefault="00EC10E2">
        <w:pPr>
          <w:pStyle w:val="Footer"/>
          <w:jc w:val="center"/>
        </w:pPr>
        <w:r>
          <w:fldChar w:fldCharType="begin"/>
        </w:r>
        <w:r>
          <w:instrText xml:space="preserve"> PAGE   \* MERGEFORMAT </w:instrText>
        </w:r>
        <w:r>
          <w:fldChar w:fldCharType="separate"/>
        </w:r>
        <w:r w:rsidR="00AA5C91">
          <w:rPr>
            <w:noProof/>
          </w:rPr>
          <w:t>2</w:t>
        </w:r>
        <w:r>
          <w:rPr>
            <w:noProof/>
          </w:rPr>
          <w:fldChar w:fldCharType="end"/>
        </w:r>
      </w:p>
    </w:sdtContent>
  </w:sdt>
  <w:p w:rsidR="003641D1" w:rsidRDefault="003641D1">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D6E" w:rsidRDefault="00DE5D6E">
      <w:r>
        <w:separator/>
      </w:r>
    </w:p>
  </w:footnote>
  <w:footnote w:type="continuationSeparator" w:id="0">
    <w:p w:rsidR="00DE5D6E" w:rsidRDefault="00DE5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styleLink w:val="wkDisc"/>
    <w:lvl w:ilvl="0">
      <w:start w:val="1"/>
      <w:numFmt w:val="decimal"/>
      <w:lvlText w:val="•"/>
      <w:lvlJc w:val="left"/>
      <w:pPr>
        <w:tabs>
          <w:tab w:val="num" w:pos="1080"/>
        </w:tabs>
        <w:ind w:left="720" w:hanging="360"/>
      </w:pPr>
      <w:rPr>
        <w:rFonts w:ascii="Times New Roman" w:eastAsia="Times New Roman" w:hAnsi="Times New Roman" w:cs="Times New Roman"/>
        <w:color w:val="000000"/>
        <w:sz w:val="24"/>
      </w:rPr>
    </w:lvl>
    <w:lvl w:ilvl="1">
      <w:start w:val="1"/>
      <w:numFmt w:val="lowerLetter"/>
      <w:lvlText w:val="◦"/>
      <w:lvlJc w:val="left"/>
      <w:pPr>
        <w:tabs>
          <w:tab w:val="num" w:pos="1440"/>
        </w:tabs>
        <w:ind w:left="1440" w:hanging="360"/>
      </w:pPr>
    </w:lvl>
    <w:lvl w:ilvl="2">
      <w:start w:val="1"/>
      <w:numFmt w:val="lowerRoman"/>
      <w:lvlText w:val="▪"/>
      <w:lvlJc w:val="left"/>
      <w:pPr>
        <w:tabs>
          <w:tab w:val="num" w:pos="2160"/>
        </w:tabs>
        <w:ind w:left="2160" w:hanging="180"/>
      </w:pPr>
    </w:lvl>
    <w:lvl w:ilvl="3">
      <w:start w:val="1"/>
      <w:numFmt w:val="decimal"/>
      <w:lvlText w:val="•"/>
      <w:lvlJc w:val="left"/>
      <w:pPr>
        <w:tabs>
          <w:tab w:val="num" w:pos="2880"/>
        </w:tabs>
        <w:ind w:left="2880" w:hanging="360"/>
      </w:pPr>
    </w:lvl>
    <w:lvl w:ilvl="4">
      <w:start w:val="1"/>
      <w:numFmt w:val="lowerLetter"/>
      <w:lvlText w:val="◦"/>
      <w:lvlJc w:val="left"/>
      <w:pPr>
        <w:tabs>
          <w:tab w:val="num" w:pos="3600"/>
        </w:tabs>
        <w:ind w:left="3600" w:hanging="360"/>
      </w:pPr>
    </w:lvl>
    <w:lvl w:ilvl="5">
      <w:start w:val="1"/>
      <w:numFmt w:val="lowerRoman"/>
      <w:lvlText w:val="▪"/>
      <w:lvlJc w:val="left"/>
      <w:pPr>
        <w:tabs>
          <w:tab w:val="num" w:pos="4320"/>
        </w:tabs>
        <w:ind w:left="4320" w:hanging="180"/>
      </w:pPr>
    </w:lvl>
    <w:lvl w:ilvl="6">
      <w:start w:val="1"/>
      <w:numFmt w:val="decimal"/>
      <w:lvlText w:val="•"/>
      <w:lvlJc w:val="left"/>
      <w:pPr>
        <w:tabs>
          <w:tab w:val="num" w:pos="5040"/>
        </w:tabs>
        <w:ind w:left="5040" w:hanging="360"/>
      </w:pPr>
    </w:lvl>
    <w:lvl w:ilvl="7">
      <w:start w:val="1"/>
      <w:numFmt w:val="lowerLetter"/>
      <w:lvlText w:val="◦"/>
      <w:lvlJc w:val="left"/>
      <w:pPr>
        <w:tabs>
          <w:tab w:val="num" w:pos="5760"/>
        </w:tabs>
        <w:ind w:left="5760" w:hanging="360"/>
      </w:pPr>
    </w:lvl>
    <w:lvl w:ilvl="8">
      <w:start w:val="1"/>
      <w:numFmt w:val="lowerRoman"/>
      <w:lvlText w:val="▪"/>
      <w:lvlJc w:val="left"/>
      <w:pPr>
        <w:tabs>
          <w:tab w:val="num" w:pos="6480"/>
        </w:tabs>
        <w:ind w:left="6480" w:hanging="180"/>
      </w:pPr>
    </w:lvl>
  </w:abstractNum>
  <w:abstractNum w:abstractNumId="1" w15:restartNumberingAfterBreak="0">
    <w:nsid w:val="00000002"/>
    <w:multiLevelType w:val="multilevel"/>
    <w:tmpl w:val="00000001"/>
    <w:numStyleLink w:val="wkDisc"/>
  </w:abstractNum>
  <w:abstractNum w:abstractNumId="2" w15:restartNumberingAfterBreak="0">
    <w:nsid w:val="00000003"/>
    <w:multiLevelType w:val="multilevel"/>
    <w:tmpl w:val="00000001"/>
    <w:numStyleLink w:val="wkDisc"/>
  </w:abstractNum>
  <w:abstractNum w:abstractNumId="3" w15:restartNumberingAfterBreak="0">
    <w:nsid w:val="00000004"/>
    <w:multiLevelType w:val="multilevel"/>
    <w:tmpl w:val="00000001"/>
    <w:numStyleLink w:val="wkDisc"/>
  </w:abstractNum>
  <w:abstractNum w:abstractNumId="4" w15:restartNumberingAfterBreak="0">
    <w:nsid w:val="00000005"/>
    <w:multiLevelType w:val="multilevel"/>
    <w:tmpl w:val="00000001"/>
    <w:numStyleLink w:val="wkDisc"/>
  </w:abstractNum>
  <w:abstractNum w:abstractNumId="5" w15:restartNumberingAfterBreak="0">
    <w:nsid w:val="00000006"/>
    <w:multiLevelType w:val="multilevel"/>
    <w:tmpl w:val="00000001"/>
    <w:numStyleLink w:val="wkDisc"/>
  </w:abstractNum>
  <w:abstractNum w:abstractNumId="6" w15:restartNumberingAfterBreak="0">
    <w:nsid w:val="69122BE1"/>
    <w:multiLevelType w:val="hybridMultilevel"/>
    <w:tmpl w:val="14765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3641D1"/>
    <w:rsid w:val="000556C2"/>
    <w:rsid w:val="000A09F5"/>
    <w:rsid w:val="000E7DE0"/>
    <w:rsid w:val="00164C38"/>
    <w:rsid w:val="00181B2C"/>
    <w:rsid w:val="001B4DDA"/>
    <w:rsid w:val="00204EC9"/>
    <w:rsid w:val="002513FD"/>
    <w:rsid w:val="00292576"/>
    <w:rsid w:val="002A4FAB"/>
    <w:rsid w:val="002D58A0"/>
    <w:rsid w:val="00302D18"/>
    <w:rsid w:val="00347D7C"/>
    <w:rsid w:val="003641D1"/>
    <w:rsid w:val="004054E8"/>
    <w:rsid w:val="00410CD1"/>
    <w:rsid w:val="0042480D"/>
    <w:rsid w:val="00455981"/>
    <w:rsid w:val="004F17BB"/>
    <w:rsid w:val="00506E39"/>
    <w:rsid w:val="00564B84"/>
    <w:rsid w:val="00575C51"/>
    <w:rsid w:val="0057797B"/>
    <w:rsid w:val="005A57F0"/>
    <w:rsid w:val="005C14AF"/>
    <w:rsid w:val="005C68B3"/>
    <w:rsid w:val="005D4C63"/>
    <w:rsid w:val="005E477F"/>
    <w:rsid w:val="00600231"/>
    <w:rsid w:val="00607EF5"/>
    <w:rsid w:val="00616EBC"/>
    <w:rsid w:val="00660372"/>
    <w:rsid w:val="00677931"/>
    <w:rsid w:val="00692C40"/>
    <w:rsid w:val="006A1D95"/>
    <w:rsid w:val="006A5517"/>
    <w:rsid w:val="006D6E3D"/>
    <w:rsid w:val="00705CE0"/>
    <w:rsid w:val="007203A8"/>
    <w:rsid w:val="007408E9"/>
    <w:rsid w:val="0078355F"/>
    <w:rsid w:val="007B0735"/>
    <w:rsid w:val="007C31FA"/>
    <w:rsid w:val="007C4F34"/>
    <w:rsid w:val="00802A48"/>
    <w:rsid w:val="00850C7D"/>
    <w:rsid w:val="00862FC1"/>
    <w:rsid w:val="0087713D"/>
    <w:rsid w:val="00880145"/>
    <w:rsid w:val="00884800"/>
    <w:rsid w:val="008E163F"/>
    <w:rsid w:val="008F5AA1"/>
    <w:rsid w:val="00966DDD"/>
    <w:rsid w:val="009A0C0E"/>
    <w:rsid w:val="009A63FE"/>
    <w:rsid w:val="009C62FA"/>
    <w:rsid w:val="009D29E6"/>
    <w:rsid w:val="00A17EA8"/>
    <w:rsid w:val="00A7164A"/>
    <w:rsid w:val="00A75591"/>
    <w:rsid w:val="00A85F7B"/>
    <w:rsid w:val="00AA5C91"/>
    <w:rsid w:val="00AC0BE1"/>
    <w:rsid w:val="00B478A0"/>
    <w:rsid w:val="00B57025"/>
    <w:rsid w:val="00B6134E"/>
    <w:rsid w:val="00B61E5A"/>
    <w:rsid w:val="00B709A9"/>
    <w:rsid w:val="00B77292"/>
    <w:rsid w:val="00BC7F8F"/>
    <w:rsid w:val="00BE39F8"/>
    <w:rsid w:val="00C0044B"/>
    <w:rsid w:val="00C05EE9"/>
    <w:rsid w:val="00C109F9"/>
    <w:rsid w:val="00C26F88"/>
    <w:rsid w:val="00C32C22"/>
    <w:rsid w:val="00C47E54"/>
    <w:rsid w:val="00C74FEE"/>
    <w:rsid w:val="00C95F14"/>
    <w:rsid w:val="00D56694"/>
    <w:rsid w:val="00D66EC0"/>
    <w:rsid w:val="00D67E81"/>
    <w:rsid w:val="00D70EC5"/>
    <w:rsid w:val="00D96EBE"/>
    <w:rsid w:val="00DA0CB5"/>
    <w:rsid w:val="00DE5529"/>
    <w:rsid w:val="00DE5D6E"/>
    <w:rsid w:val="00DF516D"/>
    <w:rsid w:val="00E272DA"/>
    <w:rsid w:val="00E37B04"/>
    <w:rsid w:val="00E83D80"/>
    <w:rsid w:val="00EC10E2"/>
    <w:rsid w:val="00EE349A"/>
    <w:rsid w:val="00EF04C8"/>
    <w:rsid w:val="00F27756"/>
    <w:rsid w:val="00F518C5"/>
    <w:rsid w:val="00F97293"/>
    <w:rsid w:val="00FD08E3"/>
    <w:rsid w:val="00FF7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A43CF2D-8DFD-4F87-82F9-C7B58A99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D29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kDisc">
    <w:name w:val="wk_Disc"/>
    <w:pPr>
      <w:numPr>
        <w:numId w:val="1"/>
      </w:numPr>
    </w:p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szCs w:val="24"/>
    </w:rPr>
  </w:style>
  <w:style w:type="paragraph" w:customStyle="1" w:styleId="Default">
    <w:name w:val="Default"/>
    <w:rsid w:val="00C47E54"/>
    <w:pPr>
      <w:autoSpaceDE w:val="0"/>
      <w:autoSpaceDN w:val="0"/>
      <w:adjustRightInd w:val="0"/>
    </w:pPr>
    <w:rPr>
      <w:rFonts w:ascii="Kepler Std Light" w:eastAsiaTheme="minorHAnsi" w:hAnsi="Kepler Std Light" w:cs="Kepler Std Light"/>
      <w:color w:val="000000"/>
      <w:sz w:val="24"/>
      <w:szCs w:val="24"/>
    </w:rPr>
  </w:style>
  <w:style w:type="character" w:customStyle="1" w:styleId="A10">
    <w:name w:val="A10"/>
    <w:uiPriority w:val="99"/>
    <w:rsid w:val="00C47E54"/>
    <w:rPr>
      <w:rFonts w:ascii="Kepler Std" w:hAnsi="Kepler Std" w:cs="Kepler Std"/>
      <w:color w:val="000000"/>
      <w:sz w:val="12"/>
      <w:szCs w:val="12"/>
    </w:rPr>
  </w:style>
  <w:style w:type="paragraph" w:styleId="BalloonText">
    <w:name w:val="Balloon Text"/>
    <w:basedOn w:val="Normal"/>
    <w:link w:val="BalloonTextChar"/>
    <w:semiHidden/>
    <w:unhideWhenUsed/>
    <w:rsid w:val="00DA0CB5"/>
    <w:rPr>
      <w:rFonts w:ascii="Segoe UI" w:hAnsi="Segoe UI" w:cs="Segoe UI"/>
      <w:sz w:val="18"/>
      <w:szCs w:val="18"/>
    </w:rPr>
  </w:style>
  <w:style w:type="character" w:customStyle="1" w:styleId="BalloonTextChar">
    <w:name w:val="Balloon Text Char"/>
    <w:basedOn w:val="DefaultParagraphFont"/>
    <w:link w:val="BalloonText"/>
    <w:semiHidden/>
    <w:rsid w:val="00DA0CB5"/>
    <w:rPr>
      <w:rFonts w:ascii="Segoe UI" w:hAnsi="Segoe UI" w:cs="Segoe UI"/>
      <w:sz w:val="18"/>
      <w:szCs w:val="18"/>
    </w:rPr>
  </w:style>
  <w:style w:type="character" w:styleId="CommentReference">
    <w:name w:val="annotation reference"/>
    <w:basedOn w:val="DefaultParagraphFont"/>
    <w:semiHidden/>
    <w:unhideWhenUsed/>
    <w:rsid w:val="00BE39F8"/>
    <w:rPr>
      <w:sz w:val="16"/>
      <w:szCs w:val="16"/>
    </w:rPr>
  </w:style>
  <w:style w:type="paragraph" w:styleId="CommentText">
    <w:name w:val="annotation text"/>
    <w:basedOn w:val="Normal"/>
    <w:link w:val="CommentTextChar"/>
    <w:semiHidden/>
    <w:unhideWhenUsed/>
    <w:rsid w:val="00BE39F8"/>
    <w:rPr>
      <w:sz w:val="20"/>
      <w:szCs w:val="20"/>
    </w:rPr>
  </w:style>
  <w:style w:type="character" w:customStyle="1" w:styleId="CommentTextChar">
    <w:name w:val="Comment Text Char"/>
    <w:basedOn w:val="DefaultParagraphFont"/>
    <w:link w:val="CommentText"/>
    <w:semiHidden/>
    <w:rsid w:val="00BE39F8"/>
  </w:style>
  <w:style w:type="paragraph" w:styleId="CommentSubject">
    <w:name w:val="annotation subject"/>
    <w:basedOn w:val="CommentText"/>
    <w:next w:val="CommentText"/>
    <w:link w:val="CommentSubjectChar"/>
    <w:semiHidden/>
    <w:unhideWhenUsed/>
    <w:rsid w:val="00BE39F8"/>
    <w:rPr>
      <w:b/>
      <w:bCs/>
    </w:rPr>
  </w:style>
  <w:style w:type="character" w:customStyle="1" w:styleId="CommentSubjectChar">
    <w:name w:val="Comment Subject Char"/>
    <w:basedOn w:val="CommentTextChar"/>
    <w:link w:val="CommentSubject"/>
    <w:semiHidden/>
    <w:rsid w:val="00BE39F8"/>
    <w:rPr>
      <w:b/>
      <w:bCs/>
    </w:rPr>
  </w:style>
  <w:style w:type="character" w:customStyle="1" w:styleId="bumpedfont15">
    <w:name w:val="bumpedfont15"/>
    <w:basedOn w:val="DefaultParagraphFont"/>
    <w:rsid w:val="00204EC9"/>
  </w:style>
  <w:style w:type="character" w:styleId="Hyperlink">
    <w:name w:val="Hyperlink"/>
    <w:basedOn w:val="DefaultParagraphFont"/>
    <w:uiPriority w:val="99"/>
    <w:unhideWhenUsed/>
    <w:rsid w:val="005D4C63"/>
    <w:rPr>
      <w:color w:val="0000FF"/>
      <w:u w:val="single"/>
    </w:rPr>
  </w:style>
  <w:style w:type="paragraph" w:styleId="ListParagraph">
    <w:name w:val="List Paragraph"/>
    <w:basedOn w:val="Normal"/>
    <w:uiPriority w:val="34"/>
    <w:qFormat/>
    <w:rsid w:val="00302D18"/>
    <w:pPr>
      <w:ind w:left="720"/>
      <w:contextualSpacing/>
    </w:pPr>
  </w:style>
  <w:style w:type="paragraph" w:styleId="HTMLPreformatted">
    <w:name w:val="HTML Preformatted"/>
    <w:basedOn w:val="Normal"/>
    <w:link w:val="HTMLPreformattedChar"/>
    <w:uiPriority w:val="99"/>
    <w:semiHidden/>
    <w:unhideWhenUsed/>
    <w:rsid w:val="004F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4F17BB"/>
    <w:rPr>
      <w:rFonts w:ascii="Courier New" w:eastAsiaTheme="minorHAnsi" w:hAnsi="Courier New" w:cs="Courier New"/>
    </w:rPr>
  </w:style>
  <w:style w:type="character" w:customStyle="1" w:styleId="Heading4Char">
    <w:name w:val="Heading 4 Char"/>
    <w:basedOn w:val="DefaultParagraphFont"/>
    <w:link w:val="Heading4"/>
    <w:semiHidden/>
    <w:rsid w:val="009D29E6"/>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7208">
      <w:bodyDiv w:val="1"/>
      <w:marLeft w:val="0"/>
      <w:marRight w:val="0"/>
      <w:marTop w:val="0"/>
      <w:marBottom w:val="0"/>
      <w:divBdr>
        <w:top w:val="none" w:sz="0" w:space="0" w:color="auto"/>
        <w:left w:val="none" w:sz="0" w:space="0" w:color="auto"/>
        <w:bottom w:val="none" w:sz="0" w:space="0" w:color="auto"/>
        <w:right w:val="none" w:sz="0" w:space="0" w:color="auto"/>
      </w:divBdr>
    </w:div>
    <w:div w:id="379062187">
      <w:bodyDiv w:val="1"/>
      <w:marLeft w:val="0"/>
      <w:marRight w:val="0"/>
      <w:marTop w:val="0"/>
      <w:marBottom w:val="0"/>
      <w:divBdr>
        <w:top w:val="none" w:sz="0" w:space="0" w:color="auto"/>
        <w:left w:val="none" w:sz="0" w:space="0" w:color="auto"/>
        <w:bottom w:val="none" w:sz="0" w:space="0" w:color="auto"/>
        <w:right w:val="none" w:sz="0" w:space="0" w:color="auto"/>
      </w:divBdr>
    </w:div>
    <w:div w:id="589003358">
      <w:bodyDiv w:val="1"/>
      <w:marLeft w:val="0"/>
      <w:marRight w:val="0"/>
      <w:marTop w:val="0"/>
      <w:marBottom w:val="0"/>
      <w:divBdr>
        <w:top w:val="none" w:sz="0" w:space="0" w:color="auto"/>
        <w:left w:val="none" w:sz="0" w:space="0" w:color="auto"/>
        <w:bottom w:val="none" w:sz="0" w:space="0" w:color="auto"/>
        <w:right w:val="none" w:sz="0" w:space="0" w:color="auto"/>
      </w:divBdr>
    </w:div>
    <w:div w:id="589967486">
      <w:bodyDiv w:val="1"/>
      <w:marLeft w:val="0"/>
      <w:marRight w:val="0"/>
      <w:marTop w:val="0"/>
      <w:marBottom w:val="0"/>
      <w:divBdr>
        <w:top w:val="none" w:sz="0" w:space="0" w:color="auto"/>
        <w:left w:val="none" w:sz="0" w:space="0" w:color="auto"/>
        <w:bottom w:val="none" w:sz="0" w:space="0" w:color="auto"/>
        <w:right w:val="none" w:sz="0" w:space="0" w:color="auto"/>
      </w:divBdr>
    </w:div>
    <w:div w:id="1137381522">
      <w:bodyDiv w:val="1"/>
      <w:marLeft w:val="0"/>
      <w:marRight w:val="0"/>
      <w:marTop w:val="0"/>
      <w:marBottom w:val="0"/>
      <w:divBdr>
        <w:top w:val="none" w:sz="0" w:space="0" w:color="auto"/>
        <w:left w:val="none" w:sz="0" w:space="0" w:color="auto"/>
        <w:bottom w:val="none" w:sz="0" w:space="0" w:color="auto"/>
        <w:right w:val="none" w:sz="0" w:space="0" w:color="auto"/>
      </w:divBdr>
    </w:div>
    <w:div w:id="1554193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arlie.eidson@neogenomic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ug.brown@neogenomic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r.neogenomic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eogenomics.com/" TargetMode="External"/><Relationship Id="rId4" Type="http://schemas.openxmlformats.org/officeDocument/2006/relationships/settings" Target="settings.xml"/><Relationship Id="rId9" Type="http://schemas.openxmlformats.org/officeDocument/2006/relationships/hyperlink" Target="http://www.neogenomic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0C080-06F8-4FB4-BE63-F8F23159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525</Words>
  <Characters>3478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99.1 12.31.2018 Earnings Release</vt:lpstr>
    </vt:vector>
  </TitlesOfParts>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99.1 12.31.2018 Earnings Release</dc:title>
  <dc:creator>Jessica King</dc:creator>
  <cp:lastModifiedBy>Charlie Eidson</cp:lastModifiedBy>
  <cp:revision>3</cp:revision>
  <dcterms:created xsi:type="dcterms:W3CDTF">2020-06-02T15:30:00Z</dcterms:created>
  <dcterms:modified xsi:type="dcterms:W3CDTF">2020-09-10T18:15:00Z</dcterms:modified>
</cp:coreProperties>
</file>