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7B6A2" w14:textId="6FB74657" w:rsidR="00FC043B" w:rsidRPr="000C6C36" w:rsidRDefault="00FC043B" w:rsidP="00FC043B">
      <w:pPr>
        <w:spacing w:after="120"/>
        <w:jc w:val="center"/>
        <w:rPr>
          <w:rFonts w:ascii="Arial" w:hAnsi="Arial" w:cs="Arial"/>
          <w:b/>
          <w:caps/>
          <w:sz w:val="28"/>
          <w:szCs w:val="28"/>
        </w:rPr>
      </w:pPr>
      <w:bookmarkStart w:id="0" w:name="_GoBack"/>
      <w:r w:rsidRPr="000C6C36">
        <w:rPr>
          <w:rFonts w:ascii="Arial" w:hAnsi="Arial" w:cs="Arial"/>
          <w:b/>
          <w:caps/>
          <w:sz w:val="28"/>
          <w:szCs w:val="28"/>
        </w:rPr>
        <w:t>Torchlight and metamaterial ANNOUNCE PLANned business combinATION</w:t>
      </w:r>
    </w:p>
    <w:bookmarkEnd w:id="0"/>
    <w:p w14:paraId="1A02E775" w14:textId="642D0376" w:rsidR="00FC043B" w:rsidRPr="00266252" w:rsidRDefault="00B33340" w:rsidP="00FC043B">
      <w:pPr>
        <w:jc w:val="center"/>
        <w:rPr>
          <w:rFonts w:ascii="Arial" w:hAnsi="Arial" w:cs="Arial"/>
          <w:b/>
          <w:bCs/>
          <w:sz w:val="22"/>
          <w:szCs w:val="22"/>
        </w:rPr>
      </w:pPr>
      <w:r w:rsidRPr="00266252">
        <w:rPr>
          <w:rFonts w:ascii="Arial" w:hAnsi="Arial" w:cs="Arial"/>
          <w:b/>
          <w:bCs/>
          <w:sz w:val="22"/>
          <w:szCs w:val="22"/>
        </w:rPr>
        <w:t>Special Dividend Intended to be Issued to Torchlight Shareholders at Closing</w:t>
      </w:r>
    </w:p>
    <w:p w14:paraId="22925427" w14:textId="77777777" w:rsidR="00B33340" w:rsidRDefault="00B33340" w:rsidP="00FC043B">
      <w:pPr>
        <w:jc w:val="both"/>
        <w:rPr>
          <w:rFonts w:ascii="Arial" w:hAnsi="Arial" w:cs="Arial"/>
          <w:sz w:val="22"/>
          <w:szCs w:val="22"/>
        </w:rPr>
      </w:pPr>
    </w:p>
    <w:p w14:paraId="5C7754B5" w14:textId="64EF98F0" w:rsidR="00FC043B" w:rsidRPr="000C6C36" w:rsidRDefault="00FC043B" w:rsidP="00FC043B">
      <w:pPr>
        <w:jc w:val="both"/>
        <w:rPr>
          <w:rFonts w:ascii="Arial" w:eastAsia="Calibri" w:hAnsi="Arial" w:cs="Arial"/>
          <w:sz w:val="22"/>
          <w:szCs w:val="22"/>
          <w:lang w:eastAsia="en-US"/>
        </w:rPr>
      </w:pPr>
      <w:r w:rsidRPr="000C6C36">
        <w:rPr>
          <w:rFonts w:ascii="Arial" w:hAnsi="Arial" w:cs="Arial"/>
          <w:sz w:val="22"/>
          <w:szCs w:val="22"/>
        </w:rPr>
        <w:t xml:space="preserve">Plano, Texas &amp; Halifax, Nova Scotia – September 21, 2020 – Torchlight Energy Resources, Inc. (NASDAQ: TRCH), an </w:t>
      </w:r>
      <w:r w:rsidR="00E0336C">
        <w:rPr>
          <w:rFonts w:ascii="Arial" w:hAnsi="Arial" w:cs="Arial"/>
          <w:sz w:val="22"/>
          <w:szCs w:val="22"/>
        </w:rPr>
        <w:t>o</w:t>
      </w:r>
      <w:r w:rsidRPr="000C6C36">
        <w:rPr>
          <w:rFonts w:ascii="Arial" w:hAnsi="Arial" w:cs="Arial"/>
          <w:sz w:val="22"/>
          <w:szCs w:val="22"/>
        </w:rPr>
        <w:t xml:space="preserve">il and </w:t>
      </w:r>
      <w:r w:rsidR="00E0336C">
        <w:rPr>
          <w:rFonts w:ascii="Arial" w:hAnsi="Arial" w:cs="Arial"/>
          <w:sz w:val="22"/>
          <w:szCs w:val="22"/>
        </w:rPr>
        <w:t>g</w:t>
      </w:r>
      <w:r w:rsidRPr="000C6C36">
        <w:rPr>
          <w:rFonts w:ascii="Arial" w:hAnsi="Arial" w:cs="Arial"/>
          <w:sz w:val="22"/>
          <w:szCs w:val="22"/>
        </w:rPr>
        <w:t xml:space="preserve">as exploration company ("Torchlight") and </w:t>
      </w:r>
      <w:r w:rsidRPr="000C6C36">
        <w:rPr>
          <w:rFonts w:ascii="Arial" w:eastAsia="Calibri" w:hAnsi="Arial" w:cs="Arial"/>
          <w:sz w:val="22"/>
          <w:szCs w:val="22"/>
          <w:lang w:eastAsia="en-US"/>
        </w:rPr>
        <w:t xml:space="preserve">Metamaterial Inc. (“META”) (CSE: MMAT), a developer of high-performance functional materials and nanocomposite products, </w:t>
      </w:r>
      <w:r w:rsidRPr="000C6C36">
        <w:rPr>
          <w:rFonts w:ascii="Arial" w:hAnsi="Arial" w:cs="Arial"/>
          <w:sz w:val="22"/>
          <w:szCs w:val="22"/>
          <w:lang w:eastAsia="en-US"/>
        </w:rPr>
        <w:t>announced</w:t>
      </w:r>
      <w:r w:rsidRPr="000C6C36">
        <w:rPr>
          <w:rFonts w:ascii="Arial" w:eastAsia="Calibri" w:hAnsi="Arial" w:cs="Arial"/>
          <w:sz w:val="22"/>
          <w:szCs w:val="22"/>
          <w:lang w:eastAsia="en-US"/>
        </w:rPr>
        <w:t xml:space="preserve"> today the execution of a non-binding </w:t>
      </w:r>
      <w:r w:rsidR="000C6C36" w:rsidRPr="000C6C36">
        <w:rPr>
          <w:rFonts w:ascii="Arial" w:eastAsia="Calibri" w:hAnsi="Arial" w:cs="Arial"/>
          <w:sz w:val="22"/>
          <w:szCs w:val="22"/>
          <w:lang w:eastAsia="en-US"/>
        </w:rPr>
        <w:t>letter of intent (“</w:t>
      </w:r>
      <w:r w:rsidRPr="000C6C36">
        <w:rPr>
          <w:rFonts w:ascii="Arial" w:eastAsia="Calibri" w:hAnsi="Arial" w:cs="Arial"/>
          <w:sz w:val="22"/>
          <w:szCs w:val="22"/>
          <w:lang w:eastAsia="en-US"/>
        </w:rPr>
        <w:t>LOI</w:t>
      </w:r>
      <w:r w:rsidR="000C6C36" w:rsidRPr="000C6C36">
        <w:rPr>
          <w:rFonts w:ascii="Arial" w:eastAsia="Calibri" w:hAnsi="Arial" w:cs="Arial"/>
          <w:sz w:val="22"/>
          <w:szCs w:val="22"/>
          <w:lang w:eastAsia="en-US"/>
        </w:rPr>
        <w:t>”</w:t>
      </w:r>
      <w:r w:rsidR="000F26F9">
        <w:rPr>
          <w:rFonts w:ascii="Arial" w:eastAsia="Calibri" w:hAnsi="Arial" w:cs="Arial"/>
          <w:sz w:val="22"/>
          <w:szCs w:val="22"/>
          <w:lang w:eastAsia="en-US"/>
        </w:rPr>
        <w:t>, signed on</w:t>
      </w:r>
      <w:r w:rsidRPr="000C6C36">
        <w:rPr>
          <w:rFonts w:ascii="Arial" w:eastAsia="Calibri" w:hAnsi="Arial" w:cs="Arial"/>
          <w:sz w:val="22"/>
          <w:szCs w:val="22"/>
          <w:lang w:eastAsia="en-US"/>
        </w:rPr>
        <w:t xml:space="preserve"> </w:t>
      </w:r>
      <w:r w:rsidR="000F26F9">
        <w:rPr>
          <w:rFonts w:ascii="Arial" w:eastAsia="Calibri" w:hAnsi="Arial" w:cs="Arial"/>
          <w:sz w:val="22"/>
          <w:szCs w:val="22"/>
          <w:lang w:eastAsia="en-US"/>
        </w:rPr>
        <w:t xml:space="preserve">September 15, 2020), </w:t>
      </w:r>
      <w:r w:rsidRPr="000C6C36">
        <w:rPr>
          <w:rFonts w:ascii="Arial" w:eastAsia="Calibri" w:hAnsi="Arial" w:cs="Arial"/>
          <w:sz w:val="22"/>
          <w:szCs w:val="22"/>
          <w:lang w:eastAsia="en-US"/>
        </w:rPr>
        <w:t xml:space="preserve">for Torchlight to acquire 100% of META and to divest within the first half of 2021 </w:t>
      </w:r>
      <w:r w:rsidR="00D02934" w:rsidRPr="000C6C36">
        <w:rPr>
          <w:rFonts w:ascii="Arial" w:eastAsia="Calibri" w:hAnsi="Arial" w:cs="Arial"/>
          <w:sz w:val="22"/>
          <w:szCs w:val="22"/>
          <w:lang w:eastAsia="en-US"/>
        </w:rPr>
        <w:t>Torchlight</w:t>
      </w:r>
      <w:r w:rsidRPr="000C6C36">
        <w:rPr>
          <w:rFonts w:ascii="Arial" w:eastAsia="Calibri" w:hAnsi="Arial" w:cs="Arial"/>
          <w:sz w:val="22"/>
          <w:szCs w:val="22"/>
          <w:lang w:eastAsia="en-US"/>
        </w:rPr>
        <w:t>’s oil and gas assets for the benefit of Torchlight’s legacy shareholders (the “Proposed Transaction”). Upon completion of the Proposed Transaction, shareholders of META are expected to hold a 75% interest in</w:t>
      </w:r>
      <w:r w:rsidR="00D02934" w:rsidRPr="000C6C36">
        <w:rPr>
          <w:rFonts w:ascii="Arial" w:eastAsia="Calibri" w:hAnsi="Arial" w:cs="Arial"/>
          <w:sz w:val="22"/>
          <w:szCs w:val="22"/>
          <w:lang w:eastAsia="en-US"/>
        </w:rPr>
        <w:t xml:space="preserve"> </w:t>
      </w:r>
      <w:r w:rsidRPr="000C6C36">
        <w:rPr>
          <w:rFonts w:ascii="Arial" w:eastAsia="Calibri" w:hAnsi="Arial" w:cs="Arial"/>
          <w:sz w:val="22"/>
          <w:szCs w:val="22"/>
          <w:lang w:eastAsia="en-US"/>
        </w:rPr>
        <w:t>the combined entity.</w:t>
      </w:r>
    </w:p>
    <w:p w14:paraId="68F98622" w14:textId="77777777" w:rsidR="00FC043B" w:rsidRPr="000C6C36" w:rsidRDefault="00FC043B" w:rsidP="00FC043B">
      <w:pPr>
        <w:jc w:val="both"/>
        <w:rPr>
          <w:rFonts w:ascii="Arial" w:eastAsia="Calibri" w:hAnsi="Arial" w:cs="Arial"/>
          <w:sz w:val="22"/>
          <w:szCs w:val="22"/>
          <w:lang w:eastAsia="en-US"/>
        </w:rPr>
      </w:pPr>
    </w:p>
    <w:p w14:paraId="479BB326" w14:textId="40974D3E" w:rsidR="00FC043B" w:rsidRPr="000C6C36" w:rsidRDefault="00FC043B" w:rsidP="00FC043B">
      <w:pPr>
        <w:jc w:val="both"/>
        <w:rPr>
          <w:rFonts w:ascii="Arial" w:eastAsia="Calibri" w:hAnsi="Arial" w:cs="Arial"/>
          <w:sz w:val="22"/>
          <w:szCs w:val="22"/>
          <w:lang w:eastAsia="en-US"/>
        </w:rPr>
      </w:pPr>
      <w:r w:rsidRPr="000C6C36">
        <w:rPr>
          <w:rFonts w:ascii="Arial" w:eastAsia="Calibri" w:hAnsi="Arial" w:cs="Arial"/>
          <w:sz w:val="22"/>
          <w:szCs w:val="22"/>
          <w:lang w:eastAsia="en-US"/>
        </w:rPr>
        <w:t>The Proposed Transaction represents a strategic shift for Torchlight</w:t>
      </w:r>
      <w:r w:rsidR="00006B1B">
        <w:rPr>
          <w:rFonts w:ascii="Arial" w:eastAsia="Calibri" w:hAnsi="Arial" w:cs="Arial"/>
          <w:sz w:val="22"/>
          <w:szCs w:val="22"/>
          <w:lang w:eastAsia="en-US"/>
        </w:rPr>
        <w:t>. It is</w:t>
      </w:r>
      <w:r w:rsidRPr="000C6C36">
        <w:rPr>
          <w:rFonts w:ascii="Arial" w:eastAsia="Calibri" w:hAnsi="Arial" w:cs="Arial"/>
          <w:sz w:val="22"/>
          <w:szCs w:val="22"/>
          <w:lang w:eastAsia="en-US"/>
        </w:rPr>
        <w:t xml:space="preserve"> intended to reposition Torchlight into the multi-billion-dollar Advanced Materials market</w:t>
      </w:r>
      <w:r w:rsidRPr="000C6C36">
        <w:rPr>
          <w:rFonts w:ascii="Arial" w:eastAsia="Calibri" w:hAnsi="Arial" w:cs="Arial"/>
          <w:sz w:val="22"/>
          <w:szCs w:val="22"/>
          <w:vertAlign w:val="superscript"/>
          <w:lang w:eastAsia="en-US"/>
        </w:rPr>
        <w:t>1</w:t>
      </w:r>
      <w:r w:rsidRPr="000C6C36">
        <w:rPr>
          <w:rFonts w:ascii="Arial" w:eastAsia="Calibri" w:hAnsi="Arial" w:cs="Arial"/>
          <w:sz w:val="22"/>
          <w:szCs w:val="22"/>
          <w:lang w:eastAsia="en-US"/>
        </w:rPr>
        <w:t xml:space="preserve"> as a global cleantech </w:t>
      </w:r>
      <w:r w:rsidR="006643F7" w:rsidRPr="000C6C36">
        <w:rPr>
          <w:rFonts w:ascii="Arial" w:eastAsia="Calibri" w:hAnsi="Arial" w:cs="Arial"/>
          <w:sz w:val="22"/>
          <w:szCs w:val="22"/>
          <w:lang w:eastAsia="en-US"/>
        </w:rPr>
        <w:t xml:space="preserve">and technology </w:t>
      </w:r>
      <w:r w:rsidRPr="000C6C36">
        <w:rPr>
          <w:rFonts w:ascii="Arial" w:eastAsia="Calibri" w:hAnsi="Arial" w:cs="Arial"/>
          <w:sz w:val="22"/>
          <w:szCs w:val="22"/>
          <w:lang w:eastAsia="en-US"/>
        </w:rPr>
        <w:t>leader</w:t>
      </w:r>
      <w:r w:rsidR="009140BE">
        <w:rPr>
          <w:rFonts w:ascii="Arial" w:eastAsia="Calibri" w:hAnsi="Arial" w:cs="Arial"/>
          <w:sz w:val="22"/>
          <w:szCs w:val="22"/>
          <w:lang w:eastAsia="en-US"/>
        </w:rPr>
        <w:t>.</w:t>
      </w:r>
      <w:r w:rsidR="00B021ED">
        <w:rPr>
          <w:rFonts w:ascii="Arial" w:eastAsia="Calibri" w:hAnsi="Arial" w:cs="Arial"/>
          <w:sz w:val="22"/>
          <w:szCs w:val="22"/>
          <w:lang w:eastAsia="en-US"/>
        </w:rPr>
        <w:t xml:space="preserve"> </w:t>
      </w:r>
      <w:r w:rsidR="009140BE">
        <w:rPr>
          <w:rFonts w:ascii="Arial" w:eastAsia="Calibri" w:hAnsi="Arial" w:cs="Arial"/>
          <w:sz w:val="22"/>
          <w:szCs w:val="22"/>
          <w:lang w:eastAsia="en-US"/>
        </w:rPr>
        <w:t>META has</w:t>
      </w:r>
      <w:r w:rsidRPr="000C6C36">
        <w:rPr>
          <w:rFonts w:ascii="Arial" w:eastAsia="Calibri" w:hAnsi="Arial" w:cs="Arial"/>
          <w:sz w:val="22"/>
          <w:szCs w:val="22"/>
          <w:lang w:eastAsia="en-US"/>
        </w:rPr>
        <w:t xml:space="preserve"> </w:t>
      </w:r>
      <w:r w:rsidR="009140BE">
        <w:rPr>
          <w:rFonts w:ascii="Arial" w:eastAsia="Calibri" w:hAnsi="Arial" w:cs="Arial"/>
          <w:sz w:val="22"/>
          <w:szCs w:val="22"/>
          <w:lang w:eastAsia="en-US"/>
        </w:rPr>
        <w:t>an</w:t>
      </w:r>
      <w:r w:rsidR="009140BE" w:rsidRPr="000C6C36">
        <w:rPr>
          <w:rFonts w:ascii="Arial" w:eastAsia="Calibri" w:hAnsi="Arial" w:cs="Arial"/>
          <w:sz w:val="22"/>
          <w:szCs w:val="22"/>
          <w:lang w:eastAsia="en-US"/>
        </w:rPr>
        <w:t xml:space="preserve"> </w:t>
      </w:r>
      <w:r w:rsidRPr="000C6C36">
        <w:rPr>
          <w:rFonts w:ascii="Arial" w:eastAsia="Calibri" w:hAnsi="Arial" w:cs="Arial"/>
          <w:sz w:val="22"/>
          <w:szCs w:val="22"/>
          <w:lang w:eastAsia="en-US"/>
        </w:rPr>
        <w:t>extensive intellect</w:t>
      </w:r>
      <w:r w:rsidR="00D02934" w:rsidRPr="000C6C36">
        <w:rPr>
          <w:rFonts w:ascii="Arial" w:eastAsia="Calibri" w:hAnsi="Arial" w:cs="Arial"/>
          <w:sz w:val="22"/>
          <w:szCs w:val="22"/>
          <w:lang w:eastAsia="en-US"/>
        </w:rPr>
        <w:t>ual property</w:t>
      </w:r>
      <w:r w:rsidR="009140BE">
        <w:rPr>
          <w:rFonts w:ascii="Arial" w:eastAsia="Calibri" w:hAnsi="Arial" w:cs="Arial"/>
          <w:sz w:val="22"/>
          <w:szCs w:val="22"/>
          <w:lang w:eastAsia="en-US"/>
        </w:rPr>
        <w:t xml:space="preserve"> portfolio</w:t>
      </w:r>
      <w:r w:rsidR="00D02934" w:rsidRPr="000C6C36">
        <w:rPr>
          <w:rFonts w:ascii="Arial" w:eastAsia="Calibri" w:hAnsi="Arial" w:cs="Arial"/>
          <w:sz w:val="22"/>
          <w:szCs w:val="22"/>
          <w:lang w:eastAsia="en-US"/>
        </w:rPr>
        <w:t>, a global presence and</w:t>
      </w:r>
      <w:r w:rsidRPr="000C6C36">
        <w:rPr>
          <w:rFonts w:ascii="Arial" w:eastAsia="Calibri" w:hAnsi="Arial" w:cs="Arial"/>
          <w:sz w:val="22"/>
          <w:szCs w:val="22"/>
          <w:lang w:eastAsia="en-US"/>
        </w:rPr>
        <w:t xml:space="preserve"> multiple R&amp;D </w:t>
      </w:r>
      <w:r w:rsidR="0002625F" w:rsidRPr="000C6C36">
        <w:rPr>
          <w:rFonts w:ascii="Arial" w:eastAsia="Calibri" w:hAnsi="Arial" w:cs="Arial"/>
          <w:sz w:val="22"/>
          <w:szCs w:val="22"/>
          <w:lang w:eastAsia="en-US"/>
        </w:rPr>
        <w:t xml:space="preserve">and product </w:t>
      </w:r>
      <w:r w:rsidRPr="000C6C36">
        <w:rPr>
          <w:rFonts w:ascii="Arial" w:eastAsia="Calibri" w:hAnsi="Arial" w:cs="Arial"/>
          <w:sz w:val="22"/>
          <w:szCs w:val="22"/>
          <w:lang w:eastAsia="en-US"/>
        </w:rPr>
        <w:t>development agreements with government agencies and private enterprise</w:t>
      </w:r>
      <w:r w:rsidR="009140BE">
        <w:rPr>
          <w:rFonts w:ascii="Arial" w:eastAsia="Calibri" w:hAnsi="Arial" w:cs="Arial"/>
          <w:sz w:val="22"/>
          <w:szCs w:val="22"/>
          <w:lang w:eastAsia="en-US"/>
        </w:rPr>
        <w:t>s</w:t>
      </w:r>
      <w:r w:rsidRPr="000C6C36">
        <w:rPr>
          <w:rFonts w:ascii="Arial" w:eastAsia="Calibri" w:hAnsi="Arial" w:cs="Arial"/>
          <w:sz w:val="22"/>
          <w:szCs w:val="22"/>
          <w:lang w:eastAsia="en-US"/>
        </w:rPr>
        <w:t>. The combined entity will continue to service a clientele of world-class OEM customers for a range of applications in the automotive, aerospace and defense, energy, consumer electronics and medical markets.</w:t>
      </w:r>
    </w:p>
    <w:p w14:paraId="3B3488C1" w14:textId="77777777" w:rsidR="00FC043B" w:rsidRPr="000C6C36" w:rsidRDefault="00FC043B" w:rsidP="00FC043B">
      <w:pPr>
        <w:jc w:val="both"/>
        <w:rPr>
          <w:rFonts w:ascii="Arial" w:eastAsia="Calibri" w:hAnsi="Arial" w:cs="Arial"/>
          <w:sz w:val="22"/>
          <w:szCs w:val="22"/>
          <w:lang w:eastAsia="en-US"/>
        </w:rPr>
      </w:pPr>
    </w:p>
    <w:p w14:paraId="696F26AF" w14:textId="2CFB359B" w:rsidR="00FC043B" w:rsidRPr="000C6C36" w:rsidRDefault="00FC043B" w:rsidP="00FC043B">
      <w:pPr>
        <w:jc w:val="both"/>
        <w:rPr>
          <w:rFonts w:ascii="Arial" w:eastAsia="Calibri" w:hAnsi="Arial" w:cs="Arial"/>
          <w:sz w:val="22"/>
          <w:szCs w:val="22"/>
          <w:lang w:eastAsia="en-US"/>
        </w:rPr>
      </w:pPr>
      <w:r w:rsidRPr="000C6C36">
        <w:rPr>
          <w:rFonts w:ascii="Arial" w:eastAsia="Calibri" w:hAnsi="Arial" w:cs="Arial"/>
          <w:sz w:val="22"/>
          <w:szCs w:val="22"/>
          <w:lang w:eastAsia="en-US"/>
        </w:rPr>
        <w:t xml:space="preserve">“During the past six months the oil and gas market has softened due to </w:t>
      </w:r>
      <w:r w:rsidR="007567EC" w:rsidRPr="000C6C36">
        <w:rPr>
          <w:rFonts w:ascii="Arial" w:eastAsia="Calibri" w:hAnsi="Arial" w:cs="Arial"/>
          <w:sz w:val="22"/>
          <w:szCs w:val="22"/>
          <w:lang w:eastAsia="en-US"/>
        </w:rPr>
        <w:t xml:space="preserve">the </w:t>
      </w:r>
      <w:r w:rsidRPr="000C6C36">
        <w:rPr>
          <w:rFonts w:ascii="Arial" w:eastAsia="Calibri" w:hAnsi="Arial" w:cs="Arial"/>
          <w:sz w:val="22"/>
          <w:szCs w:val="22"/>
          <w:lang w:eastAsia="en-US"/>
        </w:rPr>
        <w:t xml:space="preserve">economic slowdown resulting from the pandemic,” stated John Brda, Torchlight’s CEO. “In order to unlock value potential from our national listing and access to the capital markets, we shifted some attention from the divestiture of our oil and gas assets to an acquisition strategy targeting proven disruptive technology companies with strong environmental, social and governance (ESG) priorities. This </w:t>
      </w:r>
      <w:r w:rsidR="005979EF">
        <w:rPr>
          <w:rFonts w:ascii="Arial" w:eastAsia="Calibri" w:hAnsi="Arial" w:cs="Arial"/>
          <w:sz w:val="22"/>
          <w:szCs w:val="22"/>
          <w:lang w:eastAsia="en-US"/>
        </w:rPr>
        <w:t>Proposed</w:t>
      </w:r>
      <w:r w:rsidR="000C6C36" w:rsidRPr="000C6C36">
        <w:rPr>
          <w:rFonts w:ascii="Arial" w:eastAsia="Calibri" w:hAnsi="Arial" w:cs="Arial"/>
          <w:sz w:val="22"/>
          <w:szCs w:val="22"/>
          <w:lang w:eastAsia="en-US"/>
        </w:rPr>
        <w:t xml:space="preserve"> Transaction </w:t>
      </w:r>
      <w:r w:rsidR="00E0336C">
        <w:rPr>
          <w:rFonts w:ascii="Arial" w:eastAsia="Calibri" w:hAnsi="Arial" w:cs="Arial"/>
          <w:sz w:val="22"/>
          <w:szCs w:val="22"/>
          <w:lang w:eastAsia="en-US"/>
        </w:rPr>
        <w:t>is the first step</w:t>
      </w:r>
      <w:r w:rsidRPr="000C6C36">
        <w:rPr>
          <w:rFonts w:ascii="Arial" w:eastAsia="Calibri" w:hAnsi="Arial" w:cs="Arial"/>
          <w:sz w:val="22"/>
          <w:szCs w:val="22"/>
          <w:lang w:eastAsia="en-US"/>
        </w:rPr>
        <w:t xml:space="preserve"> in that effort, providing our shareholders with access to </w:t>
      </w:r>
      <w:r w:rsidR="00E0336C">
        <w:rPr>
          <w:rFonts w:ascii="Arial" w:eastAsia="Calibri" w:hAnsi="Arial" w:cs="Arial"/>
          <w:sz w:val="22"/>
          <w:szCs w:val="22"/>
          <w:lang w:eastAsia="en-US"/>
        </w:rPr>
        <w:t>the</w:t>
      </w:r>
      <w:r w:rsidRPr="000C6C36">
        <w:rPr>
          <w:rFonts w:ascii="Arial" w:eastAsia="Calibri" w:hAnsi="Arial" w:cs="Arial"/>
          <w:sz w:val="22"/>
          <w:szCs w:val="22"/>
          <w:lang w:eastAsia="en-US"/>
        </w:rPr>
        <w:t xml:space="preserve"> multi-billion-dollar </w:t>
      </w:r>
      <w:r w:rsidR="005979EF">
        <w:rPr>
          <w:rFonts w:ascii="Arial" w:eastAsia="Calibri" w:hAnsi="Arial" w:cs="Arial"/>
          <w:sz w:val="22"/>
          <w:szCs w:val="22"/>
          <w:lang w:eastAsia="en-US"/>
        </w:rPr>
        <w:t xml:space="preserve">target </w:t>
      </w:r>
      <w:r w:rsidR="003B502B" w:rsidRPr="000C6C36">
        <w:rPr>
          <w:rFonts w:ascii="Arial" w:eastAsia="Calibri" w:hAnsi="Arial" w:cs="Arial"/>
          <w:sz w:val="22"/>
          <w:szCs w:val="22"/>
          <w:lang w:eastAsia="en-US"/>
        </w:rPr>
        <w:t>market and new applications</w:t>
      </w:r>
      <w:r w:rsidRPr="000C6C36">
        <w:rPr>
          <w:rFonts w:ascii="Arial" w:eastAsia="Calibri" w:hAnsi="Arial" w:cs="Arial"/>
          <w:sz w:val="22"/>
          <w:szCs w:val="22"/>
          <w:lang w:eastAsia="en-US"/>
        </w:rPr>
        <w:t xml:space="preserve"> that are being revolutionized with sustainable technologies, while </w:t>
      </w:r>
      <w:r w:rsidR="00E0336C">
        <w:rPr>
          <w:rFonts w:ascii="Arial" w:eastAsia="Calibri" w:hAnsi="Arial" w:cs="Arial"/>
          <w:sz w:val="22"/>
          <w:szCs w:val="22"/>
          <w:lang w:eastAsia="en-US"/>
        </w:rPr>
        <w:t>allowing them to participate in</w:t>
      </w:r>
      <w:r w:rsidRPr="000C6C36">
        <w:rPr>
          <w:rFonts w:ascii="Arial" w:eastAsia="Calibri" w:hAnsi="Arial" w:cs="Arial"/>
          <w:sz w:val="22"/>
          <w:szCs w:val="22"/>
          <w:lang w:eastAsia="en-US"/>
        </w:rPr>
        <w:t xml:space="preserve"> the future upside from our oil </w:t>
      </w:r>
      <w:r w:rsidR="00B021ED">
        <w:rPr>
          <w:rFonts w:ascii="Arial" w:eastAsia="Calibri" w:hAnsi="Arial" w:cs="Arial"/>
          <w:sz w:val="22"/>
          <w:szCs w:val="22"/>
          <w:lang w:eastAsia="en-US"/>
        </w:rPr>
        <w:t xml:space="preserve">and </w:t>
      </w:r>
      <w:r w:rsidRPr="000C6C36">
        <w:rPr>
          <w:rFonts w:ascii="Arial" w:eastAsia="Calibri" w:hAnsi="Arial" w:cs="Arial"/>
          <w:sz w:val="22"/>
          <w:szCs w:val="22"/>
          <w:lang w:eastAsia="en-US"/>
        </w:rPr>
        <w:t>gas asset divestitures.”</w:t>
      </w:r>
    </w:p>
    <w:p w14:paraId="682BE7DB" w14:textId="77777777" w:rsidR="00FC043B" w:rsidRPr="000C6C36" w:rsidRDefault="00FC043B" w:rsidP="00FC043B">
      <w:pPr>
        <w:jc w:val="both"/>
        <w:rPr>
          <w:rFonts w:ascii="Arial" w:eastAsia="Calibri" w:hAnsi="Arial" w:cs="Arial"/>
          <w:sz w:val="22"/>
          <w:szCs w:val="22"/>
          <w:lang w:eastAsia="en-US"/>
        </w:rPr>
      </w:pPr>
    </w:p>
    <w:p w14:paraId="776AA60E" w14:textId="042ED997" w:rsidR="00FC043B" w:rsidRPr="000C6C36" w:rsidRDefault="00FC043B" w:rsidP="00FC043B">
      <w:pPr>
        <w:jc w:val="both"/>
        <w:rPr>
          <w:rFonts w:ascii="Arial" w:eastAsia="Calibri" w:hAnsi="Arial" w:cs="Arial"/>
          <w:sz w:val="22"/>
          <w:szCs w:val="22"/>
          <w:lang w:eastAsia="en-US"/>
        </w:rPr>
      </w:pPr>
      <w:r w:rsidRPr="000C6C36">
        <w:rPr>
          <w:rFonts w:ascii="Arial" w:eastAsia="Calibri" w:hAnsi="Arial" w:cs="Arial"/>
          <w:sz w:val="22"/>
          <w:szCs w:val="22"/>
          <w:lang w:eastAsia="en-US"/>
        </w:rPr>
        <w:t xml:space="preserve">“META’s management, led by George Palikaras has built an extraordinary award-winning cleantech company whose proprietary advanced technologies address multiple markets and improve their customer’s capabilities,” said Greg McCabe, Torchlights Chairman. “I am excited to work with them and equally excited about the outcome for our faithful Torchlight shareholders. Not only will their loyalty be rewarded with ownership in Metamaterials, they will also retain full value in our oil and gas assets through the </w:t>
      </w:r>
      <w:r w:rsidR="005555A6" w:rsidRPr="000C6C36">
        <w:rPr>
          <w:rFonts w:ascii="Arial" w:eastAsia="Calibri" w:hAnsi="Arial" w:cs="Arial"/>
          <w:sz w:val="22"/>
          <w:szCs w:val="22"/>
          <w:lang w:eastAsia="en-US"/>
        </w:rPr>
        <w:t>Special</w:t>
      </w:r>
      <w:r w:rsidRPr="000C6C36">
        <w:rPr>
          <w:rFonts w:ascii="Arial" w:eastAsia="Calibri" w:hAnsi="Arial" w:cs="Arial"/>
          <w:sz w:val="22"/>
          <w:szCs w:val="22"/>
          <w:lang w:eastAsia="en-US"/>
        </w:rPr>
        <w:t xml:space="preserve"> Dividend."</w:t>
      </w:r>
    </w:p>
    <w:p w14:paraId="51715DB2" w14:textId="77777777" w:rsidR="00FC043B" w:rsidRPr="000C6C36" w:rsidRDefault="00FC043B" w:rsidP="00FC043B">
      <w:pPr>
        <w:jc w:val="both"/>
        <w:rPr>
          <w:rFonts w:ascii="Arial" w:eastAsia="Calibri" w:hAnsi="Arial" w:cs="Arial"/>
          <w:sz w:val="22"/>
          <w:szCs w:val="22"/>
          <w:lang w:eastAsia="en-US"/>
        </w:rPr>
      </w:pPr>
    </w:p>
    <w:p w14:paraId="05246430" w14:textId="07E90E19" w:rsidR="00FC043B" w:rsidRPr="000C6C36" w:rsidRDefault="00FC043B" w:rsidP="00FC043B">
      <w:pPr>
        <w:jc w:val="both"/>
        <w:rPr>
          <w:rFonts w:ascii="Arial" w:eastAsia="Calibri" w:hAnsi="Arial" w:cs="Arial"/>
          <w:sz w:val="22"/>
          <w:szCs w:val="22"/>
          <w:lang w:eastAsia="en-US"/>
        </w:rPr>
      </w:pPr>
      <w:r w:rsidRPr="000C6C36">
        <w:rPr>
          <w:rFonts w:ascii="Arial" w:eastAsia="Calibri" w:hAnsi="Arial" w:cs="Arial"/>
          <w:sz w:val="22"/>
          <w:szCs w:val="22"/>
          <w:lang w:eastAsia="en-US"/>
        </w:rPr>
        <w:t xml:space="preserve">“We recognize the significant value in </w:t>
      </w:r>
      <w:r w:rsidR="009140BE">
        <w:rPr>
          <w:rFonts w:ascii="Arial" w:eastAsia="Calibri" w:hAnsi="Arial" w:cs="Arial"/>
          <w:sz w:val="22"/>
          <w:szCs w:val="22"/>
          <w:lang w:eastAsia="en-US"/>
        </w:rPr>
        <w:t xml:space="preserve">having </w:t>
      </w:r>
      <w:r w:rsidRPr="000C6C36">
        <w:rPr>
          <w:rFonts w:ascii="Arial" w:eastAsia="Calibri" w:hAnsi="Arial" w:cs="Arial"/>
          <w:sz w:val="22"/>
          <w:szCs w:val="22"/>
          <w:lang w:eastAsia="en-US"/>
        </w:rPr>
        <w:t xml:space="preserve">a national exchange listing in the United States </w:t>
      </w:r>
      <w:r w:rsidR="009140BE">
        <w:rPr>
          <w:rFonts w:ascii="Arial" w:eastAsia="Calibri" w:hAnsi="Arial" w:cs="Arial"/>
          <w:sz w:val="22"/>
          <w:szCs w:val="22"/>
          <w:lang w:eastAsia="en-US"/>
        </w:rPr>
        <w:t>that will provide META with</w:t>
      </w:r>
      <w:r w:rsidR="009140BE" w:rsidRPr="000C6C36">
        <w:rPr>
          <w:rFonts w:ascii="Arial" w:eastAsia="Calibri" w:hAnsi="Arial" w:cs="Arial"/>
          <w:sz w:val="22"/>
          <w:szCs w:val="22"/>
          <w:lang w:eastAsia="en-US"/>
        </w:rPr>
        <w:t xml:space="preserve"> </w:t>
      </w:r>
      <w:r w:rsidRPr="000C6C36">
        <w:rPr>
          <w:rFonts w:ascii="Arial" w:eastAsia="Calibri" w:hAnsi="Arial" w:cs="Arial"/>
          <w:sz w:val="22"/>
          <w:szCs w:val="22"/>
          <w:lang w:eastAsia="en-US"/>
        </w:rPr>
        <w:t>better access to the capital markets,” commented George Palikaras, Metamaterial’s President and Chief Executive Officer. “NASDAQ is the world’s premier technology exchange, providing us with the best platform to expand awareness of META on the global stage and fully re</w:t>
      </w:r>
      <w:r w:rsidR="00066059" w:rsidRPr="000C6C36">
        <w:rPr>
          <w:rFonts w:ascii="Arial" w:eastAsia="Calibri" w:hAnsi="Arial" w:cs="Arial"/>
          <w:sz w:val="22"/>
          <w:szCs w:val="22"/>
          <w:lang w:eastAsia="en-US"/>
        </w:rPr>
        <w:t>al</w:t>
      </w:r>
      <w:r w:rsidRPr="000C6C36">
        <w:rPr>
          <w:rFonts w:ascii="Arial" w:eastAsia="Calibri" w:hAnsi="Arial" w:cs="Arial"/>
          <w:sz w:val="22"/>
          <w:szCs w:val="22"/>
          <w:lang w:eastAsia="en-US"/>
        </w:rPr>
        <w:t>ize the value of our portfolio</w:t>
      </w:r>
      <w:r w:rsidR="00DC2C78" w:rsidRPr="000C6C36">
        <w:rPr>
          <w:rFonts w:ascii="Arial" w:eastAsia="Calibri" w:hAnsi="Arial" w:cs="Arial"/>
          <w:sz w:val="22"/>
          <w:szCs w:val="22"/>
          <w:lang w:eastAsia="en-US"/>
        </w:rPr>
        <w:t xml:space="preserve"> of </w:t>
      </w:r>
      <w:r w:rsidR="00B33340">
        <w:rPr>
          <w:rFonts w:ascii="Arial" w:eastAsia="Calibri" w:hAnsi="Arial" w:cs="Arial"/>
          <w:sz w:val="22"/>
          <w:szCs w:val="22"/>
          <w:lang w:eastAsia="en-US"/>
        </w:rPr>
        <w:t>innovative sustainable</w:t>
      </w:r>
      <w:r w:rsidR="00B33340" w:rsidRPr="000C6C36">
        <w:rPr>
          <w:rFonts w:ascii="Arial" w:eastAsia="Calibri" w:hAnsi="Arial" w:cs="Arial"/>
          <w:sz w:val="22"/>
          <w:szCs w:val="22"/>
          <w:lang w:eastAsia="en-US"/>
        </w:rPr>
        <w:t xml:space="preserve"> </w:t>
      </w:r>
      <w:r w:rsidR="00B33340">
        <w:rPr>
          <w:rFonts w:ascii="Arial" w:eastAsia="Calibri" w:hAnsi="Arial" w:cs="Arial"/>
          <w:sz w:val="22"/>
          <w:szCs w:val="22"/>
          <w:lang w:eastAsia="en-US"/>
        </w:rPr>
        <w:t>products</w:t>
      </w:r>
      <w:r w:rsidRPr="000C6C36">
        <w:rPr>
          <w:rFonts w:ascii="Arial" w:eastAsia="Calibri" w:hAnsi="Arial" w:cs="Arial"/>
          <w:sz w:val="22"/>
          <w:szCs w:val="22"/>
          <w:lang w:eastAsia="en-US"/>
        </w:rPr>
        <w:t xml:space="preserve">. This transaction will enhance our ability to </w:t>
      </w:r>
      <w:r w:rsidR="005A79AC" w:rsidRPr="000C6C36">
        <w:rPr>
          <w:rFonts w:ascii="Arial" w:eastAsia="Calibri" w:hAnsi="Arial" w:cs="Arial"/>
          <w:sz w:val="22"/>
          <w:szCs w:val="22"/>
          <w:lang w:eastAsia="en-US"/>
        </w:rPr>
        <w:t>pursue</w:t>
      </w:r>
      <w:r w:rsidRPr="000C6C36">
        <w:rPr>
          <w:rFonts w:ascii="Arial" w:eastAsia="Calibri" w:hAnsi="Arial" w:cs="Arial"/>
          <w:sz w:val="22"/>
          <w:szCs w:val="22"/>
          <w:lang w:eastAsia="en-US"/>
        </w:rPr>
        <w:t xml:space="preserve"> a broad range of opportunities and attract additional world-class talent.</w:t>
      </w:r>
    </w:p>
    <w:p w14:paraId="602435D7" w14:textId="77777777" w:rsidR="00FC043B" w:rsidRPr="000C6C36" w:rsidRDefault="00FC043B" w:rsidP="00FC043B">
      <w:pPr>
        <w:jc w:val="both"/>
        <w:rPr>
          <w:rFonts w:ascii="Arial" w:eastAsia="Calibri" w:hAnsi="Arial" w:cs="Arial"/>
          <w:sz w:val="22"/>
          <w:szCs w:val="22"/>
          <w:lang w:eastAsia="en-US"/>
        </w:rPr>
      </w:pPr>
    </w:p>
    <w:p w14:paraId="68325FFB" w14:textId="3B8367EC" w:rsidR="00FC043B" w:rsidRPr="000C6C36" w:rsidRDefault="00FC043B" w:rsidP="00FC043B">
      <w:pPr>
        <w:jc w:val="both"/>
        <w:rPr>
          <w:rFonts w:ascii="Arial" w:eastAsia="Calibri" w:hAnsi="Arial" w:cs="Arial"/>
          <w:sz w:val="22"/>
          <w:szCs w:val="22"/>
          <w:lang w:eastAsia="en-US"/>
        </w:rPr>
      </w:pPr>
      <w:r w:rsidRPr="000C6C36">
        <w:rPr>
          <w:rFonts w:ascii="Arial" w:eastAsia="Calibri" w:hAnsi="Arial" w:cs="Arial"/>
          <w:sz w:val="22"/>
          <w:szCs w:val="22"/>
          <w:lang w:eastAsia="en-US"/>
        </w:rPr>
        <w:lastRenderedPageBreak/>
        <w:t xml:space="preserve">“We look forward to driving significant value for shareholders in our mission to make every product smarter and more sustainable by utilizing </w:t>
      </w:r>
      <w:r w:rsidR="00E238A5" w:rsidRPr="000C6C36">
        <w:rPr>
          <w:rFonts w:ascii="Arial" w:eastAsia="Calibri" w:hAnsi="Arial" w:cs="Arial"/>
          <w:sz w:val="22"/>
          <w:szCs w:val="22"/>
          <w:lang w:eastAsia="en-US"/>
        </w:rPr>
        <w:t xml:space="preserve">the power of </w:t>
      </w:r>
      <w:r w:rsidRPr="000C6C36">
        <w:rPr>
          <w:rFonts w:ascii="Arial" w:eastAsia="Calibri" w:hAnsi="Arial" w:cs="Arial"/>
          <w:sz w:val="22"/>
          <w:szCs w:val="22"/>
          <w:lang w:eastAsia="en-US"/>
        </w:rPr>
        <w:t xml:space="preserve">light and advanced materials.” </w:t>
      </w:r>
    </w:p>
    <w:p w14:paraId="653794BC" w14:textId="77777777" w:rsidR="00920057" w:rsidRPr="000C6C36" w:rsidRDefault="00920057" w:rsidP="00FC043B">
      <w:pPr>
        <w:jc w:val="both"/>
        <w:rPr>
          <w:rFonts w:ascii="Arial" w:eastAsia="Calibri" w:hAnsi="Arial" w:cs="Arial"/>
          <w:sz w:val="22"/>
          <w:szCs w:val="22"/>
          <w:lang w:eastAsia="en-US"/>
        </w:rPr>
      </w:pPr>
    </w:p>
    <w:p w14:paraId="6F990915" w14:textId="77777777" w:rsidR="00FC043B" w:rsidRPr="000C6C36" w:rsidRDefault="00FC043B" w:rsidP="00FC043B">
      <w:pPr>
        <w:jc w:val="both"/>
        <w:rPr>
          <w:rFonts w:ascii="Arial" w:eastAsia="Calibri" w:hAnsi="Arial" w:cs="Arial"/>
          <w:sz w:val="22"/>
          <w:szCs w:val="22"/>
          <w:lang w:eastAsia="en-US"/>
        </w:rPr>
      </w:pPr>
      <w:r w:rsidRPr="000C6C36">
        <w:rPr>
          <w:rFonts w:ascii="Arial" w:eastAsia="Calibri" w:hAnsi="Arial" w:cs="Arial"/>
          <w:sz w:val="22"/>
          <w:szCs w:val="22"/>
          <w:lang w:eastAsia="en-US"/>
        </w:rPr>
        <w:t>Many of META’s functional materials and metamaterials are designed to increase the efficient use of light and other energy forms. META’s innovations have been reported in popular technology magazines such as Wired.com “</w:t>
      </w:r>
      <w:hyperlink r:id="rId7" w:history="1">
        <w:r w:rsidRPr="000C6C36">
          <w:rPr>
            <w:rStyle w:val="Hyperlink"/>
            <w:rFonts w:ascii="Arial" w:eastAsia="Calibri" w:hAnsi="Arial" w:cs="Arial"/>
            <w:sz w:val="22"/>
            <w:szCs w:val="22"/>
            <w:lang w:eastAsia="en-US"/>
          </w:rPr>
          <w:t>Bizarre New Materials Could Make Bendy Phones That Work</w:t>
        </w:r>
      </w:hyperlink>
      <w:r w:rsidRPr="000C6C36">
        <w:rPr>
          <w:rFonts w:ascii="Arial" w:eastAsia="Calibri" w:hAnsi="Arial" w:cs="Arial"/>
          <w:sz w:val="22"/>
          <w:szCs w:val="22"/>
          <w:lang w:eastAsia="en-US"/>
        </w:rPr>
        <w:t xml:space="preserve">” and the Financial Times which listed the category of metamaterials in their </w:t>
      </w:r>
      <w:hyperlink r:id="rId8" w:history="1">
        <w:r w:rsidRPr="000C6C36">
          <w:rPr>
            <w:rStyle w:val="Hyperlink"/>
            <w:rFonts w:ascii="Arial" w:eastAsia="Calibri" w:hAnsi="Arial" w:cs="Arial"/>
            <w:sz w:val="22"/>
            <w:szCs w:val="22"/>
            <w:lang w:eastAsia="en-US"/>
          </w:rPr>
          <w:t>“50 Ideas To Change The World”</w:t>
        </w:r>
      </w:hyperlink>
      <w:r w:rsidRPr="000C6C36">
        <w:rPr>
          <w:rFonts w:ascii="Arial" w:eastAsia="Calibri" w:hAnsi="Arial" w:cs="Arial"/>
          <w:sz w:val="22"/>
          <w:szCs w:val="22"/>
          <w:lang w:eastAsia="en-US"/>
        </w:rPr>
        <w:t xml:space="preserve"> in a special annual report. </w:t>
      </w:r>
    </w:p>
    <w:p w14:paraId="5CFE4FDB" w14:textId="77777777" w:rsidR="00FC043B" w:rsidRPr="000C6C36" w:rsidRDefault="00FC043B" w:rsidP="00FC043B">
      <w:pPr>
        <w:jc w:val="both"/>
        <w:rPr>
          <w:rFonts w:ascii="Arial" w:eastAsia="Calibri" w:hAnsi="Arial" w:cs="Arial"/>
          <w:sz w:val="22"/>
          <w:szCs w:val="22"/>
          <w:lang w:eastAsia="en-US"/>
        </w:rPr>
      </w:pPr>
    </w:p>
    <w:p w14:paraId="234A6DAF" w14:textId="2C2A8D6B" w:rsidR="00FC043B" w:rsidRPr="000C6C36" w:rsidRDefault="00FC043B" w:rsidP="00FC043B">
      <w:pPr>
        <w:jc w:val="both"/>
        <w:rPr>
          <w:rFonts w:ascii="Arial" w:eastAsia="Calibri" w:hAnsi="Arial" w:cs="Arial"/>
          <w:sz w:val="22"/>
          <w:szCs w:val="22"/>
          <w:lang w:eastAsia="en-US"/>
        </w:rPr>
      </w:pPr>
      <w:r w:rsidRPr="000C6C36">
        <w:rPr>
          <w:rFonts w:ascii="Arial" w:eastAsia="Calibri" w:hAnsi="Arial" w:cs="Arial"/>
          <w:sz w:val="22"/>
          <w:szCs w:val="22"/>
          <w:lang w:eastAsia="en-US"/>
        </w:rPr>
        <w:t xml:space="preserve">META’s products are designed and manufactured with environmental sustainability as a high priority. As a result, META has won a number of industry awards and federal government grants for its pioneering work, including </w:t>
      </w:r>
      <w:r w:rsidR="001D02FE" w:rsidRPr="000C6C36">
        <w:rPr>
          <w:rFonts w:ascii="Arial" w:eastAsia="Calibri" w:hAnsi="Arial" w:cs="Arial"/>
          <w:sz w:val="22"/>
          <w:szCs w:val="22"/>
          <w:lang w:eastAsia="en-US"/>
        </w:rPr>
        <w:t xml:space="preserve">being </w:t>
      </w:r>
      <w:r w:rsidR="00294919" w:rsidRPr="000C6C36">
        <w:rPr>
          <w:rFonts w:ascii="Arial" w:eastAsia="Calibri" w:hAnsi="Arial" w:cs="Arial"/>
          <w:sz w:val="22"/>
          <w:szCs w:val="22"/>
          <w:lang w:eastAsia="en-US"/>
        </w:rPr>
        <w:t>n</w:t>
      </w:r>
      <w:r w:rsidRPr="000C6C36">
        <w:rPr>
          <w:rFonts w:ascii="Arial" w:eastAsia="Calibri" w:hAnsi="Arial" w:cs="Arial"/>
          <w:sz w:val="22"/>
          <w:szCs w:val="22"/>
          <w:lang w:eastAsia="en-US"/>
        </w:rPr>
        <w:t>amed</w:t>
      </w:r>
      <w:r w:rsidR="00294919" w:rsidRPr="000C6C36">
        <w:rPr>
          <w:rFonts w:ascii="Arial" w:eastAsia="Calibri" w:hAnsi="Arial" w:cs="Arial"/>
          <w:sz w:val="22"/>
          <w:szCs w:val="22"/>
          <w:lang w:eastAsia="en-US"/>
        </w:rPr>
        <w:t xml:space="preserve"> among the</w:t>
      </w:r>
      <w:r w:rsidRPr="000C6C36">
        <w:rPr>
          <w:rFonts w:ascii="Arial" w:eastAsia="Calibri" w:hAnsi="Arial" w:cs="Arial"/>
          <w:sz w:val="22"/>
          <w:szCs w:val="22"/>
          <w:lang w:eastAsia="en-US"/>
        </w:rPr>
        <w:t xml:space="preserve"> “2019 Global Cleantech 100”, by </w:t>
      </w:r>
      <w:hyperlink r:id="rId9" w:history="1">
        <w:r w:rsidRPr="000C6C36">
          <w:rPr>
            <w:rStyle w:val="Hyperlink"/>
            <w:rFonts w:ascii="Arial" w:eastAsia="Calibri" w:hAnsi="Arial" w:cs="Arial"/>
            <w:sz w:val="22"/>
            <w:szCs w:val="22"/>
            <w:lang w:eastAsia="en-US"/>
          </w:rPr>
          <w:t>Cleantech Group</w:t>
        </w:r>
      </w:hyperlink>
      <w:r w:rsidRPr="000C6C36">
        <w:rPr>
          <w:rFonts w:ascii="Arial" w:eastAsia="Calibri" w:hAnsi="Arial" w:cs="Arial"/>
          <w:sz w:val="22"/>
          <w:szCs w:val="22"/>
          <w:lang w:eastAsia="en-US"/>
        </w:rPr>
        <w:t>. The Global Cleantech 100 is an annual guide to the leading companies and themes in sustainable innovation and features companies that are best positioned to solve tomorrow’s clean technology challenges</w:t>
      </w:r>
      <w:r w:rsidR="00A212DE" w:rsidRPr="000C6C36">
        <w:rPr>
          <w:rFonts w:ascii="Arial" w:eastAsia="Calibri" w:hAnsi="Arial" w:cs="Arial"/>
          <w:sz w:val="22"/>
          <w:szCs w:val="22"/>
          <w:lang w:eastAsia="en-US"/>
        </w:rPr>
        <w:t>.</w:t>
      </w:r>
      <w:r w:rsidRPr="000C6C36">
        <w:rPr>
          <w:rFonts w:ascii="Arial" w:eastAsia="Calibri" w:hAnsi="Arial" w:cs="Arial"/>
          <w:sz w:val="22"/>
          <w:szCs w:val="22"/>
          <w:lang w:eastAsia="en-US"/>
        </w:rPr>
        <w:t xml:space="preserve"> In 2018 META was </w:t>
      </w:r>
      <w:hyperlink r:id="rId10" w:history="1">
        <w:r w:rsidRPr="000C6C36">
          <w:rPr>
            <w:rStyle w:val="Hyperlink"/>
            <w:rFonts w:ascii="Arial" w:eastAsia="Calibri" w:hAnsi="Arial" w:cs="Arial"/>
            <w:sz w:val="22"/>
            <w:szCs w:val="22"/>
            <w:lang w:eastAsia="en-US"/>
          </w:rPr>
          <w:t>awarded “Best New Product in Commercial Aviation”</w:t>
        </w:r>
      </w:hyperlink>
      <w:r w:rsidRPr="000C6C36">
        <w:rPr>
          <w:rFonts w:ascii="Arial" w:eastAsia="Calibri" w:hAnsi="Arial" w:cs="Arial"/>
          <w:sz w:val="22"/>
          <w:szCs w:val="22"/>
          <w:lang w:eastAsia="en-US"/>
        </w:rPr>
        <w:t xml:space="preserve"> by Aviation Week Network at the 63rd Annual Laureate Awards, for metaAIR®, a Laser Strike Protection solution to protect pilots from harmful laser attacks without interfering with visibility. </w:t>
      </w:r>
      <w:hyperlink r:id="rId11" w:history="1">
        <w:r w:rsidRPr="000C6C36">
          <w:rPr>
            <w:rStyle w:val="Hyperlink"/>
            <w:rFonts w:ascii="Arial" w:eastAsia="Calibri" w:hAnsi="Arial" w:cs="Arial"/>
            <w:sz w:val="22"/>
            <w:szCs w:val="22"/>
            <w:lang w:eastAsia="en-US"/>
          </w:rPr>
          <w:t>META partnered with Airbus to develop and commercialize this technology</w:t>
        </w:r>
      </w:hyperlink>
      <w:r w:rsidRPr="000C6C36">
        <w:rPr>
          <w:rFonts w:ascii="Arial" w:eastAsia="Calibri" w:hAnsi="Arial" w:cs="Arial"/>
          <w:sz w:val="22"/>
          <w:szCs w:val="22"/>
          <w:lang w:eastAsia="en-US"/>
        </w:rPr>
        <w:t>. In 2013 Metamaterial Technologies USA, Inc (formerly Rolith Inc and now META’s subsidiary in Silicon Valley) received “</w:t>
      </w:r>
      <w:hyperlink r:id="rId12" w:history="1">
        <w:r w:rsidRPr="000C6C36">
          <w:rPr>
            <w:rStyle w:val="Hyperlink"/>
            <w:rFonts w:ascii="Arial" w:eastAsia="Calibri" w:hAnsi="Arial" w:cs="Arial"/>
            <w:sz w:val="22"/>
            <w:szCs w:val="22"/>
            <w:lang w:eastAsia="en-US"/>
          </w:rPr>
          <w:t>Best Manufacturing Technology” award</w:t>
        </w:r>
      </w:hyperlink>
      <w:r w:rsidRPr="000C6C36">
        <w:rPr>
          <w:rFonts w:ascii="Arial" w:eastAsia="Calibri" w:hAnsi="Arial" w:cs="Arial"/>
          <w:sz w:val="22"/>
          <w:szCs w:val="22"/>
          <w:lang w:eastAsia="en-US"/>
        </w:rPr>
        <w:t xml:space="preserve"> at the tenth annual IDTechEx printed electronics industry event. </w:t>
      </w:r>
      <w:hyperlink r:id="rId13" w:history="1">
        <w:r w:rsidRPr="000C6C36">
          <w:rPr>
            <w:rStyle w:val="Hyperlink"/>
            <w:rFonts w:ascii="Arial" w:eastAsia="Calibri" w:hAnsi="Arial" w:cs="Arial"/>
            <w:sz w:val="22"/>
            <w:szCs w:val="22"/>
            <w:lang w:eastAsia="en-US"/>
          </w:rPr>
          <w:t>META has also partnered with Lockheed Martin and the Canadian Government</w:t>
        </w:r>
      </w:hyperlink>
      <w:r w:rsidRPr="000C6C36">
        <w:rPr>
          <w:rFonts w:ascii="Arial" w:eastAsia="Calibri" w:hAnsi="Arial" w:cs="Arial"/>
          <w:sz w:val="22"/>
          <w:szCs w:val="22"/>
          <w:lang w:eastAsia="en-US"/>
        </w:rPr>
        <w:t>’s Sustainable Development Technology Canada (SDTC) fund to develop metaSOLAR</w:t>
      </w:r>
      <w:r w:rsidRPr="000C6C36">
        <w:rPr>
          <w:rFonts w:ascii="Arial" w:eastAsia="Calibri" w:hAnsi="Arial" w:cs="Arial"/>
          <w:sz w:val="22"/>
          <w:szCs w:val="22"/>
          <w:vertAlign w:val="superscript"/>
          <w:lang w:eastAsia="en-US"/>
        </w:rPr>
        <w:t>TM</w:t>
      </w:r>
      <w:r w:rsidRPr="000C6C36">
        <w:rPr>
          <w:rFonts w:ascii="Arial" w:eastAsia="Calibri" w:hAnsi="Arial" w:cs="Arial"/>
          <w:sz w:val="22"/>
          <w:szCs w:val="22"/>
          <w:lang w:eastAsia="en-US"/>
        </w:rPr>
        <w:t xml:space="preserve"> a new solar energy product suitable for the transportation industry. </w:t>
      </w:r>
    </w:p>
    <w:p w14:paraId="77801557" w14:textId="07BF91C9" w:rsidR="007C2275" w:rsidRPr="000C6C36" w:rsidRDefault="007C2275" w:rsidP="00FC043B">
      <w:pPr>
        <w:jc w:val="both"/>
        <w:rPr>
          <w:rFonts w:ascii="Arial" w:eastAsia="Calibri" w:hAnsi="Arial" w:cs="Arial"/>
          <w:sz w:val="22"/>
          <w:szCs w:val="22"/>
          <w:lang w:eastAsia="en-US"/>
        </w:rPr>
      </w:pPr>
    </w:p>
    <w:p w14:paraId="5B488424" w14:textId="3B36A319" w:rsidR="007C2275" w:rsidRPr="000C6C36" w:rsidRDefault="00895A21" w:rsidP="00FC043B">
      <w:pPr>
        <w:jc w:val="both"/>
        <w:rPr>
          <w:rFonts w:ascii="Arial" w:eastAsia="Calibri" w:hAnsi="Arial" w:cs="Arial"/>
          <w:b/>
          <w:sz w:val="22"/>
          <w:szCs w:val="22"/>
          <w:lang w:eastAsia="en-US"/>
        </w:rPr>
      </w:pPr>
      <w:r w:rsidRPr="000C6C36">
        <w:rPr>
          <w:rFonts w:ascii="Arial" w:eastAsia="Calibri" w:hAnsi="Arial" w:cs="Arial"/>
          <w:sz w:val="22"/>
          <w:szCs w:val="22"/>
          <w:lang w:eastAsia="en-US"/>
        </w:rPr>
        <w:t xml:space="preserve">Since 2011, </w:t>
      </w:r>
      <w:r w:rsidR="00006B1B">
        <w:rPr>
          <w:rFonts w:ascii="Arial" w:eastAsia="Calibri" w:hAnsi="Arial" w:cs="Arial"/>
          <w:sz w:val="22"/>
          <w:szCs w:val="22"/>
          <w:lang w:eastAsia="en-US"/>
        </w:rPr>
        <w:t xml:space="preserve">approximately </w:t>
      </w:r>
      <w:r w:rsidR="005979EF">
        <w:rPr>
          <w:rFonts w:ascii="Arial" w:eastAsia="Calibri" w:hAnsi="Arial" w:cs="Arial"/>
          <w:sz w:val="22"/>
          <w:szCs w:val="22"/>
          <w:lang w:eastAsia="en-US"/>
        </w:rPr>
        <w:t xml:space="preserve">CAD </w:t>
      </w:r>
      <w:r w:rsidRPr="000C6C36">
        <w:rPr>
          <w:rFonts w:ascii="Arial" w:eastAsia="Calibri" w:hAnsi="Arial" w:cs="Arial"/>
          <w:sz w:val="22"/>
          <w:szCs w:val="22"/>
          <w:lang w:eastAsia="en-US"/>
        </w:rPr>
        <w:t xml:space="preserve">$60MM has been invested in META, yielding </w:t>
      </w:r>
      <w:r w:rsidR="00BC4024" w:rsidRPr="000C6C36">
        <w:rPr>
          <w:rFonts w:ascii="Arial" w:eastAsia="Calibri" w:hAnsi="Arial" w:cs="Arial"/>
          <w:sz w:val="22"/>
          <w:szCs w:val="22"/>
          <w:lang w:eastAsia="en-US"/>
        </w:rPr>
        <w:t xml:space="preserve">a sizable </w:t>
      </w:r>
      <w:r w:rsidR="001D326D" w:rsidRPr="000C6C36">
        <w:rPr>
          <w:rFonts w:ascii="Arial" w:eastAsia="Calibri" w:hAnsi="Arial" w:cs="Arial"/>
          <w:sz w:val="22"/>
          <w:szCs w:val="22"/>
          <w:lang w:eastAsia="en-US"/>
        </w:rPr>
        <w:t xml:space="preserve">IP </w:t>
      </w:r>
      <w:r w:rsidR="00BC4024" w:rsidRPr="000C6C36">
        <w:rPr>
          <w:rFonts w:ascii="Arial" w:eastAsia="Calibri" w:hAnsi="Arial" w:cs="Arial"/>
          <w:sz w:val="22"/>
          <w:szCs w:val="22"/>
          <w:lang w:eastAsia="en-US"/>
        </w:rPr>
        <w:t>portfolio</w:t>
      </w:r>
      <w:r w:rsidR="001D326D" w:rsidRPr="000C6C36">
        <w:rPr>
          <w:rFonts w:ascii="Arial" w:eastAsia="Calibri" w:hAnsi="Arial" w:cs="Arial"/>
          <w:sz w:val="22"/>
          <w:szCs w:val="22"/>
          <w:lang w:eastAsia="en-US"/>
        </w:rPr>
        <w:t xml:space="preserve">. </w:t>
      </w:r>
      <w:r w:rsidR="00D73AEB" w:rsidRPr="000C6C36">
        <w:rPr>
          <w:rFonts w:ascii="Arial" w:eastAsia="Calibri" w:hAnsi="Arial" w:cs="Arial"/>
          <w:sz w:val="22"/>
          <w:szCs w:val="22"/>
          <w:lang w:eastAsia="en-US"/>
        </w:rPr>
        <w:t>In 2020 to date, META has been granted 11 new patents. META has a total of 52 granted and 37 pending patent applications, including 26 in the United States and 63 in 18 other countries around the world. META’s portfolio comprises 28 patent families, 19 of which are granted.</w:t>
      </w:r>
    </w:p>
    <w:p w14:paraId="795EA657" w14:textId="77777777" w:rsidR="00FC043B" w:rsidRPr="000C6C36" w:rsidRDefault="00FC043B" w:rsidP="00FC043B">
      <w:pPr>
        <w:rPr>
          <w:rFonts w:ascii="Arial" w:eastAsia="Calibri" w:hAnsi="Arial" w:cs="Arial"/>
          <w:sz w:val="22"/>
          <w:szCs w:val="22"/>
          <w:lang w:eastAsia="en-US"/>
        </w:rPr>
      </w:pPr>
    </w:p>
    <w:p w14:paraId="3F205AA8" w14:textId="503099AE" w:rsidR="00FC043B" w:rsidRPr="000C6C36" w:rsidRDefault="00FC043B" w:rsidP="00FC043B">
      <w:pPr>
        <w:jc w:val="both"/>
        <w:rPr>
          <w:rFonts w:ascii="Arial" w:eastAsia="Calibri" w:hAnsi="Arial" w:cs="Arial"/>
          <w:sz w:val="22"/>
          <w:szCs w:val="22"/>
          <w:lang w:eastAsia="en-US"/>
        </w:rPr>
      </w:pPr>
      <w:r w:rsidRPr="00B021ED">
        <w:rPr>
          <w:rFonts w:ascii="Arial" w:eastAsia="Calibri" w:hAnsi="Arial" w:cs="Arial"/>
          <w:sz w:val="22"/>
          <w:szCs w:val="22"/>
          <w:lang w:eastAsia="en-US"/>
        </w:rPr>
        <w:t xml:space="preserve">A video interview with both CEO’s and Torchlight’s Chairman </w:t>
      </w:r>
      <w:r w:rsidR="00EC5650" w:rsidRPr="00B021ED">
        <w:rPr>
          <w:rFonts w:ascii="Arial" w:eastAsia="Calibri" w:hAnsi="Arial" w:cs="Arial"/>
          <w:sz w:val="22"/>
          <w:szCs w:val="22"/>
          <w:lang w:eastAsia="en-US"/>
        </w:rPr>
        <w:t>will be</w:t>
      </w:r>
      <w:r w:rsidRPr="00B021ED">
        <w:rPr>
          <w:rFonts w:ascii="Arial" w:eastAsia="Calibri" w:hAnsi="Arial" w:cs="Arial"/>
          <w:sz w:val="22"/>
          <w:szCs w:val="22"/>
          <w:lang w:eastAsia="en-US"/>
        </w:rPr>
        <w:t xml:space="preserve"> </w:t>
      </w:r>
      <w:r w:rsidR="00427D63">
        <w:rPr>
          <w:rFonts w:ascii="Arial" w:eastAsia="Calibri" w:hAnsi="Arial" w:cs="Arial"/>
          <w:sz w:val="22"/>
          <w:szCs w:val="22"/>
          <w:lang w:eastAsia="en-US"/>
        </w:rPr>
        <w:t>available this week and separately announced with links provided.</w:t>
      </w:r>
    </w:p>
    <w:p w14:paraId="5742AD08" w14:textId="77777777" w:rsidR="00FC043B" w:rsidRPr="000C6C36" w:rsidRDefault="00FC043B" w:rsidP="00FC043B">
      <w:pPr>
        <w:jc w:val="both"/>
        <w:rPr>
          <w:rFonts w:ascii="Arial" w:eastAsia="Calibri" w:hAnsi="Arial" w:cs="Arial"/>
          <w:sz w:val="22"/>
          <w:szCs w:val="22"/>
          <w:lang w:eastAsia="en-US"/>
        </w:rPr>
      </w:pPr>
    </w:p>
    <w:p w14:paraId="33F4E91E" w14:textId="77777777" w:rsidR="00FC043B" w:rsidRPr="000C6C36" w:rsidRDefault="00FC043B" w:rsidP="00FC043B">
      <w:pPr>
        <w:jc w:val="both"/>
        <w:rPr>
          <w:rFonts w:ascii="Arial" w:eastAsia="Calibri" w:hAnsi="Arial" w:cs="Arial"/>
          <w:sz w:val="22"/>
          <w:szCs w:val="22"/>
          <w:lang w:eastAsia="en-US"/>
        </w:rPr>
      </w:pPr>
    </w:p>
    <w:p w14:paraId="559FFC3D" w14:textId="77777777" w:rsidR="00FC043B" w:rsidRPr="000C6C36" w:rsidRDefault="00FC043B" w:rsidP="00FC043B">
      <w:pPr>
        <w:jc w:val="both"/>
        <w:rPr>
          <w:rFonts w:ascii="Arial" w:eastAsia="Calibri" w:hAnsi="Arial" w:cs="Arial"/>
          <w:b/>
          <w:bCs/>
          <w:sz w:val="22"/>
          <w:szCs w:val="22"/>
          <w:lang w:eastAsia="en-US"/>
        </w:rPr>
      </w:pPr>
      <w:r w:rsidRPr="000C6C36">
        <w:rPr>
          <w:rFonts w:ascii="Arial" w:eastAsia="Calibri" w:hAnsi="Arial" w:cs="Arial"/>
          <w:b/>
          <w:bCs/>
          <w:sz w:val="22"/>
          <w:szCs w:val="22"/>
          <w:lang w:eastAsia="en-US"/>
        </w:rPr>
        <w:t>Preliminary LOI Transaction Parameters:</w:t>
      </w:r>
    </w:p>
    <w:p w14:paraId="759C8FEA" w14:textId="77777777" w:rsidR="00FC043B" w:rsidRPr="000C6C36" w:rsidRDefault="00FC043B" w:rsidP="00FC043B">
      <w:pPr>
        <w:jc w:val="both"/>
        <w:rPr>
          <w:rFonts w:ascii="Arial" w:eastAsia="Calibri" w:hAnsi="Arial" w:cs="Arial"/>
          <w:sz w:val="22"/>
          <w:szCs w:val="22"/>
          <w:lang w:eastAsia="en-US"/>
        </w:rPr>
      </w:pPr>
      <w:r w:rsidRPr="000C6C36">
        <w:rPr>
          <w:rFonts w:ascii="Arial" w:eastAsia="Calibri" w:hAnsi="Arial" w:cs="Arial"/>
          <w:sz w:val="22"/>
          <w:szCs w:val="22"/>
          <w:lang w:eastAsia="en-US"/>
        </w:rPr>
        <w:t>The following is a summary of the key terms of the Proposed Transaction as contemplated by the LOI. The Proposed Transaction remains subject to completion of a due diligence review by each party and negotiation of definitive agreements and the structure may change due to tax or other transaction considerations. There can be no assurance that the parties will reach agreement on the terms of definitive agreements or that the Proposed Transaction will be completed as currently contemplated or at all.</w:t>
      </w:r>
    </w:p>
    <w:p w14:paraId="124A0975" w14:textId="77777777" w:rsidR="00FC043B" w:rsidRPr="000C6C36" w:rsidRDefault="00FC043B" w:rsidP="00FC043B">
      <w:pPr>
        <w:jc w:val="both"/>
        <w:rPr>
          <w:rFonts w:ascii="Arial" w:eastAsia="Calibri" w:hAnsi="Arial" w:cs="Arial"/>
          <w:sz w:val="22"/>
          <w:szCs w:val="22"/>
          <w:lang w:eastAsia="en-US"/>
        </w:rPr>
      </w:pPr>
    </w:p>
    <w:p w14:paraId="3D599450" w14:textId="546BD920" w:rsidR="00FC043B" w:rsidRPr="000C6C36" w:rsidRDefault="00FC043B" w:rsidP="00FC043B">
      <w:pPr>
        <w:numPr>
          <w:ilvl w:val="0"/>
          <w:numId w:val="2"/>
        </w:numPr>
        <w:spacing w:after="60"/>
        <w:jc w:val="both"/>
        <w:rPr>
          <w:rFonts w:ascii="Arial" w:eastAsia="Calibri" w:hAnsi="Arial" w:cs="Arial"/>
          <w:sz w:val="22"/>
          <w:szCs w:val="22"/>
          <w:lang w:eastAsia="en-US"/>
        </w:rPr>
      </w:pPr>
      <w:r w:rsidRPr="000C6C36">
        <w:rPr>
          <w:rFonts w:ascii="Arial" w:eastAsia="Calibri" w:hAnsi="Arial" w:cs="Arial"/>
          <w:sz w:val="22"/>
          <w:szCs w:val="22"/>
          <w:lang w:eastAsia="en-US"/>
        </w:rPr>
        <w:t xml:space="preserve">Torchlight to acquire META through the issuance of common stock, such that at closing, the former equity holders of Torchlight would own 25% of the combined company (the “Combined Company”) </w:t>
      </w:r>
      <w:r w:rsidR="000C6C36">
        <w:rPr>
          <w:rFonts w:ascii="Arial" w:eastAsia="Calibri" w:hAnsi="Arial" w:cs="Arial"/>
          <w:sz w:val="22"/>
          <w:szCs w:val="22"/>
          <w:lang w:eastAsia="en-US"/>
        </w:rPr>
        <w:t>with</w:t>
      </w:r>
      <w:r w:rsidRPr="000C6C36">
        <w:rPr>
          <w:rFonts w:ascii="Arial" w:eastAsia="Calibri" w:hAnsi="Arial" w:cs="Arial"/>
          <w:sz w:val="22"/>
          <w:szCs w:val="22"/>
          <w:lang w:eastAsia="en-US"/>
        </w:rPr>
        <w:t xml:space="preserve"> the former equity holders of</w:t>
      </w:r>
      <w:r w:rsidR="000C6C36">
        <w:rPr>
          <w:rFonts w:ascii="Arial" w:eastAsia="Calibri" w:hAnsi="Arial" w:cs="Arial"/>
          <w:sz w:val="22"/>
          <w:szCs w:val="22"/>
          <w:lang w:eastAsia="en-US"/>
        </w:rPr>
        <w:t xml:space="preserve"> </w:t>
      </w:r>
      <w:r w:rsidRPr="000C6C36">
        <w:rPr>
          <w:rFonts w:ascii="Arial" w:eastAsia="Calibri" w:hAnsi="Arial" w:cs="Arial"/>
          <w:sz w:val="22"/>
          <w:szCs w:val="22"/>
          <w:lang w:eastAsia="en-US"/>
        </w:rPr>
        <w:t xml:space="preserve">META </w:t>
      </w:r>
      <w:r w:rsidR="000C6C36">
        <w:rPr>
          <w:rFonts w:ascii="Arial" w:eastAsia="Calibri" w:hAnsi="Arial" w:cs="Arial"/>
          <w:sz w:val="22"/>
          <w:szCs w:val="22"/>
          <w:lang w:eastAsia="en-US"/>
        </w:rPr>
        <w:t xml:space="preserve">owning the remaining 75% and META </w:t>
      </w:r>
      <w:r w:rsidRPr="000C6C36">
        <w:rPr>
          <w:rFonts w:ascii="Arial" w:eastAsia="Calibri" w:hAnsi="Arial" w:cs="Arial"/>
          <w:sz w:val="22"/>
          <w:szCs w:val="22"/>
          <w:lang w:eastAsia="en-US"/>
        </w:rPr>
        <w:t>becoming a wholly-owned subsidiary of Torchlight.</w:t>
      </w:r>
      <w:r w:rsidRPr="000C6C36" w:rsidDel="004F7A07">
        <w:rPr>
          <w:rFonts w:ascii="Arial" w:eastAsia="Calibri" w:hAnsi="Arial" w:cs="Arial"/>
          <w:sz w:val="22"/>
          <w:szCs w:val="22"/>
          <w:lang w:eastAsia="en-US"/>
        </w:rPr>
        <w:t xml:space="preserve"> </w:t>
      </w:r>
    </w:p>
    <w:p w14:paraId="309B8D7E" w14:textId="2099A4C9" w:rsidR="00FC043B" w:rsidRPr="000C6C36" w:rsidRDefault="00FC043B" w:rsidP="00FC043B">
      <w:pPr>
        <w:numPr>
          <w:ilvl w:val="0"/>
          <w:numId w:val="2"/>
        </w:numPr>
        <w:spacing w:after="60"/>
        <w:jc w:val="both"/>
        <w:rPr>
          <w:rFonts w:ascii="Arial" w:eastAsia="Calibri" w:hAnsi="Arial" w:cs="Arial"/>
          <w:sz w:val="22"/>
          <w:szCs w:val="22"/>
          <w:lang w:eastAsia="en-US"/>
        </w:rPr>
      </w:pPr>
      <w:r w:rsidRPr="000C6C36">
        <w:rPr>
          <w:rFonts w:ascii="Arial" w:eastAsia="Calibri" w:hAnsi="Arial" w:cs="Arial"/>
          <w:sz w:val="22"/>
          <w:szCs w:val="22"/>
          <w:lang w:eastAsia="en-US"/>
        </w:rPr>
        <w:lastRenderedPageBreak/>
        <w:t xml:space="preserve">This ownership split assumes that the Combined Company has </w:t>
      </w:r>
      <w:r w:rsidR="000C6C36">
        <w:rPr>
          <w:rFonts w:ascii="Arial" w:eastAsia="Calibri" w:hAnsi="Arial" w:cs="Arial"/>
          <w:sz w:val="22"/>
          <w:szCs w:val="22"/>
          <w:lang w:eastAsia="en-US"/>
        </w:rPr>
        <w:t>financing of</w:t>
      </w:r>
      <w:r w:rsidRPr="000C6C36">
        <w:rPr>
          <w:rFonts w:ascii="Arial" w:eastAsia="Calibri" w:hAnsi="Arial" w:cs="Arial"/>
          <w:sz w:val="22"/>
          <w:szCs w:val="22"/>
          <w:lang w:eastAsia="en-US"/>
        </w:rPr>
        <w:t xml:space="preserve"> USD $10 million or more </w:t>
      </w:r>
      <w:r w:rsidR="0060113D" w:rsidRPr="000C6C36">
        <w:rPr>
          <w:rFonts w:ascii="Arial" w:eastAsia="Calibri" w:hAnsi="Arial" w:cs="Arial"/>
          <w:sz w:val="22"/>
          <w:szCs w:val="22"/>
          <w:lang w:eastAsia="en-US"/>
        </w:rPr>
        <w:t>net of Torchlight’s debt</w:t>
      </w:r>
      <w:r w:rsidR="000C6C36">
        <w:rPr>
          <w:rFonts w:ascii="Arial" w:eastAsia="Calibri" w:hAnsi="Arial" w:cs="Arial"/>
          <w:sz w:val="22"/>
          <w:szCs w:val="22"/>
          <w:lang w:eastAsia="en-US"/>
        </w:rPr>
        <w:t xml:space="preserve"> </w:t>
      </w:r>
      <w:r w:rsidRPr="000C6C36">
        <w:rPr>
          <w:rFonts w:ascii="Arial" w:eastAsia="Calibri" w:hAnsi="Arial" w:cs="Arial"/>
          <w:sz w:val="22"/>
          <w:szCs w:val="22"/>
          <w:lang w:eastAsia="en-US"/>
        </w:rPr>
        <w:t>prior to closing of the business combination (the “Torchlight Cash Threshold”).</w:t>
      </w:r>
    </w:p>
    <w:p w14:paraId="5A8FD8BD" w14:textId="6C637CD1" w:rsidR="00FC043B" w:rsidRPr="000C6C36" w:rsidRDefault="00FC043B" w:rsidP="00FC043B">
      <w:pPr>
        <w:numPr>
          <w:ilvl w:val="0"/>
          <w:numId w:val="2"/>
        </w:numPr>
        <w:spacing w:after="60"/>
        <w:jc w:val="both"/>
        <w:rPr>
          <w:rFonts w:ascii="Arial" w:eastAsia="Calibri" w:hAnsi="Arial" w:cs="Arial"/>
          <w:sz w:val="22"/>
          <w:szCs w:val="22"/>
          <w:lang w:eastAsia="en-US"/>
        </w:rPr>
      </w:pPr>
      <w:r w:rsidRPr="000C6C36">
        <w:rPr>
          <w:rFonts w:ascii="Arial" w:eastAsia="Calibri" w:hAnsi="Arial" w:cs="Arial"/>
          <w:sz w:val="22"/>
          <w:szCs w:val="22"/>
          <w:lang w:eastAsia="en-US"/>
        </w:rPr>
        <w:t>The Combined Company shall use its commercially reasonable efforts to cause the Torchlight oil and gas assets to be sold by June 30</w:t>
      </w:r>
      <w:r w:rsidRPr="000C6C36">
        <w:rPr>
          <w:rFonts w:ascii="Arial" w:eastAsia="Calibri" w:hAnsi="Arial" w:cs="Arial"/>
          <w:sz w:val="22"/>
          <w:szCs w:val="22"/>
          <w:vertAlign w:val="superscript"/>
          <w:lang w:eastAsia="en-US"/>
        </w:rPr>
        <w:t>th</w:t>
      </w:r>
      <w:r w:rsidRPr="000C6C36">
        <w:rPr>
          <w:rFonts w:ascii="Arial" w:eastAsia="Calibri" w:hAnsi="Arial" w:cs="Arial"/>
          <w:sz w:val="22"/>
          <w:szCs w:val="22"/>
          <w:lang w:eastAsia="en-US"/>
        </w:rPr>
        <w:t>, 2021. Torchlight legacy shareholders will be entitled to a distribution of any values attributable to the sale of Torchlight’s existing oil and gas business asset (net of Torchlight’s debt, and closing expenses incurred in connection with such sale, subject to a 10% holdback to be held for a 12 month period to address any potential liabilities relating to the sale of the oil and gas assets of TRCH’s pre-closing business</w:t>
      </w:r>
      <w:r w:rsidR="00E0336C">
        <w:rPr>
          <w:rFonts w:ascii="Arial" w:eastAsia="Calibri" w:hAnsi="Arial" w:cs="Arial"/>
          <w:sz w:val="22"/>
          <w:szCs w:val="22"/>
          <w:lang w:eastAsia="en-US"/>
        </w:rPr>
        <w:t>)</w:t>
      </w:r>
      <w:r w:rsidRPr="000C6C36">
        <w:rPr>
          <w:rFonts w:ascii="Arial" w:eastAsia="Calibri" w:hAnsi="Arial" w:cs="Arial"/>
          <w:sz w:val="22"/>
          <w:szCs w:val="22"/>
          <w:lang w:eastAsia="en-US"/>
        </w:rPr>
        <w:t xml:space="preserve">. </w:t>
      </w:r>
    </w:p>
    <w:p w14:paraId="5B7AACD1" w14:textId="01A0E1C1" w:rsidR="00FC043B" w:rsidRPr="000C6C36" w:rsidRDefault="00FC043B" w:rsidP="00FC043B">
      <w:pPr>
        <w:numPr>
          <w:ilvl w:val="0"/>
          <w:numId w:val="2"/>
        </w:numPr>
        <w:spacing w:after="60"/>
        <w:jc w:val="both"/>
        <w:rPr>
          <w:rFonts w:ascii="Arial" w:eastAsia="Calibri" w:hAnsi="Arial" w:cs="Arial"/>
          <w:sz w:val="22"/>
          <w:szCs w:val="22"/>
          <w:lang w:eastAsia="en-US"/>
        </w:rPr>
      </w:pPr>
      <w:r w:rsidRPr="000C6C36">
        <w:rPr>
          <w:rFonts w:ascii="Arial" w:eastAsia="Calibri" w:hAnsi="Arial" w:cs="Arial"/>
          <w:sz w:val="22"/>
          <w:szCs w:val="22"/>
          <w:lang w:eastAsia="en-US"/>
        </w:rPr>
        <w:t xml:space="preserve">The Combined Company, formerly known as Torchlight Energy Resources, Inc., will at closing focus its business to align with the current business of META. </w:t>
      </w:r>
    </w:p>
    <w:p w14:paraId="6A33230D" w14:textId="43E4F55C" w:rsidR="00F2509F" w:rsidRPr="000C6C36" w:rsidRDefault="00FC043B" w:rsidP="00FC043B">
      <w:pPr>
        <w:numPr>
          <w:ilvl w:val="0"/>
          <w:numId w:val="2"/>
        </w:numPr>
        <w:spacing w:after="60"/>
        <w:jc w:val="both"/>
        <w:rPr>
          <w:rFonts w:ascii="Arial" w:eastAsia="Calibri" w:hAnsi="Arial" w:cs="Arial"/>
          <w:sz w:val="22"/>
          <w:szCs w:val="22"/>
          <w:lang w:eastAsia="en-US"/>
        </w:rPr>
      </w:pPr>
      <w:r w:rsidRPr="000C6C36">
        <w:rPr>
          <w:rFonts w:ascii="Arial" w:eastAsia="Calibri" w:hAnsi="Arial" w:cs="Arial"/>
          <w:sz w:val="22"/>
          <w:szCs w:val="22"/>
          <w:lang w:eastAsia="en-US"/>
        </w:rPr>
        <w:t xml:space="preserve">Torchlight has loaned USD$500,000 to META </w:t>
      </w:r>
      <w:r w:rsidR="00F2509F" w:rsidRPr="000C6C36">
        <w:rPr>
          <w:rFonts w:ascii="Arial" w:eastAsia="Calibri" w:hAnsi="Arial" w:cs="Arial"/>
          <w:sz w:val="22"/>
          <w:szCs w:val="22"/>
          <w:lang w:eastAsia="en-US"/>
        </w:rPr>
        <w:t>pursuant to an unsecured convertible promissory note</w:t>
      </w:r>
      <w:r w:rsidR="00AB5B4B" w:rsidRPr="000C6C36">
        <w:rPr>
          <w:rFonts w:ascii="Arial" w:eastAsia="Calibri" w:hAnsi="Arial" w:cs="Arial"/>
          <w:sz w:val="22"/>
          <w:szCs w:val="22"/>
          <w:lang w:eastAsia="en-US"/>
        </w:rPr>
        <w:t xml:space="preserve"> </w:t>
      </w:r>
      <w:r w:rsidR="006254E0">
        <w:rPr>
          <w:rFonts w:ascii="Arial" w:eastAsia="Calibri" w:hAnsi="Arial" w:cs="Arial"/>
          <w:sz w:val="22"/>
          <w:szCs w:val="22"/>
          <w:lang w:eastAsia="en-US"/>
        </w:rPr>
        <w:t xml:space="preserve">(the “META Note”) </w:t>
      </w:r>
      <w:r w:rsidR="00AB5B4B" w:rsidRPr="000C6C36">
        <w:rPr>
          <w:rFonts w:ascii="Arial" w:eastAsia="Calibri" w:hAnsi="Arial" w:cs="Arial"/>
          <w:sz w:val="22"/>
          <w:szCs w:val="22"/>
          <w:lang w:eastAsia="en-US"/>
        </w:rPr>
        <w:t>and has agreed to loan an additional USD$500,000 to META within 5 days of signing the Definitive Agreement (in aggregate, the “Loaned Amounts”).</w:t>
      </w:r>
      <w:r w:rsidR="00C944A6">
        <w:rPr>
          <w:rFonts w:ascii="Arial" w:eastAsia="Calibri" w:hAnsi="Arial" w:cs="Arial"/>
          <w:sz w:val="22"/>
          <w:szCs w:val="22"/>
          <w:lang w:eastAsia="en-US"/>
        </w:rPr>
        <w:t xml:space="preserve"> </w:t>
      </w:r>
      <w:r w:rsidR="00B021ED">
        <w:rPr>
          <w:rFonts w:ascii="Arial" w:eastAsia="Calibri" w:hAnsi="Arial" w:cs="Arial"/>
          <w:sz w:val="22"/>
          <w:szCs w:val="22"/>
          <w:lang w:eastAsia="en-US"/>
        </w:rPr>
        <w:t xml:space="preserve"> An entity owned by </w:t>
      </w:r>
      <w:r w:rsidR="00C944A6">
        <w:rPr>
          <w:rFonts w:ascii="Arial" w:eastAsia="Calibri" w:hAnsi="Arial" w:cs="Arial"/>
          <w:sz w:val="22"/>
          <w:szCs w:val="22"/>
          <w:lang w:eastAsia="en-US"/>
        </w:rPr>
        <w:t>Greg McCabe, Torchlight’s Chairman</w:t>
      </w:r>
      <w:r w:rsidR="00B021ED">
        <w:rPr>
          <w:rFonts w:ascii="Arial" w:eastAsia="Calibri" w:hAnsi="Arial" w:cs="Arial"/>
          <w:sz w:val="22"/>
          <w:szCs w:val="22"/>
          <w:lang w:eastAsia="en-US"/>
        </w:rPr>
        <w:t>,</w:t>
      </w:r>
      <w:r w:rsidR="00C944A6">
        <w:rPr>
          <w:rFonts w:ascii="Arial" w:eastAsia="Calibri" w:hAnsi="Arial" w:cs="Arial"/>
          <w:sz w:val="22"/>
          <w:szCs w:val="22"/>
          <w:lang w:eastAsia="en-US"/>
        </w:rPr>
        <w:t xml:space="preserve"> provided a bridge loan to Torchlight for USD $1.5 Million </w:t>
      </w:r>
      <w:r w:rsidR="00B021ED">
        <w:rPr>
          <w:rFonts w:ascii="Arial" w:eastAsia="Calibri" w:hAnsi="Arial" w:cs="Arial"/>
          <w:sz w:val="22"/>
          <w:szCs w:val="22"/>
          <w:lang w:eastAsia="en-US"/>
        </w:rPr>
        <w:t>with a conversion feature of $.375 per common share</w:t>
      </w:r>
      <w:r w:rsidR="006254E0">
        <w:rPr>
          <w:rFonts w:ascii="Arial" w:eastAsia="Calibri" w:hAnsi="Arial" w:cs="Arial"/>
          <w:sz w:val="22"/>
          <w:szCs w:val="22"/>
          <w:lang w:eastAsia="en-US"/>
        </w:rPr>
        <w:t xml:space="preserve"> of Torchlight</w:t>
      </w:r>
      <w:r w:rsidR="00B021ED">
        <w:rPr>
          <w:rFonts w:ascii="Arial" w:eastAsia="Calibri" w:hAnsi="Arial" w:cs="Arial"/>
          <w:sz w:val="22"/>
          <w:szCs w:val="22"/>
          <w:lang w:eastAsia="en-US"/>
        </w:rPr>
        <w:t>.</w:t>
      </w:r>
    </w:p>
    <w:p w14:paraId="3A46153A" w14:textId="442774A2" w:rsidR="00AB5B4B" w:rsidRPr="000C6C36" w:rsidRDefault="00F2509F" w:rsidP="00FC043B">
      <w:pPr>
        <w:numPr>
          <w:ilvl w:val="0"/>
          <w:numId w:val="2"/>
        </w:numPr>
        <w:spacing w:after="60"/>
        <w:jc w:val="both"/>
        <w:rPr>
          <w:rFonts w:ascii="Arial" w:eastAsia="Calibri" w:hAnsi="Arial" w:cs="Arial"/>
          <w:sz w:val="22"/>
          <w:szCs w:val="22"/>
          <w:lang w:eastAsia="en-US"/>
        </w:rPr>
      </w:pPr>
      <w:r w:rsidRPr="000C6C36">
        <w:rPr>
          <w:rFonts w:ascii="Arial" w:eastAsia="Calibri" w:hAnsi="Arial" w:cs="Arial"/>
          <w:sz w:val="22"/>
          <w:szCs w:val="22"/>
          <w:lang w:eastAsia="en-US"/>
        </w:rPr>
        <w:t xml:space="preserve">The </w:t>
      </w:r>
      <w:r w:rsidR="00B021ED">
        <w:rPr>
          <w:rFonts w:ascii="Arial" w:eastAsia="Calibri" w:hAnsi="Arial" w:cs="Arial"/>
          <w:sz w:val="22"/>
          <w:szCs w:val="22"/>
          <w:lang w:eastAsia="en-US"/>
        </w:rPr>
        <w:t xml:space="preserve">META </w:t>
      </w:r>
      <w:r w:rsidRPr="000C6C36">
        <w:rPr>
          <w:rFonts w:ascii="Arial" w:eastAsia="Calibri" w:hAnsi="Arial" w:cs="Arial"/>
          <w:sz w:val="22"/>
          <w:szCs w:val="22"/>
          <w:lang w:eastAsia="en-US"/>
        </w:rPr>
        <w:t xml:space="preserve">Note is for a </w:t>
      </w:r>
      <w:r w:rsidR="00C944A6">
        <w:rPr>
          <w:rFonts w:ascii="Arial" w:eastAsia="Calibri" w:hAnsi="Arial" w:cs="Arial"/>
          <w:sz w:val="22"/>
          <w:szCs w:val="22"/>
          <w:lang w:eastAsia="en-US"/>
        </w:rPr>
        <w:t>24</w:t>
      </w:r>
      <w:r w:rsidR="00C944A6" w:rsidRPr="000C6C36">
        <w:rPr>
          <w:rFonts w:ascii="Arial" w:eastAsia="Calibri" w:hAnsi="Arial" w:cs="Arial"/>
          <w:sz w:val="22"/>
          <w:szCs w:val="22"/>
          <w:lang w:eastAsia="en-US"/>
        </w:rPr>
        <w:t>-month</w:t>
      </w:r>
      <w:r w:rsidRPr="000C6C36">
        <w:rPr>
          <w:rFonts w:ascii="Arial" w:eastAsia="Calibri" w:hAnsi="Arial" w:cs="Arial"/>
          <w:sz w:val="22"/>
          <w:szCs w:val="22"/>
          <w:lang w:eastAsia="en-US"/>
        </w:rPr>
        <w:t xml:space="preserve"> term and bears interest </w:t>
      </w:r>
      <w:r w:rsidR="00AB5B4B" w:rsidRPr="000C6C36">
        <w:rPr>
          <w:rFonts w:ascii="Arial" w:eastAsia="Calibri" w:hAnsi="Arial" w:cs="Arial"/>
          <w:sz w:val="22"/>
          <w:szCs w:val="22"/>
          <w:lang w:eastAsia="en-US"/>
        </w:rPr>
        <w:t xml:space="preserve">at 8%, with principal and interest due in a lump sum at maturity.  If parties do not enter into the Definitive Agreement by </w:t>
      </w:r>
      <w:r w:rsidR="006254E0">
        <w:rPr>
          <w:rFonts w:ascii="Arial" w:eastAsia="Calibri" w:hAnsi="Arial" w:cs="Arial"/>
          <w:sz w:val="22"/>
          <w:szCs w:val="22"/>
          <w:lang w:eastAsia="en-US"/>
        </w:rPr>
        <w:t>November 2</w:t>
      </w:r>
      <w:r w:rsidR="00AB5B4B" w:rsidRPr="000C6C36">
        <w:rPr>
          <w:rFonts w:ascii="Arial" w:eastAsia="Calibri" w:hAnsi="Arial" w:cs="Arial"/>
          <w:sz w:val="22"/>
          <w:szCs w:val="22"/>
          <w:lang w:eastAsia="en-US"/>
        </w:rPr>
        <w:t xml:space="preserve">, 2020, or such later date as agreed in writing, or the Definitive Agreement is terminated, the </w:t>
      </w:r>
      <w:r w:rsidR="00B021ED">
        <w:rPr>
          <w:rFonts w:ascii="Arial" w:eastAsia="Calibri" w:hAnsi="Arial" w:cs="Arial"/>
          <w:sz w:val="22"/>
          <w:szCs w:val="22"/>
          <w:lang w:eastAsia="en-US"/>
        </w:rPr>
        <w:t xml:space="preserve">holder of the META Note will have the right to convert the </w:t>
      </w:r>
      <w:r w:rsidR="00197AE3" w:rsidRPr="000C6C36">
        <w:rPr>
          <w:rFonts w:ascii="Arial" w:eastAsia="Calibri" w:hAnsi="Arial" w:cs="Arial"/>
          <w:sz w:val="22"/>
          <w:szCs w:val="22"/>
          <w:lang w:eastAsia="en-US"/>
        </w:rPr>
        <w:t>Loaned Amounts</w:t>
      </w:r>
      <w:r w:rsidR="00AB5B4B" w:rsidRPr="000C6C36">
        <w:rPr>
          <w:rFonts w:ascii="Arial" w:eastAsia="Calibri" w:hAnsi="Arial" w:cs="Arial"/>
          <w:sz w:val="22"/>
          <w:szCs w:val="22"/>
          <w:lang w:eastAsia="en-US"/>
        </w:rPr>
        <w:t xml:space="preserve"> and </w:t>
      </w:r>
      <w:r w:rsidR="00197AE3" w:rsidRPr="000C6C36">
        <w:rPr>
          <w:rFonts w:ascii="Arial" w:eastAsia="Calibri" w:hAnsi="Arial" w:cs="Arial"/>
          <w:sz w:val="22"/>
          <w:szCs w:val="22"/>
          <w:lang w:eastAsia="en-US"/>
        </w:rPr>
        <w:t xml:space="preserve">all accrued </w:t>
      </w:r>
      <w:r w:rsidR="00AB5B4B" w:rsidRPr="000C6C36">
        <w:rPr>
          <w:rFonts w:ascii="Arial" w:eastAsia="Calibri" w:hAnsi="Arial" w:cs="Arial"/>
          <w:sz w:val="22"/>
          <w:szCs w:val="22"/>
          <w:lang w:eastAsia="en-US"/>
        </w:rPr>
        <w:t xml:space="preserve">interest </w:t>
      </w:r>
      <w:r w:rsidR="00197AE3" w:rsidRPr="000C6C36">
        <w:rPr>
          <w:rFonts w:ascii="Arial" w:eastAsia="Calibri" w:hAnsi="Arial" w:cs="Arial"/>
          <w:sz w:val="22"/>
          <w:szCs w:val="22"/>
          <w:lang w:eastAsia="en-US"/>
        </w:rPr>
        <w:t>thereon</w:t>
      </w:r>
      <w:r w:rsidR="00B021ED">
        <w:rPr>
          <w:rFonts w:ascii="Arial" w:eastAsia="Calibri" w:hAnsi="Arial" w:cs="Arial"/>
          <w:sz w:val="22"/>
          <w:szCs w:val="22"/>
          <w:lang w:eastAsia="en-US"/>
        </w:rPr>
        <w:t xml:space="preserve"> </w:t>
      </w:r>
      <w:r w:rsidR="00AB5B4B" w:rsidRPr="000C6C36">
        <w:rPr>
          <w:rFonts w:ascii="Arial" w:eastAsia="Calibri" w:hAnsi="Arial" w:cs="Arial"/>
          <w:sz w:val="22"/>
          <w:szCs w:val="22"/>
          <w:lang w:eastAsia="en-US"/>
        </w:rPr>
        <w:t>into META common shares at $0.35 (CAD) per common share.</w:t>
      </w:r>
    </w:p>
    <w:p w14:paraId="57617D28" w14:textId="77777777" w:rsidR="00FC043B" w:rsidRPr="000C6C36" w:rsidRDefault="00FC043B" w:rsidP="00FC043B">
      <w:pPr>
        <w:numPr>
          <w:ilvl w:val="0"/>
          <w:numId w:val="2"/>
        </w:numPr>
        <w:spacing w:after="60"/>
        <w:jc w:val="both"/>
        <w:rPr>
          <w:rFonts w:ascii="Arial" w:eastAsia="Calibri" w:hAnsi="Arial" w:cs="Arial"/>
          <w:sz w:val="22"/>
          <w:szCs w:val="22"/>
          <w:lang w:eastAsia="en-US"/>
        </w:rPr>
      </w:pPr>
      <w:r w:rsidRPr="000C6C36">
        <w:rPr>
          <w:rFonts w:ascii="Arial" w:eastAsia="Calibri" w:hAnsi="Arial" w:cs="Arial"/>
          <w:sz w:val="22"/>
          <w:szCs w:val="22"/>
          <w:lang w:eastAsia="en-US"/>
        </w:rPr>
        <w:t>Following the Closing of the Transaction the board of directors of the combined company shall be comprised of 7 members (a) one of whom shall be appointed by Torchlight , subject to the approval of META and (b) one of whom shall be jointly agreed to by META and Torchlight . META shall appoint the 5 remaining members of the Board, which members must include the required number of independent members to maintain the NASDAQ listing requirement.</w:t>
      </w:r>
    </w:p>
    <w:p w14:paraId="520B4245" w14:textId="26CD9AA8" w:rsidR="00FC043B" w:rsidRPr="00B021ED" w:rsidRDefault="00FC043B" w:rsidP="00FC043B">
      <w:pPr>
        <w:numPr>
          <w:ilvl w:val="0"/>
          <w:numId w:val="2"/>
        </w:numPr>
        <w:spacing w:after="60"/>
        <w:jc w:val="both"/>
        <w:rPr>
          <w:rFonts w:ascii="Arial" w:eastAsia="Calibri" w:hAnsi="Arial" w:cs="Arial"/>
          <w:b/>
          <w:sz w:val="22"/>
          <w:szCs w:val="22"/>
          <w:lang w:eastAsia="en-US"/>
        </w:rPr>
      </w:pPr>
      <w:r w:rsidRPr="000C6C36">
        <w:rPr>
          <w:rFonts w:ascii="Arial" w:eastAsia="Calibri" w:hAnsi="Arial" w:cs="Arial"/>
          <w:sz w:val="22"/>
          <w:szCs w:val="22"/>
          <w:lang w:eastAsia="en-US"/>
        </w:rPr>
        <w:t xml:space="preserve">META’s CEO, George Palikaras to be appointed CEO of the </w:t>
      </w:r>
      <w:r w:rsidR="00F2509F" w:rsidRPr="000C6C36">
        <w:rPr>
          <w:rFonts w:ascii="Arial" w:eastAsia="Calibri" w:hAnsi="Arial" w:cs="Arial"/>
          <w:sz w:val="22"/>
          <w:szCs w:val="22"/>
          <w:lang w:eastAsia="en-US"/>
        </w:rPr>
        <w:t>C</w:t>
      </w:r>
      <w:r w:rsidRPr="000C6C36">
        <w:rPr>
          <w:rFonts w:ascii="Arial" w:eastAsia="Calibri" w:hAnsi="Arial" w:cs="Arial"/>
          <w:sz w:val="22"/>
          <w:szCs w:val="22"/>
          <w:lang w:eastAsia="en-US"/>
        </w:rPr>
        <w:t xml:space="preserve">ombined </w:t>
      </w:r>
      <w:r w:rsidR="00F2509F" w:rsidRPr="000C6C36">
        <w:rPr>
          <w:rFonts w:ascii="Arial" w:eastAsia="Calibri" w:hAnsi="Arial" w:cs="Arial"/>
          <w:sz w:val="22"/>
          <w:szCs w:val="22"/>
          <w:lang w:eastAsia="en-US"/>
        </w:rPr>
        <w:t>C</w:t>
      </w:r>
      <w:r w:rsidRPr="000C6C36">
        <w:rPr>
          <w:rFonts w:ascii="Arial" w:eastAsia="Calibri" w:hAnsi="Arial" w:cs="Arial"/>
          <w:sz w:val="22"/>
          <w:szCs w:val="22"/>
          <w:lang w:eastAsia="en-US"/>
        </w:rPr>
        <w:t>ompany</w:t>
      </w:r>
      <w:r w:rsidR="00EC5650">
        <w:rPr>
          <w:rFonts w:ascii="Arial" w:eastAsia="Calibri" w:hAnsi="Arial" w:cs="Arial"/>
          <w:sz w:val="22"/>
          <w:szCs w:val="22"/>
          <w:lang w:eastAsia="en-US"/>
        </w:rPr>
        <w:t>, along with the appointment of</w:t>
      </w:r>
      <w:r w:rsidRPr="000C6C36">
        <w:rPr>
          <w:rFonts w:ascii="Arial" w:eastAsia="Calibri" w:hAnsi="Arial" w:cs="Arial"/>
          <w:sz w:val="22"/>
          <w:szCs w:val="22"/>
          <w:lang w:eastAsia="en-US"/>
        </w:rPr>
        <w:t xml:space="preserve"> a new CFO. Torchlight’s </w:t>
      </w:r>
      <w:r w:rsidR="00EC5650">
        <w:rPr>
          <w:rFonts w:ascii="Arial" w:eastAsia="Calibri" w:hAnsi="Arial" w:cs="Arial"/>
          <w:sz w:val="22"/>
          <w:szCs w:val="22"/>
          <w:lang w:eastAsia="en-US"/>
        </w:rPr>
        <w:t>management is</w:t>
      </w:r>
      <w:r w:rsidRPr="000C6C36">
        <w:rPr>
          <w:rFonts w:ascii="Arial" w:eastAsia="Calibri" w:hAnsi="Arial" w:cs="Arial"/>
          <w:sz w:val="22"/>
          <w:szCs w:val="22"/>
          <w:lang w:eastAsia="en-US"/>
        </w:rPr>
        <w:t xml:space="preserve"> to remain in an advisory role focused on winding down the Torchlight legacy business and maximizing the value obtained from </w:t>
      </w:r>
      <w:r w:rsidR="00F2509F" w:rsidRPr="000C6C36">
        <w:rPr>
          <w:rFonts w:ascii="Arial" w:eastAsia="Calibri" w:hAnsi="Arial" w:cs="Arial"/>
          <w:sz w:val="22"/>
          <w:szCs w:val="22"/>
          <w:lang w:eastAsia="en-US"/>
        </w:rPr>
        <w:t xml:space="preserve">the </w:t>
      </w:r>
      <w:r w:rsidR="00EC5650">
        <w:rPr>
          <w:rFonts w:ascii="Arial" w:eastAsia="Calibri" w:hAnsi="Arial" w:cs="Arial"/>
          <w:sz w:val="22"/>
          <w:szCs w:val="22"/>
          <w:lang w:eastAsia="en-US"/>
        </w:rPr>
        <w:t>divestiture</w:t>
      </w:r>
      <w:r w:rsidRPr="000C6C36">
        <w:rPr>
          <w:rFonts w:ascii="Arial" w:eastAsia="Calibri" w:hAnsi="Arial" w:cs="Arial"/>
          <w:sz w:val="22"/>
          <w:szCs w:val="22"/>
          <w:lang w:eastAsia="en-US"/>
        </w:rPr>
        <w:t xml:space="preserve"> of the Torchlight oil and gas assets.</w:t>
      </w:r>
    </w:p>
    <w:p w14:paraId="53B0F23F" w14:textId="6497C797" w:rsidR="00EB053B" w:rsidRPr="00B021ED" w:rsidRDefault="00EB053B" w:rsidP="00EB053B">
      <w:pPr>
        <w:numPr>
          <w:ilvl w:val="0"/>
          <w:numId w:val="2"/>
        </w:numPr>
        <w:spacing w:after="60"/>
        <w:jc w:val="both"/>
        <w:rPr>
          <w:rFonts w:ascii="Arial" w:eastAsia="Calibri" w:hAnsi="Arial" w:cs="Arial"/>
          <w:sz w:val="22"/>
          <w:szCs w:val="22"/>
          <w:lang w:eastAsia="en-US"/>
        </w:rPr>
      </w:pPr>
      <w:r>
        <w:rPr>
          <w:rFonts w:ascii="Arial" w:eastAsia="Calibri" w:hAnsi="Arial" w:cs="Arial"/>
          <w:sz w:val="22"/>
          <w:szCs w:val="22"/>
          <w:lang w:eastAsia="en-US"/>
        </w:rPr>
        <w:t xml:space="preserve">Pursuant to the LOI, both Torchlight and META are prohibited from directly or indirectly soliciting or participating in any discussions regarding a sale of their business until </w:t>
      </w:r>
      <w:r w:rsidR="006254E0">
        <w:rPr>
          <w:rFonts w:ascii="Arial" w:eastAsia="Calibri" w:hAnsi="Arial" w:cs="Arial"/>
          <w:sz w:val="22"/>
          <w:szCs w:val="22"/>
          <w:lang w:eastAsia="en-US"/>
        </w:rPr>
        <w:t>November 2</w:t>
      </w:r>
      <w:r>
        <w:rPr>
          <w:rFonts w:ascii="Arial" w:eastAsia="Calibri" w:hAnsi="Arial" w:cs="Arial"/>
          <w:sz w:val="22"/>
          <w:szCs w:val="22"/>
          <w:lang w:eastAsia="en-US"/>
        </w:rPr>
        <w:t>, 2020</w:t>
      </w:r>
      <w:r w:rsidR="00B021ED">
        <w:rPr>
          <w:rFonts w:ascii="Arial" w:eastAsia="Calibri" w:hAnsi="Arial" w:cs="Arial"/>
          <w:sz w:val="22"/>
          <w:szCs w:val="22"/>
          <w:lang w:eastAsia="en-US"/>
        </w:rPr>
        <w:t>, unless extended in writing by both parties</w:t>
      </w:r>
      <w:r>
        <w:rPr>
          <w:rFonts w:ascii="Arial" w:eastAsia="Calibri" w:hAnsi="Arial" w:cs="Arial"/>
          <w:sz w:val="22"/>
          <w:szCs w:val="22"/>
          <w:lang w:eastAsia="en-US"/>
        </w:rPr>
        <w:t>.</w:t>
      </w:r>
    </w:p>
    <w:p w14:paraId="14FA29A2" w14:textId="0C223CCD" w:rsidR="00FC043B" w:rsidRDefault="00FC043B" w:rsidP="00FC043B">
      <w:pPr>
        <w:jc w:val="both"/>
        <w:rPr>
          <w:rFonts w:ascii="Arial" w:eastAsia="Calibri" w:hAnsi="Arial" w:cs="Arial"/>
          <w:sz w:val="22"/>
          <w:szCs w:val="22"/>
          <w:lang w:eastAsia="en-US"/>
        </w:rPr>
      </w:pPr>
    </w:p>
    <w:p w14:paraId="18833122" w14:textId="77777777" w:rsidR="00EB053B" w:rsidRPr="000C6C36" w:rsidRDefault="00EB053B" w:rsidP="00FC043B">
      <w:pPr>
        <w:jc w:val="both"/>
        <w:rPr>
          <w:rFonts w:ascii="Arial" w:eastAsia="Calibri" w:hAnsi="Arial" w:cs="Arial"/>
          <w:sz w:val="22"/>
          <w:szCs w:val="22"/>
          <w:lang w:eastAsia="en-US"/>
        </w:rPr>
      </w:pPr>
    </w:p>
    <w:p w14:paraId="38587CE4" w14:textId="04C9C54D" w:rsidR="00FC043B" w:rsidRPr="000C6C36" w:rsidRDefault="00E0336C" w:rsidP="00FC043B">
      <w:pPr>
        <w:jc w:val="both"/>
        <w:rPr>
          <w:rFonts w:ascii="Arial" w:eastAsia="Calibri" w:hAnsi="Arial" w:cs="Arial"/>
          <w:b/>
          <w:bCs/>
          <w:sz w:val="22"/>
          <w:szCs w:val="22"/>
          <w:lang w:eastAsia="en-US"/>
        </w:rPr>
      </w:pPr>
      <w:r>
        <w:rPr>
          <w:rFonts w:ascii="Arial" w:eastAsia="Calibri" w:hAnsi="Arial" w:cs="Arial"/>
          <w:b/>
          <w:bCs/>
          <w:sz w:val="22"/>
          <w:szCs w:val="22"/>
          <w:lang w:eastAsia="en-US"/>
        </w:rPr>
        <w:t>Entry into a transaction</w:t>
      </w:r>
      <w:r w:rsidR="00FC043B" w:rsidRPr="000C6C36">
        <w:rPr>
          <w:rFonts w:ascii="Arial" w:eastAsia="Calibri" w:hAnsi="Arial" w:cs="Arial"/>
          <w:b/>
          <w:bCs/>
          <w:sz w:val="22"/>
          <w:szCs w:val="22"/>
          <w:lang w:eastAsia="en-US"/>
        </w:rPr>
        <w:t xml:space="preserve"> will be subject to satisfactory completion of due diligence by</w:t>
      </w:r>
      <w:r w:rsidR="00F2509F" w:rsidRPr="000C6C36">
        <w:rPr>
          <w:rFonts w:ascii="Arial" w:eastAsia="Calibri" w:hAnsi="Arial" w:cs="Arial"/>
          <w:b/>
          <w:bCs/>
          <w:sz w:val="22"/>
          <w:szCs w:val="22"/>
          <w:lang w:eastAsia="en-US"/>
        </w:rPr>
        <w:t xml:space="preserve"> </w:t>
      </w:r>
      <w:r w:rsidR="00FC043B" w:rsidRPr="000C6C36">
        <w:rPr>
          <w:rFonts w:ascii="Arial" w:eastAsia="Calibri" w:hAnsi="Arial" w:cs="Arial"/>
          <w:b/>
          <w:bCs/>
          <w:sz w:val="22"/>
          <w:szCs w:val="22"/>
          <w:lang w:eastAsia="en-US"/>
        </w:rPr>
        <w:t>both parties, negotiation of a Definitive Agreement</w:t>
      </w:r>
      <w:r>
        <w:rPr>
          <w:rFonts w:ascii="Arial" w:eastAsia="Calibri" w:hAnsi="Arial" w:cs="Arial"/>
          <w:b/>
          <w:bCs/>
          <w:sz w:val="22"/>
          <w:szCs w:val="22"/>
          <w:lang w:eastAsia="en-US"/>
        </w:rPr>
        <w:t xml:space="preserve"> and </w:t>
      </w:r>
      <w:r w:rsidR="00FC043B" w:rsidRPr="000C6C36">
        <w:rPr>
          <w:rFonts w:ascii="Arial" w:eastAsia="Calibri" w:hAnsi="Arial" w:cs="Arial"/>
          <w:b/>
          <w:bCs/>
          <w:sz w:val="22"/>
          <w:szCs w:val="22"/>
          <w:lang w:eastAsia="en-US"/>
        </w:rPr>
        <w:t>audits of Torchlight and META</w:t>
      </w:r>
      <w:r>
        <w:rPr>
          <w:rFonts w:ascii="Arial" w:eastAsia="Calibri" w:hAnsi="Arial" w:cs="Arial"/>
          <w:b/>
          <w:bCs/>
          <w:sz w:val="22"/>
          <w:szCs w:val="22"/>
          <w:lang w:eastAsia="en-US"/>
        </w:rPr>
        <w:t>.  If a Definitive Agreement is entered into, it is expected that the closing of a transaction will include customary</w:t>
      </w:r>
      <w:r w:rsidR="005979EF">
        <w:rPr>
          <w:rFonts w:ascii="Arial" w:eastAsia="Calibri" w:hAnsi="Arial" w:cs="Arial"/>
          <w:b/>
          <w:bCs/>
          <w:sz w:val="22"/>
          <w:szCs w:val="22"/>
          <w:lang w:eastAsia="en-US"/>
        </w:rPr>
        <w:t xml:space="preserve"> closing conditions, including</w:t>
      </w:r>
      <w:r w:rsidR="00FC043B" w:rsidRPr="000C6C36">
        <w:rPr>
          <w:rFonts w:ascii="Arial" w:eastAsia="Calibri" w:hAnsi="Arial" w:cs="Arial"/>
          <w:b/>
          <w:bCs/>
          <w:sz w:val="22"/>
          <w:szCs w:val="22"/>
          <w:lang w:eastAsia="en-US"/>
        </w:rPr>
        <w:t xml:space="preserve"> </w:t>
      </w:r>
      <w:r w:rsidR="00F2509F" w:rsidRPr="000C6C36">
        <w:rPr>
          <w:rFonts w:ascii="Arial" w:eastAsia="Calibri" w:hAnsi="Arial" w:cs="Arial"/>
          <w:b/>
          <w:bCs/>
          <w:sz w:val="22"/>
          <w:szCs w:val="22"/>
          <w:lang w:eastAsia="en-US"/>
        </w:rPr>
        <w:t>NASDAQ</w:t>
      </w:r>
      <w:r w:rsidR="00FC043B" w:rsidRPr="000C6C36">
        <w:rPr>
          <w:rFonts w:ascii="Arial" w:eastAsia="Calibri" w:hAnsi="Arial" w:cs="Arial"/>
          <w:b/>
          <w:bCs/>
          <w:sz w:val="22"/>
          <w:szCs w:val="22"/>
          <w:lang w:eastAsia="en-US"/>
        </w:rPr>
        <w:t xml:space="preserve"> and CSE approval</w:t>
      </w:r>
      <w:r w:rsidR="005979EF">
        <w:rPr>
          <w:rFonts w:ascii="Arial" w:eastAsia="Calibri" w:hAnsi="Arial" w:cs="Arial"/>
          <w:b/>
          <w:bCs/>
          <w:sz w:val="22"/>
          <w:szCs w:val="22"/>
          <w:lang w:eastAsia="en-US"/>
        </w:rPr>
        <w:t xml:space="preserve"> </w:t>
      </w:r>
      <w:r w:rsidR="00FC043B" w:rsidRPr="000C6C36">
        <w:rPr>
          <w:rFonts w:ascii="Arial" w:eastAsia="Calibri" w:hAnsi="Arial" w:cs="Arial"/>
          <w:b/>
          <w:bCs/>
          <w:sz w:val="22"/>
          <w:szCs w:val="22"/>
          <w:lang w:eastAsia="en-US"/>
        </w:rPr>
        <w:t>and approval by the shareholders of both companies</w:t>
      </w:r>
      <w:r w:rsidR="005979EF">
        <w:rPr>
          <w:rFonts w:ascii="Arial" w:eastAsia="Calibri" w:hAnsi="Arial" w:cs="Arial"/>
          <w:b/>
          <w:bCs/>
          <w:sz w:val="22"/>
          <w:szCs w:val="22"/>
          <w:lang w:eastAsia="en-US"/>
        </w:rPr>
        <w:t>, in addition to the closing conditions described above</w:t>
      </w:r>
      <w:r w:rsidR="00FC043B" w:rsidRPr="000C6C36">
        <w:rPr>
          <w:rFonts w:ascii="Arial" w:eastAsia="Calibri" w:hAnsi="Arial" w:cs="Arial"/>
          <w:b/>
          <w:bCs/>
          <w:sz w:val="22"/>
          <w:szCs w:val="22"/>
          <w:lang w:eastAsia="en-US"/>
        </w:rPr>
        <w:t>.  There can be no assurances that a transaction will be consummated as a result of the LOI.</w:t>
      </w:r>
    </w:p>
    <w:p w14:paraId="35BBFEAF" w14:textId="77777777" w:rsidR="00FC043B" w:rsidRPr="000C6C36" w:rsidRDefault="00FC043B" w:rsidP="00FC043B">
      <w:pPr>
        <w:jc w:val="both"/>
        <w:rPr>
          <w:rFonts w:ascii="Arial" w:eastAsia="Calibri" w:hAnsi="Arial" w:cs="Arial"/>
          <w:sz w:val="22"/>
          <w:szCs w:val="22"/>
          <w:lang w:eastAsia="en-US"/>
        </w:rPr>
      </w:pPr>
    </w:p>
    <w:p w14:paraId="082660D6" w14:textId="77777777" w:rsidR="00FC043B" w:rsidRPr="000C6C36" w:rsidRDefault="00FC043B" w:rsidP="00FC043B">
      <w:pPr>
        <w:jc w:val="both"/>
        <w:rPr>
          <w:rFonts w:ascii="Arial" w:eastAsia="Calibri" w:hAnsi="Arial" w:cs="Arial"/>
          <w:sz w:val="22"/>
          <w:szCs w:val="22"/>
          <w:lang w:eastAsia="en-US"/>
        </w:rPr>
      </w:pPr>
      <w:r w:rsidRPr="000C6C36">
        <w:rPr>
          <w:rFonts w:ascii="Arial" w:eastAsia="Calibri" w:hAnsi="Arial" w:cs="Arial"/>
          <w:sz w:val="22"/>
          <w:szCs w:val="22"/>
          <w:lang w:eastAsia="en-US"/>
        </w:rPr>
        <w:lastRenderedPageBreak/>
        <w:t>Torchlight has engaged Roth Capital Partners as financial advisor in connection with the transaction. META has engaged Hamilton Clark as financial advisor on its behalf. Additional details will be announced if and when a Definitive Agreement is reached.</w:t>
      </w:r>
    </w:p>
    <w:p w14:paraId="435D9C60" w14:textId="77777777" w:rsidR="00FC043B" w:rsidRPr="000C6C36" w:rsidRDefault="00FC043B" w:rsidP="00FC043B">
      <w:pPr>
        <w:jc w:val="both"/>
        <w:rPr>
          <w:rFonts w:ascii="Arial" w:hAnsi="Arial" w:cs="Arial"/>
          <w:b/>
          <w:sz w:val="22"/>
          <w:szCs w:val="22"/>
        </w:rPr>
      </w:pPr>
    </w:p>
    <w:p w14:paraId="7944F646" w14:textId="77777777" w:rsidR="00FC043B" w:rsidRPr="000C6C36" w:rsidRDefault="00FC043B" w:rsidP="00FC043B">
      <w:pPr>
        <w:jc w:val="center"/>
        <w:rPr>
          <w:rFonts w:ascii="Arial" w:hAnsi="Arial" w:cs="Arial"/>
          <w:bCs/>
          <w:sz w:val="22"/>
          <w:szCs w:val="22"/>
        </w:rPr>
      </w:pPr>
      <w:r w:rsidRPr="000C6C36">
        <w:rPr>
          <w:rFonts w:ascii="Arial" w:hAnsi="Arial" w:cs="Arial"/>
          <w:bCs/>
          <w:sz w:val="22"/>
          <w:szCs w:val="22"/>
        </w:rPr>
        <w:t>####</w:t>
      </w:r>
    </w:p>
    <w:p w14:paraId="65A8CEBE" w14:textId="77777777" w:rsidR="00FC043B" w:rsidRPr="000C6C36" w:rsidRDefault="00FC043B" w:rsidP="00FC043B">
      <w:pPr>
        <w:jc w:val="both"/>
        <w:rPr>
          <w:rFonts w:ascii="Arial" w:hAnsi="Arial" w:cs="Arial"/>
          <w:b/>
          <w:bCs/>
          <w:sz w:val="22"/>
          <w:szCs w:val="22"/>
        </w:rPr>
      </w:pPr>
    </w:p>
    <w:p w14:paraId="18103DD8" w14:textId="4F8E62C3" w:rsidR="00FC043B" w:rsidRPr="000C6C36" w:rsidRDefault="00FC043B" w:rsidP="00FC043B">
      <w:pPr>
        <w:jc w:val="both"/>
        <w:rPr>
          <w:rFonts w:ascii="Arial" w:hAnsi="Arial" w:cs="Arial"/>
          <w:b/>
          <w:sz w:val="22"/>
          <w:szCs w:val="22"/>
        </w:rPr>
      </w:pPr>
      <w:r w:rsidRPr="000C6C36">
        <w:rPr>
          <w:rFonts w:ascii="Arial" w:hAnsi="Arial" w:cs="Arial"/>
          <w:b/>
          <w:sz w:val="22"/>
          <w:szCs w:val="22"/>
        </w:rPr>
        <w:t xml:space="preserve">Investor Relations </w:t>
      </w:r>
      <w:r w:rsidR="00F36D4F" w:rsidRPr="000C6C36">
        <w:rPr>
          <w:rFonts w:ascii="Arial" w:hAnsi="Arial" w:cs="Arial"/>
          <w:b/>
          <w:sz w:val="22"/>
          <w:szCs w:val="22"/>
        </w:rPr>
        <w:t xml:space="preserve">and Media </w:t>
      </w:r>
      <w:r w:rsidRPr="000C6C36">
        <w:rPr>
          <w:rFonts w:ascii="Arial" w:hAnsi="Arial" w:cs="Arial"/>
          <w:b/>
          <w:sz w:val="22"/>
          <w:szCs w:val="22"/>
        </w:rPr>
        <w:t>Contacts</w:t>
      </w:r>
    </w:p>
    <w:p w14:paraId="422153BF" w14:textId="77777777" w:rsidR="00FC043B" w:rsidRPr="000C6C36" w:rsidRDefault="00FC043B" w:rsidP="00FC043B">
      <w:pPr>
        <w:jc w:val="both"/>
        <w:rPr>
          <w:rFonts w:ascii="Arial" w:hAnsi="Arial" w:cs="Arial"/>
          <w:b/>
          <w:sz w:val="22"/>
          <w:szCs w:val="22"/>
        </w:rPr>
      </w:pPr>
    </w:p>
    <w:p w14:paraId="13969CC8" w14:textId="77777777" w:rsidR="00FC043B" w:rsidRPr="000C6C36" w:rsidRDefault="00FC043B" w:rsidP="00FC043B">
      <w:pPr>
        <w:jc w:val="both"/>
        <w:rPr>
          <w:rFonts w:ascii="Arial" w:hAnsi="Arial" w:cs="Arial"/>
          <w:b/>
          <w:sz w:val="22"/>
          <w:szCs w:val="22"/>
        </w:rPr>
      </w:pPr>
      <w:r w:rsidRPr="000C6C36">
        <w:rPr>
          <w:rFonts w:ascii="Arial" w:hAnsi="Arial" w:cs="Arial"/>
          <w:b/>
          <w:sz w:val="22"/>
          <w:szCs w:val="22"/>
        </w:rPr>
        <w:t>Torchlight:</w:t>
      </w:r>
    </w:p>
    <w:p w14:paraId="36BAA13D" w14:textId="77777777" w:rsidR="00046057" w:rsidRPr="000C6C36" w:rsidRDefault="00046057" w:rsidP="00FC043B">
      <w:pPr>
        <w:jc w:val="both"/>
        <w:rPr>
          <w:rFonts w:ascii="Arial" w:hAnsi="Arial" w:cs="Arial"/>
          <w:sz w:val="22"/>
          <w:szCs w:val="22"/>
        </w:rPr>
      </w:pPr>
    </w:p>
    <w:p w14:paraId="140968B2" w14:textId="20F01DF9" w:rsidR="00FC043B" w:rsidRPr="000C6C36" w:rsidRDefault="00FC043B" w:rsidP="00FC043B">
      <w:pPr>
        <w:jc w:val="both"/>
        <w:rPr>
          <w:rFonts w:ascii="Arial" w:hAnsi="Arial" w:cs="Arial"/>
          <w:sz w:val="22"/>
          <w:szCs w:val="22"/>
        </w:rPr>
      </w:pPr>
      <w:r w:rsidRPr="000C6C36">
        <w:rPr>
          <w:rFonts w:ascii="Arial" w:hAnsi="Arial" w:cs="Arial"/>
          <w:sz w:val="22"/>
          <w:szCs w:val="22"/>
        </w:rPr>
        <w:t>Derek Gradwell</w:t>
      </w:r>
    </w:p>
    <w:p w14:paraId="48022571" w14:textId="77777777" w:rsidR="00FC043B" w:rsidRPr="000C6C36" w:rsidRDefault="00FC043B" w:rsidP="00FC043B">
      <w:pPr>
        <w:jc w:val="both"/>
        <w:rPr>
          <w:rFonts w:ascii="Arial" w:hAnsi="Arial" w:cs="Arial"/>
          <w:sz w:val="22"/>
          <w:szCs w:val="22"/>
        </w:rPr>
      </w:pPr>
      <w:r w:rsidRPr="000C6C36">
        <w:rPr>
          <w:rFonts w:ascii="Arial" w:hAnsi="Arial" w:cs="Arial"/>
          <w:sz w:val="22"/>
          <w:szCs w:val="22"/>
        </w:rPr>
        <w:t>Managing Partner</w:t>
      </w:r>
    </w:p>
    <w:p w14:paraId="15634369" w14:textId="77777777" w:rsidR="00FC043B" w:rsidRPr="000C6C36" w:rsidRDefault="00B05370" w:rsidP="00FC043B">
      <w:pPr>
        <w:jc w:val="both"/>
        <w:rPr>
          <w:rFonts w:ascii="Arial" w:hAnsi="Arial" w:cs="Arial"/>
          <w:sz w:val="22"/>
          <w:szCs w:val="22"/>
        </w:rPr>
      </w:pPr>
      <w:hyperlink r:id="rId14" w:history="1">
        <w:r w:rsidR="00FC043B" w:rsidRPr="000C6C36">
          <w:rPr>
            <w:rStyle w:val="Hyperlink"/>
            <w:rFonts w:ascii="Arial" w:hAnsi="Arial" w:cs="Arial"/>
            <w:sz w:val="22"/>
            <w:szCs w:val="22"/>
          </w:rPr>
          <w:t>Integrous Communications</w:t>
        </w:r>
      </w:hyperlink>
    </w:p>
    <w:p w14:paraId="1C1DC114" w14:textId="77777777" w:rsidR="00FC043B" w:rsidRPr="000C6C36" w:rsidRDefault="00FC043B" w:rsidP="00FC043B">
      <w:pPr>
        <w:jc w:val="both"/>
        <w:rPr>
          <w:rFonts w:ascii="Arial" w:hAnsi="Arial" w:cs="Arial"/>
          <w:sz w:val="22"/>
          <w:szCs w:val="22"/>
        </w:rPr>
      </w:pPr>
      <w:r w:rsidRPr="000C6C36">
        <w:rPr>
          <w:rFonts w:ascii="Arial" w:hAnsi="Arial" w:cs="Arial"/>
          <w:sz w:val="22"/>
          <w:szCs w:val="22"/>
        </w:rPr>
        <w:t>Phone: 512-270-6990</w:t>
      </w:r>
    </w:p>
    <w:p w14:paraId="3C84DD01" w14:textId="77777777" w:rsidR="00FC043B" w:rsidRPr="000C6C36" w:rsidRDefault="00B05370" w:rsidP="00FC043B">
      <w:pPr>
        <w:jc w:val="both"/>
        <w:rPr>
          <w:rFonts w:ascii="Arial" w:hAnsi="Arial" w:cs="Arial"/>
          <w:sz w:val="22"/>
          <w:szCs w:val="22"/>
        </w:rPr>
      </w:pPr>
      <w:hyperlink r:id="rId15" w:history="1">
        <w:r w:rsidR="00FC043B" w:rsidRPr="000C6C36">
          <w:rPr>
            <w:rStyle w:val="Hyperlink"/>
            <w:rFonts w:ascii="Arial" w:hAnsi="Arial" w:cs="Arial"/>
            <w:sz w:val="22"/>
            <w:szCs w:val="22"/>
          </w:rPr>
          <w:t>dgradwell@integcom.us</w:t>
        </w:r>
      </w:hyperlink>
      <w:r w:rsidR="00FC043B" w:rsidRPr="000C6C36">
        <w:rPr>
          <w:rFonts w:ascii="Arial" w:hAnsi="Arial" w:cs="Arial"/>
          <w:sz w:val="22"/>
          <w:szCs w:val="22"/>
        </w:rPr>
        <w:t xml:space="preserve"> </w:t>
      </w:r>
    </w:p>
    <w:p w14:paraId="501F46CE" w14:textId="77777777" w:rsidR="00FC043B" w:rsidRPr="000C6C36" w:rsidRDefault="00B05370" w:rsidP="00FC043B">
      <w:pPr>
        <w:jc w:val="both"/>
        <w:rPr>
          <w:rFonts w:ascii="Arial" w:hAnsi="Arial" w:cs="Arial"/>
          <w:sz w:val="22"/>
          <w:szCs w:val="22"/>
        </w:rPr>
      </w:pPr>
      <w:hyperlink r:id="rId16" w:history="1">
        <w:r w:rsidR="00FC043B" w:rsidRPr="000C6C36">
          <w:rPr>
            <w:rStyle w:val="Hyperlink"/>
            <w:rFonts w:ascii="Arial" w:hAnsi="Arial" w:cs="Arial"/>
            <w:sz w:val="22"/>
            <w:szCs w:val="22"/>
          </w:rPr>
          <w:t>ir@torchlightenergy.com</w:t>
        </w:r>
      </w:hyperlink>
      <w:r w:rsidR="00FC043B" w:rsidRPr="000C6C36">
        <w:rPr>
          <w:rFonts w:ascii="Arial" w:hAnsi="Arial" w:cs="Arial"/>
          <w:sz w:val="22"/>
          <w:szCs w:val="22"/>
        </w:rPr>
        <w:t xml:space="preserve"> </w:t>
      </w:r>
    </w:p>
    <w:p w14:paraId="5AEC25B3" w14:textId="77777777" w:rsidR="00FC043B" w:rsidRPr="000C6C36" w:rsidRDefault="00FC043B" w:rsidP="00FC043B">
      <w:pPr>
        <w:jc w:val="both"/>
        <w:rPr>
          <w:rFonts w:ascii="Arial" w:hAnsi="Arial" w:cs="Arial"/>
          <w:sz w:val="22"/>
          <w:szCs w:val="22"/>
        </w:rPr>
      </w:pPr>
    </w:p>
    <w:p w14:paraId="306F2E34" w14:textId="77777777" w:rsidR="00FC043B" w:rsidRPr="000C6C36" w:rsidRDefault="00FC043B" w:rsidP="00FC043B">
      <w:pPr>
        <w:jc w:val="both"/>
        <w:rPr>
          <w:rFonts w:ascii="Arial" w:hAnsi="Arial" w:cs="Arial"/>
          <w:b/>
          <w:bCs/>
          <w:iCs/>
          <w:sz w:val="22"/>
          <w:szCs w:val="22"/>
        </w:rPr>
      </w:pPr>
      <w:r w:rsidRPr="000C6C36">
        <w:rPr>
          <w:rFonts w:ascii="Arial" w:hAnsi="Arial" w:cs="Arial"/>
          <w:b/>
          <w:bCs/>
          <w:iCs/>
          <w:sz w:val="22"/>
          <w:szCs w:val="22"/>
        </w:rPr>
        <w:t xml:space="preserve">META: </w:t>
      </w:r>
    </w:p>
    <w:p w14:paraId="7D31F830" w14:textId="77777777" w:rsidR="00BD1316" w:rsidRPr="000C6C36" w:rsidRDefault="00BD1316" w:rsidP="00FC043B">
      <w:pPr>
        <w:jc w:val="both"/>
        <w:rPr>
          <w:rFonts w:ascii="Arial" w:hAnsi="Arial" w:cs="Arial"/>
          <w:iCs/>
          <w:sz w:val="22"/>
          <w:szCs w:val="22"/>
        </w:rPr>
      </w:pPr>
    </w:p>
    <w:p w14:paraId="650F8C25" w14:textId="6CF48F7F" w:rsidR="00101E6F" w:rsidRPr="000C6C36" w:rsidRDefault="00101E6F" w:rsidP="00FC043B">
      <w:pPr>
        <w:jc w:val="both"/>
        <w:rPr>
          <w:rFonts w:ascii="Arial" w:hAnsi="Arial" w:cs="Arial"/>
          <w:b/>
          <w:bCs/>
          <w:iCs/>
          <w:sz w:val="22"/>
          <w:szCs w:val="22"/>
        </w:rPr>
      </w:pPr>
      <w:r w:rsidRPr="000C6C36">
        <w:rPr>
          <w:rFonts w:ascii="Arial" w:hAnsi="Arial" w:cs="Arial"/>
          <w:b/>
          <w:bCs/>
          <w:iCs/>
          <w:sz w:val="22"/>
          <w:szCs w:val="22"/>
        </w:rPr>
        <w:t>Media Inquiries:</w:t>
      </w:r>
    </w:p>
    <w:p w14:paraId="6AFB233B" w14:textId="77777777" w:rsidR="001D4A5B" w:rsidRPr="000C6C36" w:rsidRDefault="001D4A5B" w:rsidP="00046057">
      <w:pPr>
        <w:jc w:val="both"/>
        <w:rPr>
          <w:rFonts w:ascii="Arial" w:hAnsi="Arial" w:cs="Arial"/>
          <w:iCs/>
          <w:sz w:val="22"/>
          <w:szCs w:val="22"/>
        </w:rPr>
      </w:pPr>
    </w:p>
    <w:p w14:paraId="567653BB" w14:textId="469F5E8D" w:rsidR="00046057" w:rsidRPr="000C6C36" w:rsidRDefault="00046057" w:rsidP="00046057">
      <w:pPr>
        <w:jc w:val="both"/>
        <w:rPr>
          <w:rFonts w:ascii="Arial" w:hAnsi="Arial" w:cs="Arial"/>
          <w:iCs/>
          <w:sz w:val="22"/>
          <w:szCs w:val="22"/>
        </w:rPr>
      </w:pPr>
      <w:r w:rsidRPr="000C6C36">
        <w:rPr>
          <w:rFonts w:ascii="Arial" w:hAnsi="Arial" w:cs="Arial"/>
          <w:iCs/>
          <w:sz w:val="22"/>
          <w:szCs w:val="22"/>
        </w:rPr>
        <w:t>Graham Farrell</w:t>
      </w:r>
    </w:p>
    <w:p w14:paraId="1477135D" w14:textId="77777777" w:rsidR="00046057" w:rsidRPr="000C6C36" w:rsidRDefault="00046057" w:rsidP="00046057">
      <w:pPr>
        <w:jc w:val="both"/>
        <w:rPr>
          <w:rFonts w:ascii="Arial" w:hAnsi="Arial" w:cs="Arial"/>
          <w:iCs/>
          <w:sz w:val="22"/>
          <w:szCs w:val="22"/>
        </w:rPr>
      </w:pPr>
      <w:r w:rsidRPr="000C6C36">
        <w:rPr>
          <w:rFonts w:ascii="Arial" w:hAnsi="Arial" w:cs="Arial"/>
          <w:iCs/>
          <w:sz w:val="22"/>
          <w:szCs w:val="22"/>
        </w:rPr>
        <w:t>Harbor Access LLC</w:t>
      </w:r>
    </w:p>
    <w:p w14:paraId="372E95E0" w14:textId="77777777" w:rsidR="00046057" w:rsidRPr="000C6C36" w:rsidRDefault="00046057" w:rsidP="00046057">
      <w:pPr>
        <w:jc w:val="both"/>
        <w:rPr>
          <w:rFonts w:ascii="Arial" w:hAnsi="Arial" w:cs="Arial"/>
          <w:iCs/>
          <w:sz w:val="22"/>
          <w:szCs w:val="22"/>
        </w:rPr>
      </w:pPr>
      <w:r w:rsidRPr="000C6C36">
        <w:rPr>
          <w:rFonts w:ascii="Arial" w:hAnsi="Arial" w:cs="Arial"/>
          <w:iCs/>
          <w:sz w:val="22"/>
          <w:szCs w:val="22"/>
        </w:rPr>
        <w:t>(416) 842 9003</w:t>
      </w:r>
    </w:p>
    <w:p w14:paraId="113889F8" w14:textId="77777777" w:rsidR="00046057" w:rsidRPr="000C6C36" w:rsidRDefault="00B05370" w:rsidP="00046057">
      <w:pPr>
        <w:jc w:val="both"/>
        <w:rPr>
          <w:rFonts w:ascii="Arial" w:hAnsi="Arial" w:cs="Arial"/>
          <w:iCs/>
          <w:sz w:val="22"/>
          <w:szCs w:val="22"/>
        </w:rPr>
      </w:pPr>
      <w:hyperlink r:id="rId17" w:history="1">
        <w:r w:rsidR="00046057" w:rsidRPr="000C6C36">
          <w:rPr>
            <w:rStyle w:val="Hyperlink"/>
            <w:rFonts w:ascii="Arial" w:hAnsi="Arial" w:cs="Arial"/>
            <w:iCs/>
            <w:sz w:val="22"/>
            <w:szCs w:val="22"/>
          </w:rPr>
          <w:t>Graham.Farrell@HarborAccessllc.com</w:t>
        </w:r>
      </w:hyperlink>
    </w:p>
    <w:p w14:paraId="77D5E4F7" w14:textId="010B4FCA" w:rsidR="00101E6F" w:rsidRPr="000C6C36" w:rsidRDefault="00101E6F" w:rsidP="00FC043B">
      <w:pPr>
        <w:jc w:val="both"/>
        <w:rPr>
          <w:rFonts w:ascii="Arial" w:hAnsi="Arial" w:cs="Arial"/>
          <w:iCs/>
          <w:sz w:val="22"/>
          <w:szCs w:val="22"/>
        </w:rPr>
      </w:pPr>
    </w:p>
    <w:p w14:paraId="2A009FB9" w14:textId="2F704701" w:rsidR="00BD1316" w:rsidRPr="000C6C36" w:rsidRDefault="00BD1316" w:rsidP="00FC043B">
      <w:pPr>
        <w:jc w:val="both"/>
        <w:rPr>
          <w:rFonts w:ascii="Arial" w:hAnsi="Arial" w:cs="Arial"/>
          <w:b/>
          <w:bCs/>
          <w:iCs/>
          <w:sz w:val="22"/>
          <w:szCs w:val="22"/>
        </w:rPr>
      </w:pPr>
      <w:r w:rsidRPr="000C6C36">
        <w:rPr>
          <w:rFonts w:ascii="Arial" w:hAnsi="Arial" w:cs="Arial"/>
          <w:b/>
          <w:bCs/>
          <w:iCs/>
          <w:sz w:val="22"/>
          <w:szCs w:val="22"/>
        </w:rPr>
        <w:t>Investor inquiries:</w:t>
      </w:r>
    </w:p>
    <w:p w14:paraId="35545157" w14:textId="77777777" w:rsidR="001D4A5B" w:rsidRPr="000C6C36" w:rsidRDefault="001D4A5B" w:rsidP="00FC043B">
      <w:pPr>
        <w:jc w:val="both"/>
        <w:rPr>
          <w:rFonts w:ascii="Arial" w:hAnsi="Arial" w:cs="Arial"/>
          <w:iCs/>
          <w:sz w:val="22"/>
          <w:szCs w:val="22"/>
        </w:rPr>
      </w:pPr>
    </w:p>
    <w:p w14:paraId="344C4321" w14:textId="3F8390BC" w:rsidR="00FC043B" w:rsidRPr="000C6C36" w:rsidRDefault="00FC043B" w:rsidP="00FC043B">
      <w:pPr>
        <w:jc w:val="both"/>
        <w:rPr>
          <w:rFonts w:ascii="Arial" w:hAnsi="Arial" w:cs="Arial"/>
          <w:iCs/>
          <w:sz w:val="22"/>
          <w:szCs w:val="22"/>
        </w:rPr>
      </w:pPr>
      <w:r w:rsidRPr="000C6C36">
        <w:rPr>
          <w:rFonts w:ascii="Arial" w:hAnsi="Arial" w:cs="Arial"/>
          <w:iCs/>
          <w:sz w:val="22"/>
          <w:szCs w:val="22"/>
        </w:rPr>
        <w:t>Mark Komonoski</w:t>
      </w:r>
    </w:p>
    <w:p w14:paraId="6CB81257" w14:textId="77777777" w:rsidR="00FC043B" w:rsidRPr="000C6C36" w:rsidRDefault="00FC043B" w:rsidP="00FC043B">
      <w:pPr>
        <w:jc w:val="both"/>
        <w:rPr>
          <w:rFonts w:ascii="Arial" w:hAnsi="Arial" w:cs="Arial"/>
          <w:iCs/>
          <w:sz w:val="22"/>
          <w:szCs w:val="22"/>
        </w:rPr>
      </w:pPr>
      <w:r w:rsidRPr="000C6C36">
        <w:rPr>
          <w:rFonts w:ascii="Arial" w:hAnsi="Arial" w:cs="Arial"/>
          <w:iCs/>
          <w:sz w:val="22"/>
          <w:szCs w:val="22"/>
        </w:rPr>
        <w:t>Director Capital Markets and IR</w:t>
      </w:r>
    </w:p>
    <w:p w14:paraId="6CA48D23" w14:textId="77777777" w:rsidR="00FC043B" w:rsidRPr="000C6C36" w:rsidRDefault="00FC043B" w:rsidP="00FC043B">
      <w:pPr>
        <w:jc w:val="both"/>
        <w:rPr>
          <w:rFonts w:ascii="Arial" w:hAnsi="Arial" w:cs="Arial"/>
          <w:iCs/>
          <w:sz w:val="22"/>
          <w:szCs w:val="22"/>
        </w:rPr>
      </w:pPr>
      <w:r w:rsidRPr="000C6C36">
        <w:rPr>
          <w:rFonts w:ascii="Arial" w:hAnsi="Arial" w:cs="Arial"/>
          <w:iCs/>
          <w:sz w:val="22"/>
          <w:szCs w:val="22"/>
        </w:rPr>
        <w:t>Metamaterial Inc.</w:t>
      </w:r>
    </w:p>
    <w:p w14:paraId="7FC76987" w14:textId="77777777" w:rsidR="00FC043B" w:rsidRPr="000C6C36" w:rsidRDefault="00FC043B" w:rsidP="00FC043B">
      <w:pPr>
        <w:jc w:val="both"/>
        <w:rPr>
          <w:rFonts w:ascii="Arial" w:hAnsi="Arial" w:cs="Arial"/>
          <w:iCs/>
          <w:sz w:val="22"/>
          <w:szCs w:val="22"/>
        </w:rPr>
      </w:pPr>
      <w:r w:rsidRPr="000C6C36">
        <w:rPr>
          <w:rFonts w:ascii="Arial" w:hAnsi="Arial" w:cs="Arial"/>
          <w:iCs/>
          <w:sz w:val="22"/>
          <w:szCs w:val="22"/>
        </w:rPr>
        <w:t>phone: 1-877-255-8483</w:t>
      </w:r>
    </w:p>
    <w:p w14:paraId="20285CF3" w14:textId="77777777" w:rsidR="00FC043B" w:rsidRPr="000C6C36" w:rsidRDefault="00B05370" w:rsidP="00FC043B">
      <w:pPr>
        <w:jc w:val="both"/>
        <w:rPr>
          <w:rFonts w:ascii="Arial" w:hAnsi="Arial" w:cs="Arial"/>
          <w:iCs/>
          <w:sz w:val="22"/>
          <w:szCs w:val="22"/>
        </w:rPr>
      </w:pPr>
      <w:hyperlink r:id="rId18" w:history="1">
        <w:r w:rsidR="00FC043B" w:rsidRPr="000C6C36">
          <w:rPr>
            <w:rStyle w:val="Hyperlink"/>
            <w:rFonts w:ascii="Arial" w:hAnsi="Arial" w:cs="Arial"/>
            <w:iCs/>
            <w:sz w:val="22"/>
            <w:szCs w:val="22"/>
          </w:rPr>
          <w:t>mark@metamaterial.com</w:t>
        </w:r>
      </w:hyperlink>
    </w:p>
    <w:p w14:paraId="4782A853" w14:textId="77777777" w:rsidR="00FC043B" w:rsidRPr="000C6C36" w:rsidRDefault="00FC043B" w:rsidP="00FC043B">
      <w:pPr>
        <w:jc w:val="both"/>
        <w:rPr>
          <w:rFonts w:ascii="Arial" w:hAnsi="Arial" w:cs="Arial"/>
          <w:iCs/>
          <w:sz w:val="22"/>
          <w:szCs w:val="22"/>
        </w:rPr>
      </w:pPr>
    </w:p>
    <w:p w14:paraId="7A804E04" w14:textId="77777777" w:rsidR="00FC043B" w:rsidRPr="000C6C36" w:rsidRDefault="00FC043B" w:rsidP="00FC043B">
      <w:pPr>
        <w:jc w:val="both"/>
        <w:rPr>
          <w:rFonts w:ascii="Arial" w:hAnsi="Arial" w:cs="Arial"/>
          <w:b/>
          <w:sz w:val="22"/>
          <w:szCs w:val="22"/>
        </w:rPr>
      </w:pPr>
      <w:r w:rsidRPr="000C6C36">
        <w:rPr>
          <w:rFonts w:ascii="Arial" w:hAnsi="Arial" w:cs="Arial"/>
          <w:b/>
          <w:sz w:val="22"/>
          <w:szCs w:val="22"/>
        </w:rPr>
        <w:t>About Metamaterial Inc.</w:t>
      </w:r>
    </w:p>
    <w:p w14:paraId="273DF5CD" w14:textId="77777777" w:rsidR="00FC043B" w:rsidRPr="000C6C36" w:rsidRDefault="00FC043B" w:rsidP="00FC043B">
      <w:pPr>
        <w:jc w:val="both"/>
        <w:rPr>
          <w:rFonts w:ascii="Arial" w:hAnsi="Arial" w:cs="Arial"/>
          <w:b/>
          <w:sz w:val="22"/>
          <w:szCs w:val="22"/>
        </w:rPr>
      </w:pPr>
    </w:p>
    <w:p w14:paraId="0F0B872D" w14:textId="77777777" w:rsidR="00FC043B" w:rsidRPr="000C6C36" w:rsidRDefault="00FC043B" w:rsidP="00FC043B">
      <w:pPr>
        <w:jc w:val="both"/>
        <w:rPr>
          <w:rFonts w:ascii="Arial" w:hAnsi="Arial" w:cs="Arial"/>
          <w:bCs/>
          <w:sz w:val="22"/>
          <w:szCs w:val="22"/>
        </w:rPr>
      </w:pPr>
      <w:r w:rsidRPr="000C6C36">
        <w:rPr>
          <w:rFonts w:ascii="Arial" w:hAnsi="Arial" w:cs="Arial"/>
          <w:bCs/>
          <w:sz w:val="22"/>
          <w:szCs w:val="22"/>
        </w:rPr>
        <w:t xml:space="preserve">META is changing the way we use, interact and benefit from light. META designs and manufactures advanced materials and performance functional films which are engineered at the nanoscale to control light and electromagnetic waves. META is currently developing new materials with diverse applications in the automotive, aerospace, consumer electronics and medical industries. META has a growing patent portfolio with three core technologies; holographic, lithographic, and wireless sensing, designed for high volume applications. META is headquartered in Dartmouth, Nova Scotia and has offices in London, UK and Pleasanton, California. To learn more visit </w:t>
      </w:r>
      <w:hyperlink r:id="rId19" w:history="1">
        <w:r w:rsidRPr="000C6C36">
          <w:rPr>
            <w:rStyle w:val="Hyperlink"/>
            <w:rFonts w:ascii="Arial" w:hAnsi="Arial" w:cs="Arial"/>
            <w:bCs/>
            <w:sz w:val="22"/>
            <w:szCs w:val="22"/>
          </w:rPr>
          <w:t>www.metamaterial.com</w:t>
        </w:r>
      </w:hyperlink>
      <w:r w:rsidRPr="000C6C36">
        <w:rPr>
          <w:rFonts w:ascii="Arial" w:hAnsi="Arial" w:cs="Arial"/>
          <w:bCs/>
          <w:sz w:val="22"/>
          <w:szCs w:val="22"/>
        </w:rPr>
        <w:t>.</w:t>
      </w:r>
    </w:p>
    <w:p w14:paraId="484D8AAF" w14:textId="77777777" w:rsidR="00FC043B" w:rsidRPr="000C6C36" w:rsidRDefault="00FC043B" w:rsidP="00FC043B">
      <w:pPr>
        <w:jc w:val="both"/>
        <w:rPr>
          <w:rFonts w:ascii="Arial" w:hAnsi="Arial" w:cs="Arial"/>
          <w:bCs/>
          <w:sz w:val="22"/>
          <w:szCs w:val="22"/>
        </w:rPr>
      </w:pPr>
    </w:p>
    <w:p w14:paraId="61CE4466" w14:textId="77777777" w:rsidR="00FC043B" w:rsidRPr="000C6C36" w:rsidRDefault="00FC043B" w:rsidP="00FC043B">
      <w:pPr>
        <w:jc w:val="both"/>
        <w:rPr>
          <w:rFonts w:ascii="Arial" w:hAnsi="Arial" w:cs="Arial"/>
          <w:bCs/>
          <w:sz w:val="22"/>
          <w:szCs w:val="22"/>
        </w:rPr>
      </w:pPr>
      <w:r w:rsidRPr="000C6C36">
        <w:rPr>
          <w:rFonts w:ascii="Arial" w:hAnsi="Arial" w:cs="Arial"/>
          <w:bCs/>
          <w:sz w:val="22"/>
          <w:szCs w:val="22"/>
        </w:rPr>
        <w:t>Forward Looking Information</w:t>
      </w:r>
    </w:p>
    <w:p w14:paraId="4122DB51" w14:textId="77777777" w:rsidR="00FC043B" w:rsidRPr="000C6C36" w:rsidRDefault="00FC043B" w:rsidP="00FC043B">
      <w:pPr>
        <w:jc w:val="both"/>
        <w:rPr>
          <w:rFonts w:ascii="Arial" w:hAnsi="Arial" w:cs="Arial"/>
          <w:bCs/>
          <w:sz w:val="22"/>
          <w:szCs w:val="22"/>
        </w:rPr>
      </w:pPr>
    </w:p>
    <w:p w14:paraId="6AEBBF39" w14:textId="7652D5F6" w:rsidR="00FC043B" w:rsidRPr="000C6C36" w:rsidRDefault="00FC043B" w:rsidP="00FC043B">
      <w:pPr>
        <w:jc w:val="both"/>
        <w:rPr>
          <w:rFonts w:ascii="Arial" w:hAnsi="Arial" w:cs="Arial"/>
          <w:bCs/>
          <w:sz w:val="22"/>
          <w:szCs w:val="22"/>
        </w:rPr>
      </w:pPr>
      <w:r w:rsidRPr="000C6C36">
        <w:rPr>
          <w:rFonts w:ascii="Arial" w:hAnsi="Arial" w:cs="Arial"/>
          <w:bCs/>
          <w:sz w:val="22"/>
          <w:szCs w:val="22"/>
        </w:rPr>
        <w:t xml:space="preserve">This release includes forward-looking information within the meaning of Canadian securities laws regarding </w:t>
      </w:r>
      <w:r w:rsidR="00C3772F" w:rsidRPr="000C6C36">
        <w:rPr>
          <w:rFonts w:ascii="Arial" w:hAnsi="Arial" w:cs="Arial"/>
          <w:bCs/>
          <w:sz w:val="22"/>
          <w:szCs w:val="22"/>
        </w:rPr>
        <w:t>META</w:t>
      </w:r>
      <w:r w:rsidRPr="000C6C36">
        <w:rPr>
          <w:rFonts w:ascii="Arial" w:hAnsi="Arial" w:cs="Arial"/>
          <w:bCs/>
          <w:sz w:val="22"/>
          <w:szCs w:val="22"/>
        </w:rPr>
        <w:t xml:space="preserve"> and its business, which may include, but are not limited to, statements with respect to the terms and anticipated timing of the Proposed </w:t>
      </w:r>
      <w:r w:rsidRPr="000C6C36">
        <w:rPr>
          <w:rFonts w:ascii="Arial" w:hAnsi="Arial" w:cs="Arial"/>
          <w:bCs/>
          <w:sz w:val="22"/>
          <w:szCs w:val="22"/>
        </w:rPr>
        <w:lastRenderedPageBreak/>
        <w:t>Transaction, the intention to raise equity capital, the potential continued listing on the NASDAQ, the disposition of Torchlight’s oil and gas assets, the business strategies, product development</w:t>
      </w:r>
      <w:r w:rsidRPr="000C6C36" w:rsidDel="006A23A6">
        <w:rPr>
          <w:rFonts w:ascii="Arial" w:hAnsi="Arial" w:cs="Arial"/>
          <w:bCs/>
          <w:sz w:val="22"/>
          <w:szCs w:val="22"/>
        </w:rPr>
        <w:t xml:space="preserve"> </w:t>
      </w:r>
      <w:r w:rsidRPr="000C6C36">
        <w:rPr>
          <w:rFonts w:ascii="Arial" w:hAnsi="Arial" w:cs="Arial"/>
          <w:bCs/>
          <w:sz w:val="22"/>
          <w:szCs w:val="22"/>
        </w:rPr>
        <w:t xml:space="preserve">and operational activities of META </w:t>
      </w:r>
      <w:r w:rsidR="005979EF" w:rsidRPr="001C0784">
        <w:rPr>
          <w:rFonts w:ascii="Arial" w:hAnsi="Arial" w:cs="Arial"/>
          <w:bCs/>
          <w:sz w:val="22"/>
          <w:szCs w:val="22"/>
        </w:rPr>
        <w:t>and Torchlight</w:t>
      </w:r>
      <w:r w:rsidR="005979EF">
        <w:rPr>
          <w:rFonts w:ascii="Arial" w:hAnsi="Arial" w:cs="Arial"/>
          <w:color w:val="0000FF"/>
          <w:sz w:val="22"/>
          <w:szCs w:val="22"/>
          <w:lang w:val="en-CA" w:eastAsia="en-US"/>
        </w:rPr>
        <w:t>.</w:t>
      </w:r>
      <w:r w:rsidRPr="000C6C36">
        <w:rPr>
          <w:rFonts w:ascii="Arial" w:hAnsi="Arial" w:cs="Arial"/>
          <w:bCs/>
          <w:sz w:val="22"/>
          <w:szCs w:val="22"/>
        </w:rPr>
        <w:t xml:space="preserve"> Often but not always, forward-looking information can be identified by the use of words such as “expect”, “intends”, “anticipated”, “believes” or variations (including negative variations) of such words and phrases, or state that certain actions, events or results “may”, “could”, “would” or “will” be taken, occur or be achieved. Such statements are based on the current expectations and views of future events of the management of </w:t>
      </w:r>
      <w:r w:rsidR="00C3772F" w:rsidRPr="000C6C36">
        <w:rPr>
          <w:rFonts w:ascii="Arial" w:hAnsi="Arial" w:cs="Arial"/>
          <w:bCs/>
          <w:sz w:val="22"/>
          <w:szCs w:val="22"/>
        </w:rPr>
        <w:t>META</w:t>
      </w:r>
      <w:r w:rsidRPr="000C6C36">
        <w:rPr>
          <w:rFonts w:ascii="Arial" w:hAnsi="Arial" w:cs="Arial"/>
          <w:bCs/>
          <w:sz w:val="22"/>
          <w:szCs w:val="22"/>
        </w:rPr>
        <w:t xml:space="preserve"> and are based on assumptions and subject to risks and uncertainties. Although the management of META believes that the assumptions underlying these statements are reasonable, they may prove to be incorrect. The forward-looking events and circumstances discussed in this release may not occur and could differ materially as a result of known and unknown risk factors and uncertainties affecting the companies, including risks regarding the ability of the parties to reach agreement on definitive agreements, the ability of the parties to raise necessary equity capital, approval of the transaction and continued listing by the NASDAQ, approval of the Canadian Securities Exchange, receipt of shareholder approval and required third party and regulatory consents, the risk that Torchlight may not be able to dispose of its oil and gas assets on</w:t>
      </w:r>
      <w:r w:rsidR="001C0784">
        <w:rPr>
          <w:rFonts w:ascii="Arial" w:hAnsi="Arial" w:cs="Arial"/>
          <w:bCs/>
          <w:sz w:val="22"/>
          <w:szCs w:val="22"/>
        </w:rPr>
        <w:t xml:space="preserve"> </w:t>
      </w:r>
      <w:r w:rsidRPr="000C6C36">
        <w:rPr>
          <w:rFonts w:ascii="Arial" w:hAnsi="Arial" w:cs="Arial"/>
          <w:bCs/>
          <w:sz w:val="22"/>
          <w:szCs w:val="22"/>
        </w:rPr>
        <w:t xml:space="preserve">favorable terms or at all, risks related to the technology industry, market strategic and operational activities, and management’s ability to manage and to operate the business. Although META has attempted to identify important factors that could cause actual actions, events or results to differ materially from those described in forward-looking statements, there may be other factors that cause actions, events or results to differ from those anticipated, estimated or intended. Accordingly, readers should not place undue reliance on any forward-looking statements or information. No forward-looking statement can be guaranteed. Except as required by applicable securities laws, forward-looking statements speak only as of the date on which they are made and </w:t>
      </w:r>
      <w:r w:rsidR="00C3772F" w:rsidRPr="000C6C36">
        <w:rPr>
          <w:rFonts w:ascii="Arial" w:hAnsi="Arial" w:cs="Arial"/>
          <w:bCs/>
          <w:sz w:val="22"/>
          <w:szCs w:val="22"/>
        </w:rPr>
        <w:t xml:space="preserve">META </w:t>
      </w:r>
      <w:r w:rsidRPr="000C6C36">
        <w:rPr>
          <w:rFonts w:ascii="Arial" w:hAnsi="Arial" w:cs="Arial"/>
          <w:bCs/>
          <w:sz w:val="22"/>
          <w:szCs w:val="22"/>
        </w:rPr>
        <w:t>does not undertake any obligation to publicly update or revise any forward looking statement, whether as a result of new information, future events, or otherwise.</w:t>
      </w:r>
    </w:p>
    <w:p w14:paraId="7113D209" w14:textId="77777777" w:rsidR="00FC043B" w:rsidRPr="000C6C36" w:rsidRDefault="00FC043B" w:rsidP="00FC043B">
      <w:pPr>
        <w:jc w:val="both"/>
        <w:rPr>
          <w:rFonts w:ascii="Arial" w:hAnsi="Arial" w:cs="Arial"/>
          <w:bCs/>
          <w:sz w:val="22"/>
          <w:szCs w:val="22"/>
        </w:rPr>
      </w:pPr>
    </w:p>
    <w:p w14:paraId="206D8581" w14:textId="77777777" w:rsidR="00FC043B" w:rsidRPr="000C6C36" w:rsidRDefault="00FC043B" w:rsidP="00FC043B">
      <w:pPr>
        <w:jc w:val="both"/>
        <w:rPr>
          <w:rFonts w:ascii="Arial" w:hAnsi="Arial" w:cs="Arial"/>
          <w:bCs/>
          <w:i/>
          <w:iCs/>
          <w:sz w:val="22"/>
          <w:szCs w:val="22"/>
        </w:rPr>
      </w:pPr>
      <w:r w:rsidRPr="000C6C36">
        <w:rPr>
          <w:rFonts w:ascii="Arial" w:hAnsi="Arial" w:cs="Arial"/>
          <w:bCs/>
          <w:i/>
          <w:iCs/>
          <w:sz w:val="22"/>
          <w:szCs w:val="22"/>
        </w:rPr>
        <w:t>The Canadian Securities Exchange has neither approved nor disapproved the contents of this news release.</w:t>
      </w:r>
    </w:p>
    <w:p w14:paraId="24A75E70" w14:textId="77777777" w:rsidR="00FC043B" w:rsidRPr="000C6C36" w:rsidRDefault="00FC043B" w:rsidP="00FC043B">
      <w:pPr>
        <w:jc w:val="both"/>
        <w:rPr>
          <w:rFonts w:ascii="Arial" w:hAnsi="Arial" w:cs="Arial"/>
          <w:b/>
          <w:sz w:val="22"/>
          <w:szCs w:val="22"/>
        </w:rPr>
      </w:pPr>
    </w:p>
    <w:p w14:paraId="43DEA77C" w14:textId="77777777" w:rsidR="00FC043B" w:rsidRPr="000C6C36" w:rsidRDefault="00FC043B" w:rsidP="00FC043B">
      <w:pPr>
        <w:jc w:val="both"/>
        <w:rPr>
          <w:rFonts w:ascii="Arial" w:hAnsi="Arial" w:cs="Arial"/>
          <w:b/>
          <w:sz w:val="22"/>
          <w:szCs w:val="22"/>
        </w:rPr>
      </w:pPr>
      <w:r w:rsidRPr="000C6C36">
        <w:rPr>
          <w:rFonts w:ascii="Arial" w:hAnsi="Arial" w:cs="Arial"/>
          <w:b/>
          <w:sz w:val="22"/>
          <w:szCs w:val="22"/>
        </w:rPr>
        <w:t>About Torchlight Energy Resources, Inc.</w:t>
      </w:r>
    </w:p>
    <w:p w14:paraId="4FCC0DBF" w14:textId="77777777" w:rsidR="00FC043B" w:rsidRPr="000C6C36" w:rsidRDefault="00FC043B" w:rsidP="00FC043B">
      <w:pPr>
        <w:jc w:val="both"/>
        <w:rPr>
          <w:rFonts w:ascii="Arial" w:hAnsi="Arial" w:cs="Arial"/>
          <w:sz w:val="22"/>
          <w:szCs w:val="22"/>
        </w:rPr>
      </w:pPr>
    </w:p>
    <w:p w14:paraId="62384016" w14:textId="14193049" w:rsidR="00FC043B" w:rsidRPr="000C6C36" w:rsidRDefault="00FC043B" w:rsidP="00FC043B">
      <w:pPr>
        <w:jc w:val="both"/>
        <w:rPr>
          <w:rFonts w:ascii="Arial" w:hAnsi="Arial" w:cs="Arial"/>
          <w:color w:val="000000"/>
          <w:sz w:val="22"/>
          <w:szCs w:val="22"/>
          <w:lang w:eastAsia="en-US"/>
        </w:rPr>
      </w:pPr>
      <w:r w:rsidRPr="000C6C36">
        <w:rPr>
          <w:rFonts w:ascii="Arial" w:hAnsi="Arial" w:cs="Arial"/>
          <w:color w:val="000000"/>
          <w:sz w:val="22"/>
          <w:szCs w:val="22"/>
          <w:lang w:eastAsia="en-US"/>
        </w:rPr>
        <w:t xml:space="preserve">Torchlight Energy Resources, Inc. (TRCH), based in Plano, Texas, is a high growth oil and gas Exploration and Production (E&amp;P) company with a primary </w:t>
      </w:r>
      <w:r w:rsidR="00EC5650">
        <w:rPr>
          <w:rFonts w:ascii="Arial" w:hAnsi="Arial" w:cs="Arial"/>
          <w:color w:val="000000"/>
          <w:sz w:val="22"/>
          <w:szCs w:val="22"/>
          <w:lang w:eastAsia="en-US"/>
        </w:rPr>
        <w:t>objective of</w:t>
      </w:r>
      <w:r w:rsidRPr="000C6C36">
        <w:rPr>
          <w:rFonts w:ascii="Arial" w:hAnsi="Arial" w:cs="Arial"/>
          <w:color w:val="000000"/>
          <w:sz w:val="22"/>
          <w:szCs w:val="22"/>
          <w:lang w:eastAsia="en-US"/>
        </w:rPr>
        <w:t xml:space="preserve"> acquisition and development of domestic oil fields. Torchlight has assets focused in West and Central Texas where their targets are established plays such as the Permian Basin. For additional information on Torchlight, please visit </w:t>
      </w:r>
      <w:hyperlink r:id="rId20" w:history="1">
        <w:r w:rsidRPr="000C6C36">
          <w:rPr>
            <w:rFonts w:ascii="Arial" w:hAnsi="Arial" w:cs="Arial"/>
            <w:color w:val="04BDE6"/>
            <w:sz w:val="22"/>
            <w:szCs w:val="22"/>
            <w:lang w:eastAsia="en-US"/>
          </w:rPr>
          <w:t>www.torchlightenergy.com</w:t>
        </w:r>
      </w:hyperlink>
      <w:r w:rsidRPr="000C6C36">
        <w:rPr>
          <w:rFonts w:ascii="Arial" w:hAnsi="Arial" w:cs="Arial"/>
          <w:color w:val="000000"/>
          <w:sz w:val="22"/>
          <w:szCs w:val="22"/>
          <w:lang w:eastAsia="en-US"/>
        </w:rPr>
        <w:t>.</w:t>
      </w:r>
    </w:p>
    <w:p w14:paraId="22FF74D2" w14:textId="77777777" w:rsidR="00FC043B" w:rsidRPr="000C6C36" w:rsidRDefault="00FC043B" w:rsidP="00FC043B">
      <w:pPr>
        <w:jc w:val="both"/>
        <w:rPr>
          <w:rFonts w:ascii="Arial" w:hAnsi="Arial" w:cs="Arial"/>
          <w:sz w:val="22"/>
          <w:szCs w:val="22"/>
        </w:rPr>
      </w:pPr>
    </w:p>
    <w:p w14:paraId="3D315430" w14:textId="743960E5" w:rsidR="00FC043B" w:rsidRPr="00EC5650" w:rsidRDefault="00EC5650" w:rsidP="00FC043B">
      <w:pPr>
        <w:jc w:val="both"/>
        <w:rPr>
          <w:rFonts w:ascii="Arial" w:hAnsi="Arial" w:cs="Arial"/>
          <w:sz w:val="22"/>
          <w:szCs w:val="22"/>
          <w:lang w:eastAsia="en-US"/>
        </w:rPr>
      </w:pPr>
      <w:r w:rsidRPr="00EC5650">
        <w:rPr>
          <w:rFonts w:ascii="Arial" w:hAnsi="Arial" w:cs="Arial"/>
          <w:sz w:val="22"/>
          <w:szCs w:val="22"/>
          <w:lang w:val="en-CA" w:eastAsia="en-US"/>
        </w:rPr>
        <w:t>Forward-Looking Statement</w:t>
      </w:r>
    </w:p>
    <w:p w14:paraId="28777C3F" w14:textId="77777777" w:rsidR="00FC043B" w:rsidRPr="000C6C36" w:rsidRDefault="00FC043B" w:rsidP="00FC043B">
      <w:pPr>
        <w:jc w:val="both"/>
        <w:rPr>
          <w:rFonts w:ascii="Arial" w:hAnsi="Arial" w:cs="Arial"/>
          <w:sz w:val="22"/>
          <w:szCs w:val="22"/>
        </w:rPr>
      </w:pPr>
      <w:r w:rsidRPr="000C6C36">
        <w:rPr>
          <w:rFonts w:ascii="Arial" w:hAnsi="Arial" w:cs="Arial"/>
          <w:sz w:val="22"/>
          <w:szCs w:val="22"/>
        </w:rPr>
        <w:t> </w:t>
      </w:r>
    </w:p>
    <w:p w14:paraId="0AE64951" w14:textId="6CE08B5A" w:rsidR="00FC043B" w:rsidRPr="000C6C36" w:rsidRDefault="00FC043B" w:rsidP="00FC043B">
      <w:pPr>
        <w:jc w:val="both"/>
        <w:rPr>
          <w:rFonts w:ascii="Arial" w:hAnsi="Arial" w:cs="Arial"/>
          <w:sz w:val="22"/>
          <w:szCs w:val="22"/>
        </w:rPr>
      </w:pPr>
      <w:r w:rsidRPr="000C6C36">
        <w:rPr>
          <w:rFonts w:ascii="Arial" w:hAnsi="Arial" w:cs="Arial"/>
          <w:color w:val="000000"/>
          <w:sz w:val="22"/>
          <w:szCs w:val="22"/>
        </w:rPr>
        <w:t xml:space="preserve">This press release contains forward-looking statements within the meaning of Section 27A of the Securities Act of 1933, as amended, and Section 21E of the Securities Exchange Act of 1934, as amended, which are intended to be covered by the “safe harbor” created by those sections. All statements in this release that are not based on historical fact are “forward looking statements.” These statements may be identified by words such as “estimates,” “anticipates,” “projects,” “plans,” “strategy,” “goal,” or “planned,” “seeks,” “may,” </w:t>
      </w:r>
      <w:r w:rsidR="00EC5650">
        <w:rPr>
          <w:rFonts w:ascii="Arial" w:hAnsi="Arial" w:cs="Arial"/>
          <w:color w:val="000000"/>
          <w:sz w:val="22"/>
          <w:szCs w:val="22"/>
        </w:rPr>
        <w:t xml:space="preserve">“might”, </w:t>
      </w:r>
      <w:r w:rsidRPr="000C6C36">
        <w:rPr>
          <w:rFonts w:ascii="Arial" w:hAnsi="Arial" w:cs="Arial"/>
          <w:color w:val="000000"/>
          <w:sz w:val="22"/>
          <w:szCs w:val="22"/>
        </w:rPr>
        <w:t xml:space="preserve">“will,” “expects,” “intends,” “believes,” “should,” and similar expressions, or </w:t>
      </w:r>
      <w:r w:rsidRPr="000C6C36">
        <w:rPr>
          <w:rFonts w:ascii="Arial" w:hAnsi="Arial" w:cs="Arial"/>
          <w:color w:val="000000"/>
          <w:sz w:val="22"/>
          <w:szCs w:val="22"/>
        </w:rPr>
        <w:lastRenderedPageBreak/>
        <w:t xml:space="preserve">the negative versions thereof, and which also may be identified by their context. All statements that address operating performance or events or developments Torchlight expects or anticipates will occur in the future, such as stated objectives or goals, </w:t>
      </w:r>
      <w:r w:rsidR="001C0784" w:rsidRPr="000C6C36">
        <w:rPr>
          <w:rFonts w:ascii="Arial" w:hAnsi="Arial" w:cs="Arial"/>
          <w:color w:val="000000"/>
          <w:sz w:val="22"/>
          <w:szCs w:val="22"/>
        </w:rPr>
        <w:t>Torchlight</w:t>
      </w:r>
      <w:r w:rsidR="001C0784">
        <w:rPr>
          <w:rFonts w:ascii="Arial" w:hAnsi="Arial" w:cs="Arial"/>
          <w:color w:val="000000"/>
          <w:sz w:val="22"/>
          <w:szCs w:val="22"/>
        </w:rPr>
        <w:t>’s</w:t>
      </w:r>
      <w:r w:rsidR="001C0784" w:rsidRPr="000C6C36">
        <w:rPr>
          <w:rFonts w:ascii="Arial" w:hAnsi="Arial" w:cs="Arial"/>
          <w:color w:val="000000"/>
          <w:sz w:val="22"/>
          <w:szCs w:val="22"/>
        </w:rPr>
        <w:t xml:space="preserve"> </w:t>
      </w:r>
      <w:r w:rsidRPr="000C6C36">
        <w:rPr>
          <w:rFonts w:ascii="Arial" w:hAnsi="Arial" w:cs="Arial"/>
          <w:color w:val="000000"/>
          <w:sz w:val="22"/>
          <w:szCs w:val="22"/>
        </w:rPr>
        <w:t xml:space="preserve">refinement of strategy, </w:t>
      </w:r>
      <w:r w:rsidR="001C0784" w:rsidRPr="000C6C36">
        <w:rPr>
          <w:rFonts w:ascii="Arial" w:hAnsi="Arial" w:cs="Arial"/>
          <w:color w:val="000000"/>
          <w:sz w:val="22"/>
          <w:szCs w:val="22"/>
        </w:rPr>
        <w:t>Torchlight</w:t>
      </w:r>
      <w:r w:rsidR="001C0784">
        <w:rPr>
          <w:rFonts w:ascii="Arial" w:hAnsi="Arial" w:cs="Arial"/>
          <w:color w:val="000000"/>
          <w:sz w:val="22"/>
          <w:szCs w:val="22"/>
        </w:rPr>
        <w:t>’s</w:t>
      </w:r>
      <w:r w:rsidR="001C0784" w:rsidRPr="000C6C36">
        <w:rPr>
          <w:rFonts w:ascii="Arial" w:hAnsi="Arial" w:cs="Arial"/>
          <w:color w:val="000000"/>
          <w:sz w:val="22"/>
          <w:szCs w:val="22"/>
        </w:rPr>
        <w:t xml:space="preserve"> </w:t>
      </w:r>
      <w:r w:rsidRPr="000C6C36">
        <w:rPr>
          <w:rFonts w:ascii="Arial" w:hAnsi="Arial" w:cs="Arial"/>
          <w:color w:val="000000"/>
          <w:sz w:val="22"/>
          <w:szCs w:val="22"/>
        </w:rPr>
        <w:t xml:space="preserve">attempts to secure additional financing, </w:t>
      </w:r>
      <w:r w:rsidR="001C0784" w:rsidRPr="000C6C36">
        <w:rPr>
          <w:rFonts w:ascii="Arial" w:hAnsi="Arial" w:cs="Arial"/>
          <w:color w:val="000000"/>
          <w:sz w:val="22"/>
          <w:szCs w:val="22"/>
        </w:rPr>
        <w:t>Torchlight</w:t>
      </w:r>
      <w:r w:rsidR="001C0784">
        <w:rPr>
          <w:rFonts w:ascii="Arial" w:hAnsi="Arial" w:cs="Arial"/>
          <w:color w:val="000000"/>
          <w:sz w:val="22"/>
          <w:szCs w:val="22"/>
        </w:rPr>
        <w:t>’s</w:t>
      </w:r>
      <w:r w:rsidR="001C0784" w:rsidRPr="000C6C36">
        <w:rPr>
          <w:rFonts w:ascii="Arial" w:hAnsi="Arial" w:cs="Arial"/>
          <w:color w:val="000000"/>
          <w:sz w:val="22"/>
          <w:szCs w:val="22"/>
        </w:rPr>
        <w:t xml:space="preserve"> </w:t>
      </w:r>
      <w:r w:rsidRPr="000C6C36">
        <w:rPr>
          <w:rFonts w:ascii="Arial" w:hAnsi="Arial" w:cs="Arial"/>
          <w:color w:val="000000"/>
          <w:sz w:val="22"/>
          <w:szCs w:val="22"/>
        </w:rPr>
        <w:t xml:space="preserve">exploring possible business alternatives, or that are not otherwise historical facts, are forward-looking statements. While </w:t>
      </w:r>
      <w:r w:rsidR="001C0784" w:rsidRPr="000C6C36">
        <w:rPr>
          <w:rFonts w:ascii="Arial" w:hAnsi="Arial" w:cs="Arial"/>
          <w:color w:val="000000"/>
          <w:sz w:val="22"/>
          <w:szCs w:val="22"/>
        </w:rPr>
        <w:t>Torchlight</w:t>
      </w:r>
      <w:r w:rsidR="001C0784">
        <w:rPr>
          <w:rFonts w:ascii="Arial" w:hAnsi="Arial" w:cs="Arial"/>
          <w:color w:val="000000"/>
          <w:sz w:val="22"/>
          <w:szCs w:val="22"/>
        </w:rPr>
        <w:t>’s</w:t>
      </w:r>
      <w:r w:rsidR="001C0784" w:rsidRPr="000C6C36">
        <w:rPr>
          <w:rFonts w:ascii="Arial" w:hAnsi="Arial" w:cs="Arial"/>
          <w:color w:val="000000"/>
          <w:sz w:val="22"/>
          <w:szCs w:val="22"/>
        </w:rPr>
        <w:t xml:space="preserve"> refinement of strategy </w:t>
      </w:r>
      <w:r w:rsidRPr="000C6C36">
        <w:rPr>
          <w:rFonts w:ascii="Arial" w:hAnsi="Arial" w:cs="Arial"/>
          <w:color w:val="000000"/>
          <w:sz w:val="22"/>
          <w:szCs w:val="22"/>
        </w:rPr>
        <w:t xml:space="preserve">management has based any forward-looking statements included in this release on its current expectations, the information on which such expectations were based may change. Forward-looking statements involve inherent risks and uncertainties which could cause actual results to differ materially from those in the forward-looking statements as a result of various factors, including those risks and uncertainties described in or implied by the Risk Factors and in Management’s Discussion and Analysis of Financial Condition and Results of Operations sections of </w:t>
      </w:r>
      <w:r w:rsidR="00DC1CFD" w:rsidRPr="000C6C36">
        <w:rPr>
          <w:rFonts w:ascii="Arial" w:hAnsi="Arial" w:cs="Arial"/>
          <w:color w:val="000000"/>
          <w:sz w:val="22"/>
          <w:szCs w:val="22"/>
        </w:rPr>
        <w:t>Torchlight</w:t>
      </w:r>
      <w:r w:rsidR="00DC1CFD">
        <w:rPr>
          <w:rFonts w:ascii="Arial" w:hAnsi="Arial" w:cs="Arial"/>
          <w:color w:val="000000"/>
          <w:sz w:val="22"/>
          <w:szCs w:val="22"/>
        </w:rPr>
        <w:t>’s</w:t>
      </w:r>
      <w:r w:rsidR="00DC1CFD" w:rsidRPr="000C6C36">
        <w:rPr>
          <w:rFonts w:ascii="Arial" w:hAnsi="Arial" w:cs="Arial"/>
          <w:color w:val="000000"/>
          <w:sz w:val="22"/>
          <w:szCs w:val="22"/>
        </w:rPr>
        <w:t xml:space="preserve"> </w:t>
      </w:r>
      <w:r w:rsidR="00EC5650">
        <w:rPr>
          <w:rFonts w:ascii="Arial" w:hAnsi="Arial" w:cs="Arial"/>
          <w:color w:val="000000"/>
          <w:sz w:val="22"/>
          <w:szCs w:val="22"/>
        </w:rPr>
        <w:t>2019</w:t>
      </w:r>
      <w:r w:rsidRPr="000C6C36">
        <w:rPr>
          <w:rFonts w:ascii="Arial" w:hAnsi="Arial" w:cs="Arial"/>
          <w:color w:val="000000"/>
          <w:sz w:val="22"/>
          <w:szCs w:val="22"/>
        </w:rPr>
        <w:t xml:space="preserve"> Annual Report on Form 10-K, filed on March 16, 2020 and </w:t>
      </w:r>
      <w:r w:rsidR="00DC1CFD" w:rsidRPr="000C6C36">
        <w:rPr>
          <w:rFonts w:ascii="Arial" w:hAnsi="Arial" w:cs="Arial"/>
          <w:color w:val="000000"/>
          <w:sz w:val="22"/>
          <w:szCs w:val="22"/>
        </w:rPr>
        <w:t>Torchlight</w:t>
      </w:r>
      <w:r w:rsidR="00DC1CFD">
        <w:rPr>
          <w:rFonts w:ascii="Arial" w:hAnsi="Arial" w:cs="Arial"/>
          <w:color w:val="000000"/>
          <w:sz w:val="22"/>
          <w:szCs w:val="22"/>
        </w:rPr>
        <w:t>’s</w:t>
      </w:r>
      <w:r w:rsidR="00DC1CFD" w:rsidRPr="000C6C36">
        <w:rPr>
          <w:rFonts w:ascii="Arial" w:hAnsi="Arial" w:cs="Arial"/>
          <w:color w:val="000000"/>
          <w:sz w:val="22"/>
          <w:szCs w:val="22"/>
        </w:rPr>
        <w:t xml:space="preserve"> </w:t>
      </w:r>
      <w:r w:rsidRPr="000C6C36">
        <w:rPr>
          <w:rFonts w:ascii="Arial" w:hAnsi="Arial" w:cs="Arial"/>
          <w:color w:val="000000"/>
          <w:sz w:val="22"/>
          <w:szCs w:val="22"/>
        </w:rPr>
        <w:t xml:space="preserve">other reports filed from time to time with the Securities and Exchange Commission. </w:t>
      </w:r>
      <w:r w:rsidR="00DC1CFD" w:rsidRPr="000C6C36">
        <w:rPr>
          <w:rFonts w:ascii="Arial" w:hAnsi="Arial" w:cs="Arial"/>
          <w:color w:val="000000"/>
          <w:sz w:val="22"/>
          <w:szCs w:val="22"/>
        </w:rPr>
        <w:t xml:space="preserve">Torchlight </w:t>
      </w:r>
      <w:r w:rsidRPr="000C6C36">
        <w:rPr>
          <w:rFonts w:ascii="Arial" w:hAnsi="Arial" w:cs="Arial"/>
          <w:color w:val="000000"/>
          <w:sz w:val="22"/>
          <w:szCs w:val="22"/>
        </w:rPr>
        <w:t>urge</w:t>
      </w:r>
      <w:r w:rsidR="00DC1CFD">
        <w:rPr>
          <w:rFonts w:ascii="Arial" w:hAnsi="Arial" w:cs="Arial"/>
          <w:color w:val="000000"/>
          <w:sz w:val="22"/>
          <w:szCs w:val="22"/>
        </w:rPr>
        <w:t>s</w:t>
      </w:r>
      <w:r w:rsidRPr="000C6C36">
        <w:rPr>
          <w:rFonts w:ascii="Arial" w:hAnsi="Arial" w:cs="Arial"/>
          <w:color w:val="000000"/>
          <w:sz w:val="22"/>
          <w:szCs w:val="22"/>
        </w:rPr>
        <w:t xml:space="preserve"> </w:t>
      </w:r>
      <w:r w:rsidR="00DC1CFD" w:rsidRPr="000C6C36">
        <w:rPr>
          <w:rFonts w:ascii="Arial" w:hAnsi="Arial" w:cs="Arial"/>
          <w:color w:val="000000"/>
          <w:sz w:val="22"/>
          <w:szCs w:val="22"/>
        </w:rPr>
        <w:t xml:space="preserve">readers </w:t>
      </w:r>
      <w:r w:rsidRPr="000C6C36">
        <w:rPr>
          <w:rFonts w:ascii="Arial" w:hAnsi="Arial" w:cs="Arial"/>
          <w:color w:val="000000"/>
          <w:sz w:val="22"/>
          <w:szCs w:val="22"/>
        </w:rPr>
        <w:t xml:space="preserve">to consider those risks and uncertainties in evaluating </w:t>
      </w:r>
      <w:r w:rsidR="00DC1CFD" w:rsidRPr="000C6C36">
        <w:rPr>
          <w:rFonts w:ascii="Arial" w:hAnsi="Arial" w:cs="Arial"/>
          <w:color w:val="000000"/>
          <w:sz w:val="22"/>
          <w:szCs w:val="22"/>
        </w:rPr>
        <w:t>Torchlight</w:t>
      </w:r>
      <w:r w:rsidR="00DC1CFD">
        <w:rPr>
          <w:rFonts w:ascii="Arial" w:hAnsi="Arial" w:cs="Arial"/>
          <w:color w:val="000000"/>
          <w:sz w:val="22"/>
          <w:szCs w:val="22"/>
        </w:rPr>
        <w:t>’s</w:t>
      </w:r>
      <w:r w:rsidR="00DC1CFD" w:rsidRPr="000C6C36">
        <w:rPr>
          <w:rFonts w:ascii="Arial" w:hAnsi="Arial" w:cs="Arial"/>
          <w:color w:val="000000"/>
          <w:sz w:val="22"/>
          <w:szCs w:val="22"/>
        </w:rPr>
        <w:t xml:space="preserve"> </w:t>
      </w:r>
      <w:r w:rsidRPr="000C6C36">
        <w:rPr>
          <w:rFonts w:ascii="Arial" w:hAnsi="Arial" w:cs="Arial"/>
          <w:color w:val="000000"/>
          <w:sz w:val="22"/>
          <w:szCs w:val="22"/>
        </w:rPr>
        <w:t xml:space="preserve">forward-looking statements. </w:t>
      </w:r>
      <w:r w:rsidR="00DC1CFD" w:rsidRPr="000C6C36">
        <w:rPr>
          <w:rFonts w:ascii="Arial" w:hAnsi="Arial" w:cs="Arial"/>
          <w:color w:val="000000"/>
          <w:sz w:val="22"/>
          <w:szCs w:val="22"/>
        </w:rPr>
        <w:t xml:space="preserve">Torchlight </w:t>
      </w:r>
      <w:r w:rsidRPr="000C6C36">
        <w:rPr>
          <w:rFonts w:ascii="Arial" w:hAnsi="Arial" w:cs="Arial"/>
          <w:color w:val="000000"/>
          <w:sz w:val="22"/>
          <w:szCs w:val="22"/>
        </w:rPr>
        <w:t>caution</w:t>
      </w:r>
      <w:r w:rsidR="00DC1CFD">
        <w:rPr>
          <w:rFonts w:ascii="Arial" w:hAnsi="Arial" w:cs="Arial"/>
          <w:color w:val="000000"/>
          <w:sz w:val="22"/>
          <w:szCs w:val="22"/>
        </w:rPr>
        <w:t>s</w:t>
      </w:r>
      <w:r w:rsidRPr="000C6C36">
        <w:rPr>
          <w:rFonts w:ascii="Arial" w:hAnsi="Arial" w:cs="Arial"/>
          <w:color w:val="000000"/>
          <w:sz w:val="22"/>
          <w:szCs w:val="22"/>
        </w:rPr>
        <w:t xml:space="preserve"> readers not to place undue reliance upon any such forward-looking statements, which speak only as of the date made. Except as otherwise required by the federal securities laws, </w:t>
      </w:r>
      <w:r w:rsidR="00DC1CFD" w:rsidRPr="000C6C36">
        <w:rPr>
          <w:rFonts w:ascii="Arial" w:hAnsi="Arial" w:cs="Arial"/>
          <w:color w:val="000000"/>
          <w:sz w:val="22"/>
          <w:szCs w:val="22"/>
        </w:rPr>
        <w:t xml:space="preserve">Torchlight </w:t>
      </w:r>
      <w:r w:rsidRPr="000C6C36">
        <w:rPr>
          <w:rFonts w:ascii="Arial" w:hAnsi="Arial" w:cs="Arial"/>
          <w:color w:val="000000"/>
          <w:sz w:val="22"/>
          <w:szCs w:val="22"/>
        </w:rPr>
        <w:t>disclaim</w:t>
      </w:r>
      <w:r w:rsidR="00DC1CFD">
        <w:rPr>
          <w:rFonts w:ascii="Arial" w:hAnsi="Arial" w:cs="Arial"/>
          <w:color w:val="000000"/>
          <w:sz w:val="22"/>
          <w:szCs w:val="22"/>
        </w:rPr>
        <w:t>s</w:t>
      </w:r>
      <w:r w:rsidRPr="000C6C36">
        <w:rPr>
          <w:rFonts w:ascii="Arial" w:hAnsi="Arial" w:cs="Arial"/>
          <w:color w:val="000000"/>
          <w:sz w:val="22"/>
          <w:szCs w:val="22"/>
        </w:rPr>
        <w:t xml:space="preserve"> any obligation or undertaking to publicly release any updates or revisions to any forward-looking statement contained herein (or elsewhere) to reflect any change in </w:t>
      </w:r>
      <w:r w:rsidR="00DC1CFD" w:rsidRPr="000C6C36">
        <w:rPr>
          <w:rFonts w:ascii="Arial" w:hAnsi="Arial" w:cs="Arial"/>
          <w:color w:val="000000"/>
          <w:sz w:val="22"/>
          <w:szCs w:val="22"/>
        </w:rPr>
        <w:t>Torchlight</w:t>
      </w:r>
      <w:r w:rsidR="00DC1CFD">
        <w:rPr>
          <w:rFonts w:ascii="Arial" w:hAnsi="Arial" w:cs="Arial"/>
          <w:color w:val="000000"/>
          <w:sz w:val="22"/>
          <w:szCs w:val="22"/>
        </w:rPr>
        <w:t>’s</w:t>
      </w:r>
      <w:r w:rsidR="00DC1CFD" w:rsidRPr="000C6C36">
        <w:rPr>
          <w:rFonts w:ascii="Arial" w:hAnsi="Arial" w:cs="Arial"/>
          <w:color w:val="000000"/>
          <w:sz w:val="22"/>
          <w:szCs w:val="22"/>
        </w:rPr>
        <w:t xml:space="preserve"> </w:t>
      </w:r>
      <w:r w:rsidRPr="000C6C36">
        <w:rPr>
          <w:rFonts w:ascii="Arial" w:hAnsi="Arial" w:cs="Arial"/>
          <w:color w:val="000000"/>
          <w:sz w:val="22"/>
          <w:szCs w:val="22"/>
        </w:rPr>
        <w:t>expectations with regard thereto, or any change in events, conditions, or circumstances on which any such statement is based.</w:t>
      </w:r>
    </w:p>
    <w:p w14:paraId="3F976664" w14:textId="77777777" w:rsidR="00FC043B" w:rsidRPr="000C6C36" w:rsidRDefault="00FC043B" w:rsidP="00FC043B">
      <w:pPr>
        <w:jc w:val="both"/>
        <w:rPr>
          <w:rFonts w:ascii="Arial" w:hAnsi="Arial" w:cs="Arial"/>
          <w:sz w:val="22"/>
          <w:szCs w:val="22"/>
        </w:rPr>
      </w:pPr>
      <w:r w:rsidRPr="000C6C36">
        <w:rPr>
          <w:rFonts w:ascii="Arial" w:hAnsi="Arial" w:cs="Arial"/>
          <w:sz w:val="22"/>
          <w:szCs w:val="22"/>
        </w:rPr>
        <w:t> </w:t>
      </w:r>
    </w:p>
    <w:p w14:paraId="1459EF53" w14:textId="5B8D481C" w:rsidR="00736DC0" w:rsidRPr="000C6C36" w:rsidRDefault="00736DC0" w:rsidP="00FC043B">
      <w:pPr>
        <w:rPr>
          <w:rFonts w:ascii="Arial" w:hAnsi="Arial" w:cs="Arial"/>
          <w:sz w:val="22"/>
          <w:szCs w:val="22"/>
        </w:rPr>
      </w:pPr>
    </w:p>
    <w:sectPr w:rsidR="00736DC0" w:rsidRPr="000C6C36" w:rsidSect="003B1476">
      <w:headerReference w:type="default" r:id="rId21"/>
      <w:footerReference w:type="default" r:id="rId22"/>
      <w:headerReference w:type="first" r:id="rId23"/>
      <w:footerReference w:type="first" r:id="rId24"/>
      <w:pgSz w:w="12240" w:h="15840"/>
      <w:pgMar w:top="1710" w:right="1800" w:bottom="1440" w:left="180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1A344" w14:textId="77777777" w:rsidR="00B05370" w:rsidRDefault="00B05370">
      <w:r>
        <w:separator/>
      </w:r>
    </w:p>
  </w:endnote>
  <w:endnote w:type="continuationSeparator" w:id="0">
    <w:p w14:paraId="3038B569" w14:textId="77777777" w:rsidR="00B05370" w:rsidRDefault="00B0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86AFE" w14:textId="0D5574D1" w:rsidR="00D517C5" w:rsidRDefault="00D517C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83C6" w14:textId="23FD7BCC" w:rsidR="007F7683" w:rsidRPr="00F51702" w:rsidRDefault="00721C02" w:rsidP="007F7683">
    <w:pPr>
      <w:pStyle w:val="Footer"/>
      <w:rPr>
        <w:sz w:val="22"/>
        <w:szCs w:val="22"/>
      </w:rPr>
    </w:pPr>
    <w:r w:rsidRPr="00721C02">
      <w:rPr>
        <w:noProof/>
        <w:sz w:val="22"/>
        <w:szCs w:val="22"/>
        <w:vertAlign w:val="superscript"/>
        <w:lang w:eastAsia="en-US"/>
      </w:rPr>
      <mc:AlternateContent>
        <mc:Choice Requires="wps">
          <w:drawing>
            <wp:anchor distT="0" distB="0" distL="114300" distR="114300" simplePos="0" relativeHeight="251661312" behindDoc="0" locked="1" layoutInCell="0" allowOverlap="1" wp14:anchorId="4E8301FF" wp14:editId="2E5F5F14">
              <wp:simplePos x="0" y="0"/>
              <wp:positionH relativeFrom="margin">
                <wp:posOffset>0</wp:posOffset>
              </wp:positionH>
              <wp:positionV relativeFrom="page">
                <wp:align>bottom</wp:align>
              </wp:positionV>
              <wp:extent cx="5943600" cy="640080"/>
              <wp:effectExtent l="0" t="0" r="0" b="7620"/>
              <wp:wrapNone/>
              <wp:docPr id="1" name="DocsID_FF4409459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A2155" w14:textId="2EACB56B" w:rsidR="00721C02" w:rsidRDefault="00721C02">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8301FF" id="_x0000_t202" coordsize="21600,21600" o:spt="202" path="m,l,21600r21600,l21600,xe">
              <v:stroke joinstyle="miter"/>
              <v:path gradientshapeok="t" o:connecttype="rect"/>
            </v:shapetype>
            <v:shape id="DocsID_FF4409459761" o:spid="_x0000_s1026" type="#_x0000_t202" style="position:absolute;margin-left:0;margin-top:0;width:468pt;height:50.4pt;z-index:25166131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" o:allowincell="f" filled="f" stroked="f">
              <v:textbox inset="0,0,0,0">
                <w:txbxContent>
                  <w:p w14:paraId="705A2155" w14:textId="2EACB56B" w:rsidR="00721C02" w:rsidRDefault="00721C02">
                    <w:pPr>
                      <w:pStyle w:val="DocsID"/>
                    </w:pPr>
                  </w:p>
                </w:txbxContent>
              </v:textbox>
              <w10:wrap anchorx="margin" anchory="page"/>
              <w10:anchorlock/>
            </v:shape>
          </w:pict>
        </mc:Fallback>
      </mc:AlternateContent>
    </w:r>
    <w:r w:rsidR="007F7683" w:rsidRPr="00F51702">
      <w:rPr>
        <w:sz w:val="22"/>
        <w:szCs w:val="22"/>
        <w:vertAlign w:val="superscript"/>
      </w:rPr>
      <w:t>1</w:t>
    </w:r>
    <w:r w:rsidR="007F7683" w:rsidRPr="00F51702">
      <w:rPr>
        <w:sz w:val="22"/>
        <w:szCs w:val="22"/>
      </w:rPr>
      <w:t>Source: BCC Research</w:t>
    </w:r>
  </w:p>
  <w:p w14:paraId="551FAE3F" w14:textId="77777777" w:rsidR="009E5733" w:rsidRDefault="009E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39063" w14:textId="77777777" w:rsidR="00B05370" w:rsidRDefault="00B05370">
      <w:r>
        <w:separator/>
      </w:r>
    </w:p>
  </w:footnote>
  <w:footnote w:type="continuationSeparator" w:id="0">
    <w:p w14:paraId="310F96D1" w14:textId="77777777" w:rsidR="00B05370" w:rsidRDefault="00B0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1459" w14:textId="1CF6B745" w:rsidR="008A3D36" w:rsidRDefault="00D517C5">
    <w:pPr>
      <w:pStyle w:val="Header"/>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CA461" w14:textId="31BB0FCE" w:rsidR="00721C02" w:rsidRDefault="00721C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EF"/>
    <w:multiLevelType w:val="hybridMultilevel"/>
    <w:tmpl w:val="8FE84170"/>
    <w:lvl w:ilvl="0" w:tplc="F95E362C">
      <w:start w:val="1"/>
      <w:numFmt w:val="bullet"/>
      <w:lvlText w:val="•"/>
      <w:lvlJc w:val="left"/>
      <w:pPr>
        <w:tabs>
          <w:tab w:val="num" w:pos="720"/>
        </w:tabs>
        <w:ind w:left="720" w:hanging="360"/>
      </w:pPr>
      <w:rPr>
        <w:rFonts w:ascii="Arial" w:hAnsi="Arial" w:hint="default"/>
      </w:rPr>
    </w:lvl>
    <w:lvl w:ilvl="1" w:tplc="9CDADB8E">
      <w:start w:val="1"/>
      <w:numFmt w:val="bullet"/>
      <w:lvlText w:val="•"/>
      <w:lvlJc w:val="left"/>
      <w:pPr>
        <w:tabs>
          <w:tab w:val="num" w:pos="1440"/>
        </w:tabs>
        <w:ind w:left="1440" w:hanging="360"/>
      </w:pPr>
      <w:rPr>
        <w:rFonts w:ascii="Arial" w:hAnsi="Arial" w:hint="default"/>
      </w:rPr>
    </w:lvl>
    <w:lvl w:ilvl="2" w:tplc="7B20E710" w:tentative="1">
      <w:start w:val="1"/>
      <w:numFmt w:val="bullet"/>
      <w:lvlText w:val="•"/>
      <w:lvlJc w:val="left"/>
      <w:pPr>
        <w:tabs>
          <w:tab w:val="num" w:pos="2160"/>
        </w:tabs>
        <w:ind w:left="2160" w:hanging="360"/>
      </w:pPr>
      <w:rPr>
        <w:rFonts w:ascii="Arial" w:hAnsi="Arial" w:hint="default"/>
      </w:rPr>
    </w:lvl>
    <w:lvl w:ilvl="3" w:tplc="0AF01026" w:tentative="1">
      <w:start w:val="1"/>
      <w:numFmt w:val="bullet"/>
      <w:lvlText w:val="•"/>
      <w:lvlJc w:val="left"/>
      <w:pPr>
        <w:tabs>
          <w:tab w:val="num" w:pos="2880"/>
        </w:tabs>
        <w:ind w:left="2880" w:hanging="360"/>
      </w:pPr>
      <w:rPr>
        <w:rFonts w:ascii="Arial" w:hAnsi="Arial" w:hint="default"/>
      </w:rPr>
    </w:lvl>
    <w:lvl w:ilvl="4" w:tplc="EC6A3216" w:tentative="1">
      <w:start w:val="1"/>
      <w:numFmt w:val="bullet"/>
      <w:lvlText w:val="•"/>
      <w:lvlJc w:val="left"/>
      <w:pPr>
        <w:tabs>
          <w:tab w:val="num" w:pos="3600"/>
        </w:tabs>
        <w:ind w:left="3600" w:hanging="360"/>
      </w:pPr>
      <w:rPr>
        <w:rFonts w:ascii="Arial" w:hAnsi="Arial" w:hint="default"/>
      </w:rPr>
    </w:lvl>
    <w:lvl w:ilvl="5" w:tplc="E35CF02E" w:tentative="1">
      <w:start w:val="1"/>
      <w:numFmt w:val="bullet"/>
      <w:lvlText w:val="•"/>
      <w:lvlJc w:val="left"/>
      <w:pPr>
        <w:tabs>
          <w:tab w:val="num" w:pos="4320"/>
        </w:tabs>
        <w:ind w:left="4320" w:hanging="360"/>
      </w:pPr>
      <w:rPr>
        <w:rFonts w:ascii="Arial" w:hAnsi="Arial" w:hint="default"/>
      </w:rPr>
    </w:lvl>
    <w:lvl w:ilvl="6" w:tplc="B8EA5D66" w:tentative="1">
      <w:start w:val="1"/>
      <w:numFmt w:val="bullet"/>
      <w:lvlText w:val="•"/>
      <w:lvlJc w:val="left"/>
      <w:pPr>
        <w:tabs>
          <w:tab w:val="num" w:pos="5040"/>
        </w:tabs>
        <w:ind w:left="5040" w:hanging="360"/>
      </w:pPr>
      <w:rPr>
        <w:rFonts w:ascii="Arial" w:hAnsi="Arial" w:hint="default"/>
      </w:rPr>
    </w:lvl>
    <w:lvl w:ilvl="7" w:tplc="8272F40C" w:tentative="1">
      <w:start w:val="1"/>
      <w:numFmt w:val="bullet"/>
      <w:lvlText w:val="•"/>
      <w:lvlJc w:val="left"/>
      <w:pPr>
        <w:tabs>
          <w:tab w:val="num" w:pos="5760"/>
        </w:tabs>
        <w:ind w:left="5760" w:hanging="360"/>
      </w:pPr>
      <w:rPr>
        <w:rFonts w:ascii="Arial" w:hAnsi="Arial" w:hint="default"/>
      </w:rPr>
    </w:lvl>
    <w:lvl w:ilvl="8" w:tplc="213A1B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DBC6504"/>
    <w:multiLevelType w:val="hybridMultilevel"/>
    <w:tmpl w:val="790A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65DDA"/>
    <w:multiLevelType w:val="hybridMultilevel"/>
    <w:tmpl w:val="9A50958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6A42247A"/>
    <w:multiLevelType w:val="hybridMultilevel"/>
    <w:tmpl w:val="21867C8E"/>
    <w:lvl w:ilvl="0" w:tplc="F95E362C">
      <w:start w:val="1"/>
      <w:numFmt w:val="bullet"/>
      <w:lvlText w:val="•"/>
      <w:lvlJc w:val="left"/>
      <w:pPr>
        <w:tabs>
          <w:tab w:val="num" w:pos="720"/>
        </w:tabs>
        <w:ind w:left="720" w:hanging="360"/>
      </w:pPr>
      <w:rPr>
        <w:rFonts w:ascii="Arial" w:hAnsi="Arial" w:hint="default"/>
      </w:rPr>
    </w:lvl>
    <w:lvl w:ilvl="1" w:tplc="DC22896E">
      <w:start w:val="1"/>
      <w:numFmt w:val="bullet"/>
      <w:lvlText w:val="•"/>
      <w:lvlJc w:val="left"/>
      <w:pPr>
        <w:tabs>
          <w:tab w:val="num" w:pos="1440"/>
        </w:tabs>
        <w:ind w:left="1080" w:hanging="360"/>
      </w:pPr>
      <w:rPr>
        <w:rFonts w:ascii="Arial" w:hAnsi="Arial" w:hint="default"/>
      </w:rPr>
    </w:lvl>
    <w:lvl w:ilvl="2" w:tplc="7B20E710" w:tentative="1">
      <w:start w:val="1"/>
      <w:numFmt w:val="bullet"/>
      <w:lvlText w:val="•"/>
      <w:lvlJc w:val="left"/>
      <w:pPr>
        <w:tabs>
          <w:tab w:val="num" w:pos="2160"/>
        </w:tabs>
        <w:ind w:left="2160" w:hanging="360"/>
      </w:pPr>
      <w:rPr>
        <w:rFonts w:ascii="Arial" w:hAnsi="Arial" w:hint="default"/>
      </w:rPr>
    </w:lvl>
    <w:lvl w:ilvl="3" w:tplc="0AF01026" w:tentative="1">
      <w:start w:val="1"/>
      <w:numFmt w:val="bullet"/>
      <w:lvlText w:val="•"/>
      <w:lvlJc w:val="left"/>
      <w:pPr>
        <w:tabs>
          <w:tab w:val="num" w:pos="2880"/>
        </w:tabs>
        <w:ind w:left="2880" w:hanging="360"/>
      </w:pPr>
      <w:rPr>
        <w:rFonts w:ascii="Arial" w:hAnsi="Arial" w:hint="default"/>
      </w:rPr>
    </w:lvl>
    <w:lvl w:ilvl="4" w:tplc="EC6A3216" w:tentative="1">
      <w:start w:val="1"/>
      <w:numFmt w:val="bullet"/>
      <w:lvlText w:val="•"/>
      <w:lvlJc w:val="left"/>
      <w:pPr>
        <w:tabs>
          <w:tab w:val="num" w:pos="3600"/>
        </w:tabs>
        <w:ind w:left="3600" w:hanging="360"/>
      </w:pPr>
      <w:rPr>
        <w:rFonts w:ascii="Arial" w:hAnsi="Arial" w:hint="default"/>
      </w:rPr>
    </w:lvl>
    <w:lvl w:ilvl="5" w:tplc="E35CF02E" w:tentative="1">
      <w:start w:val="1"/>
      <w:numFmt w:val="bullet"/>
      <w:lvlText w:val="•"/>
      <w:lvlJc w:val="left"/>
      <w:pPr>
        <w:tabs>
          <w:tab w:val="num" w:pos="4320"/>
        </w:tabs>
        <w:ind w:left="4320" w:hanging="360"/>
      </w:pPr>
      <w:rPr>
        <w:rFonts w:ascii="Arial" w:hAnsi="Arial" w:hint="default"/>
      </w:rPr>
    </w:lvl>
    <w:lvl w:ilvl="6" w:tplc="B8EA5D66" w:tentative="1">
      <w:start w:val="1"/>
      <w:numFmt w:val="bullet"/>
      <w:lvlText w:val="•"/>
      <w:lvlJc w:val="left"/>
      <w:pPr>
        <w:tabs>
          <w:tab w:val="num" w:pos="5040"/>
        </w:tabs>
        <w:ind w:left="5040" w:hanging="360"/>
      </w:pPr>
      <w:rPr>
        <w:rFonts w:ascii="Arial" w:hAnsi="Arial" w:hint="default"/>
      </w:rPr>
    </w:lvl>
    <w:lvl w:ilvl="7" w:tplc="8272F40C" w:tentative="1">
      <w:start w:val="1"/>
      <w:numFmt w:val="bullet"/>
      <w:lvlText w:val="•"/>
      <w:lvlJc w:val="left"/>
      <w:pPr>
        <w:tabs>
          <w:tab w:val="num" w:pos="5760"/>
        </w:tabs>
        <w:ind w:left="5760" w:hanging="360"/>
      </w:pPr>
      <w:rPr>
        <w:rFonts w:ascii="Arial" w:hAnsi="Arial" w:hint="default"/>
      </w:rPr>
    </w:lvl>
    <w:lvl w:ilvl="8" w:tplc="213A1B5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DocIDAuthor" w:val="False"/>
    <w:docVar w:name="DocIDClientMatter" w:val="False"/>
    <w:docVar w:name="DocIDDate" w:val="False"/>
    <w:docVar w:name="DocIDDateText" w:val="True"/>
    <w:docVar w:name="DocIDLibrary" w:val="False"/>
    <w:docVar w:name="DocIDType" w:val="AllPages"/>
    <w:docVar w:name="DocIDTypist" w:val="False"/>
    <w:docVar w:name="LegacyDocIDRemoved" w:val="True"/>
  </w:docVars>
  <w:rsids>
    <w:rsidRoot w:val="008A3D36"/>
    <w:rsid w:val="0000013C"/>
    <w:rsid w:val="00003BCC"/>
    <w:rsid w:val="00006B1B"/>
    <w:rsid w:val="000174DD"/>
    <w:rsid w:val="0002625F"/>
    <w:rsid w:val="0002699B"/>
    <w:rsid w:val="00031D3B"/>
    <w:rsid w:val="0003630E"/>
    <w:rsid w:val="00042312"/>
    <w:rsid w:val="00043231"/>
    <w:rsid w:val="00046057"/>
    <w:rsid w:val="0006372A"/>
    <w:rsid w:val="00066059"/>
    <w:rsid w:val="0007289B"/>
    <w:rsid w:val="00075A93"/>
    <w:rsid w:val="0008532A"/>
    <w:rsid w:val="00087F71"/>
    <w:rsid w:val="000A1D18"/>
    <w:rsid w:val="000A2A94"/>
    <w:rsid w:val="000A54FD"/>
    <w:rsid w:val="000B1F84"/>
    <w:rsid w:val="000B550C"/>
    <w:rsid w:val="000C195B"/>
    <w:rsid w:val="000C347F"/>
    <w:rsid w:val="000C6C36"/>
    <w:rsid w:val="000D45A8"/>
    <w:rsid w:val="000F0CD5"/>
    <w:rsid w:val="000F26F9"/>
    <w:rsid w:val="000F7FC5"/>
    <w:rsid w:val="00101E6F"/>
    <w:rsid w:val="0010425A"/>
    <w:rsid w:val="0010429E"/>
    <w:rsid w:val="00115C0E"/>
    <w:rsid w:val="00126659"/>
    <w:rsid w:val="0013370C"/>
    <w:rsid w:val="0013494E"/>
    <w:rsid w:val="00153987"/>
    <w:rsid w:val="0015595E"/>
    <w:rsid w:val="001815D8"/>
    <w:rsid w:val="0019519F"/>
    <w:rsid w:val="00197367"/>
    <w:rsid w:val="00197AE3"/>
    <w:rsid w:val="001C06A9"/>
    <w:rsid w:val="001C0784"/>
    <w:rsid w:val="001C0C20"/>
    <w:rsid w:val="001C55B0"/>
    <w:rsid w:val="001C5CA5"/>
    <w:rsid w:val="001D02FE"/>
    <w:rsid w:val="001D326D"/>
    <w:rsid w:val="001D39FA"/>
    <w:rsid w:val="001D4A5B"/>
    <w:rsid w:val="001F0CC1"/>
    <w:rsid w:val="001F3CD8"/>
    <w:rsid w:val="002044F3"/>
    <w:rsid w:val="00224390"/>
    <w:rsid w:val="0023005B"/>
    <w:rsid w:val="00230783"/>
    <w:rsid w:val="002445E8"/>
    <w:rsid w:val="0025064E"/>
    <w:rsid w:val="00251974"/>
    <w:rsid w:val="00255641"/>
    <w:rsid w:val="0026180A"/>
    <w:rsid w:val="00262605"/>
    <w:rsid w:val="00266252"/>
    <w:rsid w:val="00267535"/>
    <w:rsid w:val="002704D3"/>
    <w:rsid w:val="00274801"/>
    <w:rsid w:val="002756D1"/>
    <w:rsid w:val="00282A95"/>
    <w:rsid w:val="002876D5"/>
    <w:rsid w:val="00287996"/>
    <w:rsid w:val="00293EA3"/>
    <w:rsid w:val="00294919"/>
    <w:rsid w:val="002A7808"/>
    <w:rsid w:val="002B1F85"/>
    <w:rsid w:val="002B2A60"/>
    <w:rsid w:val="002B73AC"/>
    <w:rsid w:val="002D6E96"/>
    <w:rsid w:val="002E1819"/>
    <w:rsid w:val="002F7EEC"/>
    <w:rsid w:val="00305101"/>
    <w:rsid w:val="00313FE2"/>
    <w:rsid w:val="003219C5"/>
    <w:rsid w:val="003440A5"/>
    <w:rsid w:val="003454F5"/>
    <w:rsid w:val="003455DC"/>
    <w:rsid w:val="00346AD2"/>
    <w:rsid w:val="00350C72"/>
    <w:rsid w:val="00361F9E"/>
    <w:rsid w:val="00367FC5"/>
    <w:rsid w:val="0037243A"/>
    <w:rsid w:val="003816D4"/>
    <w:rsid w:val="003870A9"/>
    <w:rsid w:val="00395850"/>
    <w:rsid w:val="003A1DB6"/>
    <w:rsid w:val="003A2098"/>
    <w:rsid w:val="003A775D"/>
    <w:rsid w:val="003A7B91"/>
    <w:rsid w:val="003B1476"/>
    <w:rsid w:val="003B502B"/>
    <w:rsid w:val="003D63B0"/>
    <w:rsid w:val="003F54C4"/>
    <w:rsid w:val="003F596F"/>
    <w:rsid w:val="003F6F36"/>
    <w:rsid w:val="00402D7A"/>
    <w:rsid w:val="0041314F"/>
    <w:rsid w:val="004158F7"/>
    <w:rsid w:val="00416956"/>
    <w:rsid w:val="00422432"/>
    <w:rsid w:val="00422B62"/>
    <w:rsid w:val="00422E51"/>
    <w:rsid w:val="00427D63"/>
    <w:rsid w:val="004353C5"/>
    <w:rsid w:val="00441823"/>
    <w:rsid w:val="00450636"/>
    <w:rsid w:val="004546A8"/>
    <w:rsid w:val="004549E3"/>
    <w:rsid w:val="00455918"/>
    <w:rsid w:val="0046343E"/>
    <w:rsid w:val="00473EF1"/>
    <w:rsid w:val="00484871"/>
    <w:rsid w:val="00495502"/>
    <w:rsid w:val="004A12FC"/>
    <w:rsid w:val="004A2ED4"/>
    <w:rsid w:val="004A61CF"/>
    <w:rsid w:val="004B587D"/>
    <w:rsid w:val="004C0BEA"/>
    <w:rsid w:val="004D3B2B"/>
    <w:rsid w:val="004E31D7"/>
    <w:rsid w:val="004E5F51"/>
    <w:rsid w:val="004E6AA6"/>
    <w:rsid w:val="004F0CCF"/>
    <w:rsid w:val="004F20F4"/>
    <w:rsid w:val="004F3555"/>
    <w:rsid w:val="004F5A23"/>
    <w:rsid w:val="004F5C2C"/>
    <w:rsid w:val="00507715"/>
    <w:rsid w:val="00515E31"/>
    <w:rsid w:val="00527F60"/>
    <w:rsid w:val="0053070C"/>
    <w:rsid w:val="00530968"/>
    <w:rsid w:val="005400EB"/>
    <w:rsid w:val="00542E55"/>
    <w:rsid w:val="0055032F"/>
    <w:rsid w:val="00551FB8"/>
    <w:rsid w:val="005555A6"/>
    <w:rsid w:val="00565444"/>
    <w:rsid w:val="00565C24"/>
    <w:rsid w:val="005704BF"/>
    <w:rsid w:val="005758F3"/>
    <w:rsid w:val="0058020E"/>
    <w:rsid w:val="00580AC5"/>
    <w:rsid w:val="005943F3"/>
    <w:rsid w:val="005945AF"/>
    <w:rsid w:val="005979EF"/>
    <w:rsid w:val="00597F43"/>
    <w:rsid w:val="005A2A77"/>
    <w:rsid w:val="005A79AC"/>
    <w:rsid w:val="005B0B33"/>
    <w:rsid w:val="005B677E"/>
    <w:rsid w:val="005C11E1"/>
    <w:rsid w:val="005D16A3"/>
    <w:rsid w:val="005D2C33"/>
    <w:rsid w:val="005F15D8"/>
    <w:rsid w:val="005F4394"/>
    <w:rsid w:val="005F6994"/>
    <w:rsid w:val="0060000A"/>
    <w:rsid w:val="0060113D"/>
    <w:rsid w:val="006133C4"/>
    <w:rsid w:val="006254E0"/>
    <w:rsid w:val="0063197E"/>
    <w:rsid w:val="00633A2F"/>
    <w:rsid w:val="006346A9"/>
    <w:rsid w:val="00636092"/>
    <w:rsid w:val="00644316"/>
    <w:rsid w:val="006555C0"/>
    <w:rsid w:val="006636FE"/>
    <w:rsid w:val="006643F7"/>
    <w:rsid w:val="006710FC"/>
    <w:rsid w:val="00673824"/>
    <w:rsid w:val="0067447F"/>
    <w:rsid w:val="00676DCC"/>
    <w:rsid w:val="00683B94"/>
    <w:rsid w:val="00687A43"/>
    <w:rsid w:val="00694F0D"/>
    <w:rsid w:val="006A04D1"/>
    <w:rsid w:val="006A099E"/>
    <w:rsid w:val="006B2259"/>
    <w:rsid w:val="006B2C4F"/>
    <w:rsid w:val="006B4204"/>
    <w:rsid w:val="006C318C"/>
    <w:rsid w:val="006C3290"/>
    <w:rsid w:val="006C7FBB"/>
    <w:rsid w:val="006D1550"/>
    <w:rsid w:val="006D6720"/>
    <w:rsid w:val="00703CB8"/>
    <w:rsid w:val="00704521"/>
    <w:rsid w:val="0071283F"/>
    <w:rsid w:val="00721C02"/>
    <w:rsid w:val="00724A86"/>
    <w:rsid w:val="00736DC0"/>
    <w:rsid w:val="00741090"/>
    <w:rsid w:val="007417F5"/>
    <w:rsid w:val="00741D04"/>
    <w:rsid w:val="00754629"/>
    <w:rsid w:val="007567EC"/>
    <w:rsid w:val="00760B54"/>
    <w:rsid w:val="00764B52"/>
    <w:rsid w:val="00784238"/>
    <w:rsid w:val="00791523"/>
    <w:rsid w:val="007A317E"/>
    <w:rsid w:val="007B58D2"/>
    <w:rsid w:val="007C2275"/>
    <w:rsid w:val="007E3C1F"/>
    <w:rsid w:val="007E40DB"/>
    <w:rsid w:val="007F0BFE"/>
    <w:rsid w:val="007F7683"/>
    <w:rsid w:val="00801177"/>
    <w:rsid w:val="008032EB"/>
    <w:rsid w:val="00817077"/>
    <w:rsid w:val="008171EA"/>
    <w:rsid w:val="00820A0F"/>
    <w:rsid w:val="00840A13"/>
    <w:rsid w:val="00845247"/>
    <w:rsid w:val="008509AA"/>
    <w:rsid w:val="008630AC"/>
    <w:rsid w:val="00877B6B"/>
    <w:rsid w:val="00881415"/>
    <w:rsid w:val="008817CA"/>
    <w:rsid w:val="00884147"/>
    <w:rsid w:val="00895A21"/>
    <w:rsid w:val="008A2C56"/>
    <w:rsid w:val="008A3D36"/>
    <w:rsid w:val="008A7210"/>
    <w:rsid w:val="008B0BB7"/>
    <w:rsid w:val="008B13CB"/>
    <w:rsid w:val="008B6737"/>
    <w:rsid w:val="008F56B9"/>
    <w:rsid w:val="008F787B"/>
    <w:rsid w:val="00907CAB"/>
    <w:rsid w:val="00912108"/>
    <w:rsid w:val="009140BE"/>
    <w:rsid w:val="0091439A"/>
    <w:rsid w:val="009178FF"/>
    <w:rsid w:val="00920057"/>
    <w:rsid w:val="00922048"/>
    <w:rsid w:val="00924414"/>
    <w:rsid w:val="00965591"/>
    <w:rsid w:val="00967E7D"/>
    <w:rsid w:val="00970929"/>
    <w:rsid w:val="00974242"/>
    <w:rsid w:val="00987839"/>
    <w:rsid w:val="009912FA"/>
    <w:rsid w:val="00992213"/>
    <w:rsid w:val="00996089"/>
    <w:rsid w:val="00996727"/>
    <w:rsid w:val="009C0409"/>
    <w:rsid w:val="009C5080"/>
    <w:rsid w:val="009E34E4"/>
    <w:rsid w:val="009E4BD6"/>
    <w:rsid w:val="009E5733"/>
    <w:rsid w:val="009F054E"/>
    <w:rsid w:val="009F15E6"/>
    <w:rsid w:val="00A10961"/>
    <w:rsid w:val="00A14F17"/>
    <w:rsid w:val="00A212DE"/>
    <w:rsid w:val="00A3196B"/>
    <w:rsid w:val="00A50FD5"/>
    <w:rsid w:val="00A54B3D"/>
    <w:rsid w:val="00A55402"/>
    <w:rsid w:val="00A620D5"/>
    <w:rsid w:val="00A71B56"/>
    <w:rsid w:val="00A72952"/>
    <w:rsid w:val="00A76C9E"/>
    <w:rsid w:val="00A776EA"/>
    <w:rsid w:val="00A80B64"/>
    <w:rsid w:val="00A84F0F"/>
    <w:rsid w:val="00A97C36"/>
    <w:rsid w:val="00AB06E1"/>
    <w:rsid w:val="00AB5B4B"/>
    <w:rsid w:val="00AE191A"/>
    <w:rsid w:val="00AE20D4"/>
    <w:rsid w:val="00AF0CE0"/>
    <w:rsid w:val="00AF1B51"/>
    <w:rsid w:val="00AF64F0"/>
    <w:rsid w:val="00B021ED"/>
    <w:rsid w:val="00B05370"/>
    <w:rsid w:val="00B13EC9"/>
    <w:rsid w:val="00B225B8"/>
    <w:rsid w:val="00B32B0B"/>
    <w:rsid w:val="00B33340"/>
    <w:rsid w:val="00B511E1"/>
    <w:rsid w:val="00B521BE"/>
    <w:rsid w:val="00B665A4"/>
    <w:rsid w:val="00B74BE8"/>
    <w:rsid w:val="00B77DFB"/>
    <w:rsid w:val="00B80E7B"/>
    <w:rsid w:val="00B8378F"/>
    <w:rsid w:val="00B90DF3"/>
    <w:rsid w:val="00BB03FE"/>
    <w:rsid w:val="00BC4024"/>
    <w:rsid w:val="00BD1316"/>
    <w:rsid w:val="00BD190A"/>
    <w:rsid w:val="00BD5253"/>
    <w:rsid w:val="00BD6887"/>
    <w:rsid w:val="00BF443E"/>
    <w:rsid w:val="00BF593D"/>
    <w:rsid w:val="00BF611B"/>
    <w:rsid w:val="00C07E4B"/>
    <w:rsid w:val="00C20313"/>
    <w:rsid w:val="00C22864"/>
    <w:rsid w:val="00C32A72"/>
    <w:rsid w:val="00C35B79"/>
    <w:rsid w:val="00C3772F"/>
    <w:rsid w:val="00C40C8D"/>
    <w:rsid w:val="00C50B94"/>
    <w:rsid w:val="00C61304"/>
    <w:rsid w:val="00C64B28"/>
    <w:rsid w:val="00C8222C"/>
    <w:rsid w:val="00C90734"/>
    <w:rsid w:val="00C944A6"/>
    <w:rsid w:val="00C9606B"/>
    <w:rsid w:val="00C97330"/>
    <w:rsid w:val="00CA1A10"/>
    <w:rsid w:val="00CA1D55"/>
    <w:rsid w:val="00CA690A"/>
    <w:rsid w:val="00CA6EBA"/>
    <w:rsid w:val="00CA7691"/>
    <w:rsid w:val="00CB3E07"/>
    <w:rsid w:val="00CB4A46"/>
    <w:rsid w:val="00CB7E7B"/>
    <w:rsid w:val="00CC4CDD"/>
    <w:rsid w:val="00CC79B1"/>
    <w:rsid w:val="00CD2085"/>
    <w:rsid w:val="00CE1B98"/>
    <w:rsid w:val="00CF181E"/>
    <w:rsid w:val="00CF2A21"/>
    <w:rsid w:val="00CF460C"/>
    <w:rsid w:val="00CF585C"/>
    <w:rsid w:val="00CF6301"/>
    <w:rsid w:val="00D00900"/>
    <w:rsid w:val="00D02934"/>
    <w:rsid w:val="00D03FCB"/>
    <w:rsid w:val="00D04A66"/>
    <w:rsid w:val="00D15198"/>
    <w:rsid w:val="00D23F04"/>
    <w:rsid w:val="00D2689E"/>
    <w:rsid w:val="00D272C0"/>
    <w:rsid w:val="00D341AC"/>
    <w:rsid w:val="00D43EFD"/>
    <w:rsid w:val="00D517C5"/>
    <w:rsid w:val="00D51ED4"/>
    <w:rsid w:val="00D54438"/>
    <w:rsid w:val="00D65D63"/>
    <w:rsid w:val="00D67781"/>
    <w:rsid w:val="00D7301E"/>
    <w:rsid w:val="00D73849"/>
    <w:rsid w:val="00D73AEB"/>
    <w:rsid w:val="00D77F49"/>
    <w:rsid w:val="00D85085"/>
    <w:rsid w:val="00D9050E"/>
    <w:rsid w:val="00D94CF1"/>
    <w:rsid w:val="00DA4EBA"/>
    <w:rsid w:val="00DA749D"/>
    <w:rsid w:val="00DB2B6F"/>
    <w:rsid w:val="00DC1CFD"/>
    <w:rsid w:val="00DC2C78"/>
    <w:rsid w:val="00DD5B27"/>
    <w:rsid w:val="00DD7DBE"/>
    <w:rsid w:val="00DF3D57"/>
    <w:rsid w:val="00DF510F"/>
    <w:rsid w:val="00DF79FC"/>
    <w:rsid w:val="00E017E2"/>
    <w:rsid w:val="00E0336C"/>
    <w:rsid w:val="00E238A5"/>
    <w:rsid w:val="00E32C8F"/>
    <w:rsid w:val="00E340A9"/>
    <w:rsid w:val="00E3548A"/>
    <w:rsid w:val="00E425D5"/>
    <w:rsid w:val="00E564ED"/>
    <w:rsid w:val="00E631BA"/>
    <w:rsid w:val="00E65531"/>
    <w:rsid w:val="00E73B30"/>
    <w:rsid w:val="00E80FF2"/>
    <w:rsid w:val="00EA0FF3"/>
    <w:rsid w:val="00EB053B"/>
    <w:rsid w:val="00EB667F"/>
    <w:rsid w:val="00EC3E2F"/>
    <w:rsid w:val="00EC5650"/>
    <w:rsid w:val="00EC771E"/>
    <w:rsid w:val="00ED2541"/>
    <w:rsid w:val="00ED51E4"/>
    <w:rsid w:val="00EF0673"/>
    <w:rsid w:val="00EF625C"/>
    <w:rsid w:val="00F02A63"/>
    <w:rsid w:val="00F036B6"/>
    <w:rsid w:val="00F0582E"/>
    <w:rsid w:val="00F078C1"/>
    <w:rsid w:val="00F1204F"/>
    <w:rsid w:val="00F1223A"/>
    <w:rsid w:val="00F1399D"/>
    <w:rsid w:val="00F210D1"/>
    <w:rsid w:val="00F22BD5"/>
    <w:rsid w:val="00F2509F"/>
    <w:rsid w:val="00F26E01"/>
    <w:rsid w:val="00F355B3"/>
    <w:rsid w:val="00F36B44"/>
    <w:rsid w:val="00F36D4F"/>
    <w:rsid w:val="00F46085"/>
    <w:rsid w:val="00F579FE"/>
    <w:rsid w:val="00F57DDE"/>
    <w:rsid w:val="00F7079B"/>
    <w:rsid w:val="00F73425"/>
    <w:rsid w:val="00F76AA1"/>
    <w:rsid w:val="00F808A4"/>
    <w:rsid w:val="00F818C8"/>
    <w:rsid w:val="00F82E9F"/>
    <w:rsid w:val="00F84FBB"/>
    <w:rsid w:val="00F90245"/>
    <w:rsid w:val="00F90625"/>
    <w:rsid w:val="00F90960"/>
    <w:rsid w:val="00F93190"/>
    <w:rsid w:val="00F96BB2"/>
    <w:rsid w:val="00FB7A55"/>
    <w:rsid w:val="00FC043B"/>
    <w:rsid w:val="00FC0F4A"/>
    <w:rsid w:val="00FC2D74"/>
    <w:rsid w:val="00FD12E3"/>
    <w:rsid w:val="00FD526D"/>
    <w:rsid w:val="00FD57A0"/>
    <w:rsid w:val="00FD6CCC"/>
    <w:rsid w:val="00FD75C0"/>
    <w:rsid w:val="00FE1414"/>
    <w:rsid w:val="00FE18A2"/>
    <w:rsid w:val="00FE5D99"/>
    <w:rsid w:val="00FF0365"/>
    <w:rsid w:val="00FF173E"/>
    <w:rsid w:val="00FF2EF8"/>
    <w:rsid w:val="00FF3935"/>
    <w:rsid w:val="00FF467A"/>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5E890"/>
  <w15:docId w15:val="{5E674621-354C-40C3-9E48-C1010C17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lang w:eastAsia="ko-KR"/>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lang w:eastAsia="ko-KR"/>
    </w:rPr>
  </w:style>
  <w:style w:type="character" w:customStyle="1" w:styleId="DocID">
    <w:name w:val="DocID"/>
    <w:basedOn w:val="DefaultParagraphFont"/>
    <w:rPr>
      <w:rFonts w:ascii="Arial" w:hAnsi="Arial" w:cs="Arial"/>
      <w:b w:val="0"/>
      <w:i w:val="0"/>
      <w:caps w:val="0"/>
      <w:vanish w:val="0"/>
      <w:color w:val="000000"/>
      <w:sz w:val="15"/>
      <w:szCs w:val="22"/>
      <w:u w:val="non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ko-KR"/>
    </w:rPr>
  </w:style>
  <w:style w:type="paragraph" w:styleId="Revision">
    <w:name w:val="Revision"/>
    <w:hidden/>
    <w:uiPriority w:val="99"/>
    <w:semiHidden/>
    <w:rsid w:val="005758F3"/>
    <w:rPr>
      <w:sz w:val="24"/>
      <w:szCs w:val="24"/>
      <w:lang w:eastAsia="ko-KR"/>
    </w:rPr>
  </w:style>
  <w:style w:type="character" w:styleId="CommentReference">
    <w:name w:val="annotation reference"/>
    <w:basedOn w:val="DefaultParagraphFont"/>
    <w:uiPriority w:val="99"/>
    <w:semiHidden/>
    <w:unhideWhenUsed/>
    <w:rsid w:val="00736DC0"/>
    <w:rPr>
      <w:sz w:val="16"/>
      <w:szCs w:val="16"/>
    </w:rPr>
  </w:style>
  <w:style w:type="paragraph" w:styleId="CommentText">
    <w:name w:val="annotation text"/>
    <w:basedOn w:val="Normal"/>
    <w:link w:val="CommentTextChar"/>
    <w:semiHidden/>
    <w:unhideWhenUsed/>
    <w:rsid w:val="00736DC0"/>
    <w:rPr>
      <w:sz w:val="20"/>
      <w:szCs w:val="20"/>
    </w:rPr>
  </w:style>
  <w:style w:type="character" w:customStyle="1" w:styleId="CommentTextChar">
    <w:name w:val="Comment Text Char"/>
    <w:basedOn w:val="DefaultParagraphFont"/>
    <w:link w:val="CommentText"/>
    <w:semiHidden/>
    <w:rsid w:val="00736DC0"/>
    <w:rPr>
      <w:lang w:eastAsia="ko-KR"/>
    </w:rPr>
  </w:style>
  <w:style w:type="paragraph" w:styleId="CommentSubject">
    <w:name w:val="annotation subject"/>
    <w:basedOn w:val="CommentText"/>
    <w:next w:val="CommentText"/>
    <w:link w:val="CommentSubjectChar"/>
    <w:semiHidden/>
    <w:unhideWhenUsed/>
    <w:rsid w:val="00736DC0"/>
    <w:rPr>
      <w:b/>
      <w:bCs/>
    </w:rPr>
  </w:style>
  <w:style w:type="character" w:customStyle="1" w:styleId="CommentSubjectChar">
    <w:name w:val="Comment Subject Char"/>
    <w:basedOn w:val="CommentTextChar"/>
    <w:link w:val="CommentSubject"/>
    <w:semiHidden/>
    <w:rsid w:val="00736DC0"/>
    <w:rPr>
      <w:b/>
      <w:bCs/>
      <w:lang w:eastAsia="ko-KR"/>
    </w:rPr>
  </w:style>
  <w:style w:type="character" w:customStyle="1" w:styleId="UnresolvedMention1">
    <w:name w:val="Unresolved Mention1"/>
    <w:basedOn w:val="DefaultParagraphFont"/>
    <w:uiPriority w:val="99"/>
    <w:semiHidden/>
    <w:unhideWhenUsed/>
    <w:rsid w:val="004E5F51"/>
    <w:rPr>
      <w:color w:val="605E5C"/>
      <w:shd w:val="clear" w:color="auto" w:fill="E1DFDD"/>
    </w:rPr>
  </w:style>
  <w:style w:type="character" w:customStyle="1" w:styleId="UnresolvedMention2">
    <w:name w:val="Unresolved Mention2"/>
    <w:basedOn w:val="DefaultParagraphFont"/>
    <w:uiPriority w:val="99"/>
    <w:semiHidden/>
    <w:unhideWhenUsed/>
    <w:rsid w:val="00912108"/>
    <w:rPr>
      <w:color w:val="605E5C"/>
      <w:shd w:val="clear" w:color="auto" w:fill="E1DFDD"/>
    </w:rPr>
  </w:style>
  <w:style w:type="paragraph" w:styleId="NormalWeb">
    <w:name w:val="Normal (Web)"/>
    <w:basedOn w:val="Normal"/>
    <w:uiPriority w:val="99"/>
    <w:unhideWhenUsed/>
    <w:rsid w:val="00B665A4"/>
    <w:pPr>
      <w:spacing w:before="100" w:beforeAutospacing="1" w:after="100" w:afterAutospacing="1"/>
    </w:pPr>
    <w:rPr>
      <w:lang w:eastAsia="en-US"/>
    </w:rPr>
  </w:style>
  <w:style w:type="character" w:styleId="FollowedHyperlink">
    <w:name w:val="FollowedHyperlink"/>
    <w:basedOn w:val="DefaultParagraphFont"/>
    <w:semiHidden/>
    <w:unhideWhenUsed/>
    <w:rsid w:val="00840A13"/>
    <w:rPr>
      <w:color w:val="800080" w:themeColor="followedHyperlink"/>
      <w:u w:val="single"/>
    </w:rPr>
  </w:style>
  <w:style w:type="paragraph" w:customStyle="1" w:styleId="DocsID">
    <w:name w:val="DocsID"/>
    <w:basedOn w:val="Normal"/>
    <w:rsid w:val="00D517C5"/>
    <w:pPr>
      <w:spacing w:before="20"/>
    </w:pPr>
    <w:rPr>
      <w:rFonts w:ascii="Arial" w:hAnsi="Arial" w:cs="Arial"/>
      <w:color w:val="000080"/>
      <w:sz w:val="16"/>
      <w:szCs w:val="20"/>
      <w:lang w:val="en-CA" w:eastAsia="en-US"/>
    </w:rPr>
  </w:style>
  <w:style w:type="character" w:customStyle="1" w:styleId="UnresolvedMention3">
    <w:name w:val="Unresolved Mention3"/>
    <w:basedOn w:val="DefaultParagraphFont"/>
    <w:uiPriority w:val="99"/>
    <w:semiHidden/>
    <w:unhideWhenUsed/>
    <w:rsid w:val="00046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905159">
      <w:bodyDiv w:val="1"/>
      <w:marLeft w:val="0"/>
      <w:marRight w:val="0"/>
      <w:marTop w:val="0"/>
      <w:marBottom w:val="0"/>
      <w:divBdr>
        <w:top w:val="none" w:sz="0" w:space="0" w:color="auto"/>
        <w:left w:val="none" w:sz="0" w:space="0" w:color="auto"/>
        <w:bottom w:val="none" w:sz="0" w:space="0" w:color="auto"/>
        <w:right w:val="none" w:sz="0" w:space="0" w:color="auto"/>
      </w:divBdr>
      <w:divsChild>
        <w:div w:id="443160772">
          <w:marLeft w:val="0"/>
          <w:marRight w:val="0"/>
          <w:marTop w:val="0"/>
          <w:marBottom w:val="0"/>
          <w:divBdr>
            <w:top w:val="none" w:sz="0" w:space="0" w:color="auto"/>
            <w:left w:val="none" w:sz="0" w:space="0" w:color="auto"/>
            <w:bottom w:val="none" w:sz="0" w:space="0" w:color="auto"/>
            <w:right w:val="none" w:sz="0" w:space="0" w:color="auto"/>
          </w:divBdr>
        </w:div>
      </w:divsChild>
    </w:div>
    <w:div w:id="410083346">
      <w:bodyDiv w:val="1"/>
      <w:marLeft w:val="0"/>
      <w:marRight w:val="0"/>
      <w:marTop w:val="0"/>
      <w:marBottom w:val="0"/>
      <w:divBdr>
        <w:top w:val="none" w:sz="0" w:space="0" w:color="auto"/>
        <w:left w:val="none" w:sz="0" w:space="0" w:color="auto"/>
        <w:bottom w:val="none" w:sz="0" w:space="0" w:color="auto"/>
        <w:right w:val="none" w:sz="0" w:space="0" w:color="auto"/>
      </w:divBdr>
    </w:div>
    <w:div w:id="439688430">
      <w:bodyDiv w:val="1"/>
      <w:marLeft w:val="0"/>
      <w:marRight w:val="0"/>
      <w:marTop w:val="0"/>
      <w:marBottom w:val="0"/>
      <w:divBdr>
        <w:top w:val="none" w:sz="0" w:space="0" w:color="auto"/>
        <w:left w:val="none" w:sz="0" w:space="0" w:color="auto"/>
        <w:bottom w:val="none" w:sz="0" w:space="0" w:color="auto"/>
        <w:right w:val="none" w:sz="0" w:space="0" w:color="auto"/>
      </w:divBdr>
    </w:div>
    <w:div w:id="482163014">
      <w:bodyDiv w:val="1"/>
      <w:marLeft w:val="0"/>
      <w:marRight w:val="0"/>
      <w:marTop w:val="0"/>
      <w:marBottom w:val="0"/>
      <w:divBdr>
        <w:top w:val="none" w:sz="0" w:space="0" w:color="auto"/>
        <w:left w:val="none" w:sz="0" w:space="0" w:color="auto"/>
        <w:bottom w:val="none" w:sz="0" w:space="0" w:color="auto"/>
        <w:right w:val="none" w:sz="0" w:space="0" w:color="auto"/>
      </w:divBdr>
      <w:divsChild>
        <w:div w:id="1477186492">
          <w:marLeft w:val="0"/>
          <w:marRight w:val="0"/>
          <w:marTop w:val="0"/>
          <w:marBottom w:val="0"/>
          <w:divBdr>
            <w:top w:val="none" w:sz="0" w:space="0" w:color="auto"/>
            <w:left w:val="none" w:sz="0" w:space="0" w:color="auto"/>
            <w:bottom w:val="none" w:sz="0" w:space="0" w:color="auto"/>
            <w:right w:val="none" w:sz="0" w:space="0" w:color="auto"/>
          </w:divBdr>
          <w:divsChild>
            <w:div w:id="41248931">
              <w:marLeft w:val="0"/>
              <w:marRight w:val="0"/>
              <w:marTop w:val="0"/>
              <w:marBottom w:val="0"/>
              <w:divBdr>
                <w:top w:val="none" w:sz="0" w:space="0" w:color="auto"/>
                <w:left w:val="none" w:sz="0" w:space="0" w:color="auto"/>
                <w:bottom w:val="none" w:sz="0" w:space="0" w:color="auto"/>
                <w:right w:val="none" w:sz="0" w:space="0" w:color="auto"/>
              </w:divBdr>
              <w:divsChild>
                <w:div w:id="1168208297">
                  <w:marLeft w:val="0"/>
                  <w:marRight w:val="0"/>
                  <w:marTop w:val="0"/>
                  <w:marBottom w:val="0"/>
                  <w:divBdr>
                    <w:top w:val="none" w:sz="0" w:space="0" w:color="auto"/>
                    <w:left w:val="none" w:sz="0" w:space="0" w:color="auto"/>
                    <w:bottom w:val="none" w:sz="0" w:space="0" w:color="auto"/>
                    <w:right w:val="none" w:sz="0" w:space="0" w:color="auto"/>
                  </w:divBdr>
                  <w:divsChild>
                    <w:div w:id="12372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5279">
      <w:bodyDiv w:val="1"/>
      <w:marLeft w:val="0"/>
      <w:marRight w:val="0"/>
      <w:marTop w:val="0"/>
      <w:marBottom w:val="0"/>
      <w:divBdr>
        <w:top w:val="none" w:sz="0" w:space="0" w:color="auto"/>
        <w:left w:val="none" w:sz="0" w:space="0" w:color="auto"/>
        <w:bottom w:val="none" w:sz="0" w:space="0" w:color="auto"/>
        <w:right w:val="none" w:sz="0" w:space="0" w:color="auto"/>
      </w:divBdr>
    </w:div>
    <w:div w:id="1517108969">
      <w:bodyDiv w:val="1"/>
      <w:marLeft w:val="0"/>
      <w:marRight w:val="0"/>
      <w:marTop w:val="0"/>
      <w:marBottom w:val="0"/>
      <w:divBdr>
        <w:top w:val="none" w:sz="0" w:space="0" w:color="auto"/>
        <w:left w:val="none" w:sz="0" w:space="0" w:color="auto"/>
        <w:bottom w:val="none" w:sz="0" w:space="0" w:color="auto"/>
        <w:right w:val="none" w:sz="0" w:space="0" w:color="auto"/>
      </w:divBdr>
    </w:div>
    <w:div w:id="1663242637">
      <w:bodyDiv w:val="1"/>
      <w:marLeft w:val="0"/>
      <w:marRight w:val="0"/>
      <w:marTop w:val="0"/>
      <w:marBottom w:val="0"/>
      <w:divBdr>
        <w:top w:val="none" w:sz="0" w:space="0" w:color="auto"/>
        <w:left w:val="none" w:sz="0" w:space="0" w:color="auto"/>
        <w:bottom w:val="none" w:sz="0" w:space="0" w:color="auto"/>
        <w:right w:val="none" w:sz="0" w:space="0" w:color="auto"/>
      </w:divBdr>
    </w:div>
    <w:div w:id="1738505759">
      <w:bodyDiv w:val="1"/>
      <w:marLeft w:val="0"/>
      <w:marRight w:val="0"/>
      <w:marTop w:val="0"/>
      <w:marBottom w:val="0"/>
      <w:divBdr>
        <w:top w:val="none" w:sz="0" w:space="0" w:color="auto"/>
        <w:left w:val="none" w:sz="0" w:space="0" w:color="auto"/>
        <w:bottom w:val="none" w:sz="0" w:space="0" w:color="auto"/>
        <w:right w:val="none" w:sz="0" w:space="0" w:color="auto"/>
      </w:divBdr>
    </w:div>
    <w:div w:id="1826892237">
      <w:bodyDiv w:val="1"/>
      <w:marLeft w:val="0"/>
      <w:marRight w:val="0"/>
      <w:marTop w:val="0"/>
      <w:marBottom w:val="0"/>
      <w:divBdr>
        <w:top w:val="none" w:sz="0" w:space="0" w:color="auto"/>
        <w:left w:val="none" w:sz="0" w:space="0" w:color="auto"/>
        <w:bottom w:val="none" w:sz="0" w:space="0" w:color="auto"/>
        <w:right w:val="none" w:sz="0" w:space="0" w:color="auto"/>
      </w:divBdr>
    </w:div>
    <w:div w:id="1865170913">
      <w:bodyDiv w:val="1"/>
      <w:marLeft w:val="0"/>
      <w:marRight w:val="0"/>
      <w:marTop w:val="0"/>
      <w:marBottom w:val="0"/>
      <w:divBdr>
        <w:top w:val="none" w:sz="0" w:space="0" w:color="auto"/>
        <w:left w:val="none" w:sz="0" w:space="0" w:color="auto"/>
        <w:bottom w:val="none" w:sz="0" w:space="0" w:color="auto"/>
        <w:right w:val="none" w:sz="0" w:space="0" w:color="auto"/>
      </w:divBdr>
    </w:div>
    <w:div w:id="1963683708">
      <w:bodyDiv w:val="1"/>
      <w:marLeft w:val="0"/>
      <w:marRight w:val="0"/>
      <w:marTop w:val="0"/>
      <w:marBottom w:val="0"/>
      <w:divBdr>
        <w:top w:val="none" w:sz="0" w:space="0" w:color="auto"/>
        <w:left w:val="none" w:sz="0" w:space="0" w:color="auto"/>
        <w:bottom w:val="none" w:sz="0" w:space="0" w:color="auto"/>
        <w:right w:val="none" w:sz="0" w:space="0" w:color="auto"/>
      </w:divBdr>
      <w:divsChild>
        <w:div w:id="1430732155">
          <w:marLeft w:val="720"/>
          <w:marRight w:val="0"/>
          <w:marTop w:val="0"/>
          <w:marBottom w:val="120"/>
          <w:divBdr>
            <w:top w:val="none" w:sz="0" w:space="0" w:color="auto"/>
            <w:left w:val="none" w:sz="0" w:space="0" w:color="auto"/>
            <w:bottom w:val="none" w:sz="0" w:space="0" w:color="auto"/>
            <w:right w:val="none" w:sz="0" w:space="0" w:color="auto"/>
          </w:divBdr>
        </w:div>
        <w:div w:id="1451168521">
          <w:marLeft w:val="720"/>
          <w:marRight w:val="0"/>
          <w:marTop w:val="0"/>
          <w:marBottom w:val="120"/>
          <w:divBdr>
            <w:top w:val="none" w:sz="0" w:space="0" w:color="auto"/>
            <w:left w:val="none" w:sz="0" w:space="0" w:color="auto"/>
            <w:bottom w:val="none" w:sz="0" w:space="0" w:color="auto"/>
            <w:right w:val="none" w:sz="0" w:space="0" w:color="auto"/>
          </w:divBdr>
        </w:div>
        <w:div w:id="1845394441">
          <w:marLeft w:val="720"/>
          <w:marRight w:val="0"/>
          <w:marTop w:val="0"/>
          <w:marBottom w:val="120"/>
          <w:divBdr>
            <w:top w:val="none" w:sz="0" w:space="0" w:color="auto"/>
            <w:left w:val="none" w:sz="0" w:space="0" w:color="auto"/>
            <w:bottom w:val="none" w:sz="0" w:space="0" w:color="auto"/>
            <w:right w:val="none" w:sz="0" w:space="0" w:color="auto"/>
          </w:divBdr>
        </w:div>
        <w:div w:id="1578709511">
          <w:marLeft w:val="720"/>
          <w:marRight w:val="0"/>
          <w:marTop w:val="0"/>
          <w:marBottom w:val="120"/>
          <w:divBdr>
            <w:top w:val="none" w:sz="0" w:space="0" w:color="auto"/>
            <w:left w:val="none" w:sz="0" w:space="0" w:color="auto"/>
            <w:bottom w:val="none" w:sz="0" w:space="0" w:color="auto"/>
            <w:right w:val="none" w:sz="0" w:space="0" w:color="auto"/>
          </w:divBdr>
        </w:div>
        <w:div w:id="2064211443">
          <w:marLeft w:val="720"/>
          <w:marRight w:val="0"/>
          <w:marTop w:val="0"/>
          <w:marBottom w:val="120"/>
          <w:divBdr>
            <w:top w:val="none" w:sz="0" w:space="0" w:color="auto"/>
            <w:left w:val="none" w:sz="0" w:space="0" w:color="auto"/>
            <w:bottom w:val="none" w:sz="0" w:space="0" w:color="auto"/>
            <w:right w:val="none" w:sz="0" w:space="0" w:color="auto"/>
          </w:divBdr>
        </w:div>
        <w:div w:id="432408432">
          <w:marLeft w:val="720"/>
          <w:marRight w:val="0"/>
          <w:marTop w:val="0"/>
          <w:marBottom w:val="120"/>
          <w:divBdr>
            <w:top w:val="none" w:sz="0" w:space="0" w:color="auto"/>
            <w:left w:val="none" w:sz="0" w:space="0" w:color="auto"/>
            <w:bottom w:val="none" w:sz="0" w:space="0" w:color="auto"/>
            <w:right w:val="none" w:sz="0" w:space="0" w:color="auto"/>
          </w:divBdr>
        </w:div>
        <w:div w:id="1072894037">
          <w:marLeft w:val="720"/>
          <w:marRight w:val="0"/>
          <w:marTop w:val="0"/>
          <w:marBottom w:val="120"/>
          <w:divBdr>
            <w:top w:val="none" w:sz="0" w:space="0" w:color="auto"/>
            <w:left w:val="none" w:sz="0" w:space="0" w:color="auto"/>
            <w:bottom w:val="none" w:sz="0" w:space="0" w:color="auto"/>
            <w:right w:val="none" w:sz="0" w:space="0" w:color="auto"/>
          </w:divBdr>
        </w:div>
        <w:div w:id="472258481">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c6864c76-de7d-11e7-a0d4-0944c5f49e46" TargetMode="External"/><Relationship Id="rId13" Type="http://schemas.openxmlformats.org/officeDocument/2006/relationships/hyperlink" Target="https://sdtc.canuckcoder.com/en/projects/metasolar-enabling-a-cleaner-transportation-future/" TargetMode="External"/><Relationship Id="rId18" Type="http://schemas.openxmlformats.org/officeDocument/2006/relationships/hyperlink" Target="mailto:mark@metamateria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wired.com/story/metamaterials/" TargetMode="External"/><Relationship Id="rId12" Type="http://schemas.openxmlformats.org/officeDocument/2006/relationships/hyperlink" Target="https://www.printedelectronicsworld.com/articles/6022/rolith-inc-wins-the-2013-best-manufacturing-technology-award" TargetMode="External"/><Relationship Id="rId17" Type="http://schemas.openxmlformats.org/officeDocument/2006/relationships/hyperlink" Target="http://harboraccessllc.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r@torchlightenergy.com" TargetMode="External"/><Relationship Id="rId20" Type="http://schemas.openxmlformats.org/officeDocument/2006/relationships/hyperlink" Target="http://www.torchlightenerg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wire.ca/news-releases/airbus-applauds-partner-metamaterial-technologies-inc-for-win-at-aviation-week-laureate-awards-678620173.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dgradwell@integcom.us" TargetMode="External"/><Relationship Id="rId23" Type="http://schemas.openxmlformats.org/officeDocument/2006/relationships/header" Target="header2.xml"/><Relationship Id="rId10" Type="http://schemas.openxmlformats.org/officeDocument/2006/relationships/hyperlink" Target="https://laureates.aviationweek.com/en/winners/2018-winners.html" TargetMode="External"/><Relationship Id="rId19" Type="http://schemas.openxmlformats.org/officeDocument/2006/relationships/hyperlink" Target="http://www.metamaterial.com" TargetMode="External"/><Relationship Id="rId4" Type="http://schemas.openxmlformats.org/officeDocument/2006/relationships/webSettings" Target="webSettings.xml"/><Relationship Id="rId9" Type="http://schemas.openxmlformats.org/officeDocument/2006/relationships/hyperlink" Target="https://www.cleantech.com/" TargetMode="External"/><Relationship Id="rId14" Type="http://schemas.openxmlformats.org/officeDocument/2006/relationships/hyperlink" Target="http://www.integcom.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2711</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LeCroy Corporation Announces</vt:lpstr>
    </vt:vector>
  </TitlesOfParts>
  <Company>Needham &amp; Company</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LeCroy Corporation Announces</dc:title>
  <dc:subject/>
  <dc:creator>J. Coulombe</dc:creator>
  <cp:keywords/>
  <dc:description/>
  <cp:lastModifiedBy>Derek Gradwell</cp:lastModifiedBy>
  <cp:revision>2</cp:revision>
  <cp:lastPrinted>2018-04-17T22:35:00Z</cp:lastPrinted>
  <dcterms:created xsi:type="dcterms:W3CDTF">2020-09-21T12:44:00Z</dcterms:created>
  <dcterms:modified xsi:type="dcterms:W3CDTF">2020-09-21T12:44:00Z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501239689 v1</vt:lpwstr>
  </property>
  <property fmtid="{D5CDD505-2E9C-101B-9397-08002B2CF9AE}" pid="3" name="DocIDAutoUpdate">
    <vt:lpwstr>ALL</vt:lpwstr>
  </property>
  <property fmtid="{D5CDD505-2E9C-101B-9397-08002B2CF9AE}" pid="4" name="DocsID">
    <vt:lpwstr>4153-4986-0135 v11</vt:lpwstr>
  </property>
</Properties>
</file>