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09739" w14:textId="2E42E646" w:rsidR="005B7B06" w:rsidRPr="008C23E5" w:rsidRDefault="00627571" w:rsidP="00627571">
      <w:pPr>
        <w:spacing w:after="240" w:line="480" w:lineRule="exact"/>
        <w:jc w:val="center"/>
        <w:outlineLvl w:val="1"/>
        <w:rPr>
          <w:rFonts w:asciiTheme="majorHAnsi" w:eastAsia="Times New Roman" w:hAnsiTheme="majorHAnsi" w:cstheme="majorHAnsi"/>
          <w:b/>
          <w:bCs/>
          <w:sz w:val="36"/>
          <w:szCs w:val="36"/>
        </w:rPr>
      </w:pPr>
      <w:r w:rsidRPr="008C23E5">
        <w:rPr>
          <w:rFonts w:asciiTheme="majorHAnsi" w:eastAsia="Times New Roman" w:hAnsiTheme="majorHAnsi" w:cstheme="majorHAnsi"/>
          <w:b/>
          <w:bCs/>
          <w:sz w:val="36"/>
          <w:szCs w:val="36"/>
        </w:rPr>
        <w:t>Monterey Minerals</w:t>
      </w:r>
      <w:r w:rsidR="008C23E5">
        <w:rPr>
          <w:rFonts w:asciiTheme="majorHAnsi" w:eastAsia="Times New Roman" w:hAnsiTheme="majorHAnsi" w:cstheme="majorHAnsi"/>
          <w:b/>
          <w:bCs/>
          <w:sz w:val="36"/>
          <w:szCs w:val="36"/>
        </w:rPr>
        <w:t xml:space="preserve"> </w:t>
      </w:r>
      <w:r w:rsidR="003044ED">
        <w:rPr>
          <w:rFonts w:asciiTheme="majorHAnsi" w:eastAsia="Times New Roman" w:hAnsiTheme="majorHAnsi" w:cstheme="majorHAnsi"/>
          <w:b/>
          <w:bCs/>
          <w:sz w:val="36"/>
          <w:szCs w:val="36"/>
        </w:rPr>
        <w:t>Sell</w:t>
      </w:r>
      <w:r w:rsidR="00356EBB">
        <w:rPr>
          <w:rFonts w:asciiTheme="majorHAnsi" w:eastAsia="Times New Roman" w:hAnsiTheme="majorHAnsi" w:cstheme="majorHAnsi"/>
          <w:b/>
          <w:bCs/>
          <w:sz w:val="36"/>
          <w:szCs w:val="36"/>
        </w:rPr>
        <w:t>s</w:t>
      </w:r>
      <w:r w:rsidR="003044ED">
        <w:rPr>
          <w:rFonts w:asciiTheme="majorHAnsi" w:eastAsia="Times New Roman" w:hAnsiTheme="majorHAnsi" w:cstheme="majorHAnsi"/>
          <w:b/>
          <w:bCs/>
          <w:sz w:val="36"/>
          <w:szCs w:val="36"/>
        </w:rPr>
        <w:t xml:space="preserve"> its Southern Pilbara Tenements</w:t>
      </w:r>
      <w:r w:rsidR="0006595A">
        <w:rPr>
          <w:rFonts w:asciiTheme="majorHAnsi" w:eastAsia="Times New Roman" w:hAnsiTheme="majorHAnsi" w:cstheme="majorHAnsi"/>
          <w:b/>
          <w:bCs/>
          <w:sz w:val="36"/>
          <w:szCs w:val="36"/>
        </w:rPr>
        <w:t xml:space="preserve"> and Options its Northern Pilbara Tenements</w:t>
      </w:r>
    </w:p>
    <w:p w14:paraId="7F21DA82" w14:textId="79A436F1" w:rsidR="00627571" w:rsidRPr="00356EBB" w:rsidRDefault="0006595A" w:rsidP="0006595A">
      <w:pPr>
        <w:spacing w:after="120"/>
        <w:jc w:val="both"/>
        <w:rPr>
          <w:rFonts w:ascii="Calibri" w:hAnsi="Calibri" w:cs="Calibri"/>
          <w:color w:val="000000" w:themeColor="text1"/>
        </w:rPr>
      </w:pPr>
      <w:r w:rsidRPr="003044ED">
        <w:rPr>
          <w:noProof/>
        </w:rPr>
        <w:drawing>
          <wp:anchor distT="0" distB="0" distL="114300" distR="114300" simplePos="0" relativeHeight="251658240" behindDoc="0" locked="0" layoutInCell="1" allowOverlap="1" wp14:anchorId="69D99F93" wp14:editId="299A0F6A">
            <wp:simplePos x="0" y="0"/>
            <wp:positionH relativeFrom="column">
              <wp:posOffset>32401</wp:posOffset>
            </wp:positionH>
            <wp:positionV relativeFrom="paragraph">
              <wp:posOffset>1231265</wp:posOffset>
            </wp:positionV>
            <wp:extent cx="5941868" cy="3927600"/>
            <wp:effectExtent l="0" t="0" r="1905" b="0"/>
            <wp:wrapSquare wrapText="bothSides"/>
            <wp:docPr id="10" name="Picture 9" descr="A close up of a map&#10;&#10;Description automatically generated">
              <a:extLst xmlns:a="http://schemas.openxmlformats.org/drawingml/2006/main">
                <a:ext uri="{FF2B5EF4-FFF2-40B4-BE49-F238E27FC236}">
                  <a16:creationId xmlns:a16="http://schemas.microsoft.com/office/drawing/2014/main" id="{C91A24DF-93E7-6246-9E27-BC3B5521B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C91A24DF-93E7-6246-9E27-BC3B5521BF3A}"/>
                        </a:ext>
                      </a:extLst>
                    </pic:cNvPr>
                    <pic:cNvPicPr>
                      <a:picLocks noChangeAspect="1"/>
                    </pic:cNvPicPr>
                  </pic:nvPicPr>
                  <pic:blipFill>
                    <a:blip r:embed="rId7"/>
                    <a:stretch>
                      <a:fillRect/>
                    </a:stretch>
                  </pic:blipFill>
                  <pic:spPr>
                    <a:xfrm>
                      <a:off x="0" y="0"/>
                      <a:ext cx="5941868" cy="3927600"/>
                    </a:xfrm>
                    <a:prstGeom prst="rect">
                      <a:avLst/>
                    </a:prstGeom>
                  </pic:spPr>
                </pic:pic>
              </a:graphicData>
            </a:graphic>
            <wp14:sizeRelV relativeFrom="margin">
              <wp14:pctHeight>0</wp14:pctHeight>
            </wp14:sizeRelV>
          </wp:anchor>
        </w:drawing>
      </w:r>
      <w:r w:rsidR="00627571" w:rsidRPr="00201D70">
        <w:rPr>
          <w:rFonts w:ascii="Calibri" w:hAnsi="Calibri" w:cs="Calibri"/>
          <w:b/>
          <w:color w:val="000000" w:themeColor="text1"/>
        </w:rPr>
        <w:t>TORONTO, ON</w:t>
      </w:r>
      <w:r w:rsidR="00627571" w:rsidRPr="00201D70">
        <w:rPr>
          <w:rFonts w:ascii="Calibri" w:hAnsi="Calibri" w:cs="Calibri"/>
          <w:color w:val="000000" w:themeColor="text1"/>
        </w:rPr>
        <w:t xml:space="preserve"> </w:t>
      </w:r>
      <w:r w:rsidR="00356EBB">
        <w:rPr>
          <w:rFonts w:ascii="Calibri" w:hAnsi="Calibri" w:cs="Calibri"/>
          <w:color w:val="000000" w:themeColor="text1"/>
        </w:rPr>
        <w:t>-</w:t>
      </w:r>
      <w:r w:rsidR="00627571" w:rsidRPr="00201D70">
        <w:rPr>
          <w:rFonts w:ascii="Calibri" w:hAnsi="Calibri" w:cs="Calibri"/>
          <w:color w:val="000000" w:themeColor="text1"/>
        </w:rPr>
        <w:t xml:space="preserve"> </w:t>
      </w:r>
      <w:r w:rsidR="00627571">
        <w:rPr>
          <w:rFonts w:ascii="Calibri" w:hAnsi="Calibri" w:cs="Calibri"/>
          <w:color w:val="000000" w:themeColor="text1"/>
        </w:rPr>
        <w:t>September</w:t>
      </w:r>
      <w:r w:rsidR="00627571" w:rsidRPr="00201D70">
        <w:rPr>
          <w:rFonts w:ascii="Calibri" w:hAnsi="Calibri" w:cs="Calibri"/>
          <w:color w:val="000000" w:themeColor="text1"/>
        </w:rPr>
        <w:t xml:space="preserve"> </w:t>
      </w:r>
      <w:r w:rsidR="00356EBB">
        <w:rPr>
          <w:rFonts w:ascii="Calibri" w:hAnsi="Calibri" w:cs="Calibri"/>
          <w:color w:val="000000" w:themeColor="text1"/>
        </w:rPr>
        <w:t>2</w:t>
      </w:r>
      <w:r>
        <w:rPr>
          <w:rFonts w:ascii="Calibri" w:hAnsi="Calibri" w:cs="Calibri"/>
          <w:color w:val="000000" w:themeColor="text1"/>
        </w:rPr>
        <w:t>9</w:t>
      </w:r>
      <w:r w:rsidR="00627571" w:rsidRPr="00201D70">
        <w:rPr>
          <w:rFonts w:ascii="Calibri" w:hAnsi="Calibri" w:cs="Calibri"/>
          <w:color w:val="000000" w:themeColor="text1"/>
        </w:rPr>
        <w:t xml:space="preserve">, 2020 - </w:t>
      </w:r>
      <w:hyperlink r:id="rId8" w:history="1">
        <w:r w:rsidR="00627571" w:rsidRPr="00356EBB">
          <w:rPr>
            <w:rStyle w:val="Hyperlink"/>
            <w:rFonts w:ascii="Calibri" w:hAnsi="Calibri" w:cs="Calibri"/>
            <w:b/>
            <w:color w:val="000000" w:themeColor="text1"/>
          </w:rPr>
          <w:t>Monterey Minerals Inc.</w:t>
        </w:r>
      </w:hyperlink>
      <w:r w:rsidR="00627571" w:rsidRPr="00201D70">
        <w:rPr>
          <w:rFonts w:ascii="Calibri" w:hAnsi="Calibri" w:cs="Calibri"/>
          <w:color w:val="000000" w:themeColor="text1"/>
        </w:rPr>
        <w:t xml:space="preserve"> (the “</w:t>
      </w:r>
      <w:r w:rsidR="00627571" w:rsidRPr="00201D70">
        <w:rPr>
          <w:rFonts w:ascii="Calibri" w:hAnsi="Calibri" w:cs="Calibri"/>
          <w:b/>
          <w:color w:val="000000" w:themeColor="text1"/>
        </w:rPr>
        <w:t>Company</w:t>
      </w:r>
      <w:r w:rsidR="00627571" w:rsidRPr="00201D70">
        <w:rPr>
          <w:rFonts w:ascii="Calibri" w:hAnsi="Calibri" w:cs="Calibri"/>
          <w:color w:val="000000" w:themeColor="text1"/>
        </w:rPr>
        <w:t>” or “</w:t>
      </w:r>
      <w:r w:rsidR="00627571" w:rsidRPr="00201D70">
        <w:rPr>
          <w:rFonts w:ascii="Calibri" w:hAnsi="Calibri" w:cs="Calibri"/>
          <w:b/>
          <w:color w:val="000000" w:themeColor="text1"/>
        </w:rPr>
        <w:t>Monterey</w:t>
      </w:r>
      <w:r w:rsidR="00627571" w:rsidRPr="00201D70">
        <w:rPr>
          <w:rFonts w:ascii="Calibri" w:hAnsi="Calibri" w:cs="Calibri"/>
          <w:color w:val="000000" w:themeColor="text1"/>
        </w:rPr>
        <w:t>”) (</w:t>
      </w:r>
      <w:hyperlink r:id="rId9" w:history="1">
        <w:r w:rsidR="00627571" w:rsidRPr="00201D70">
          <w:rPr>
            <w:rStyle w:val="Hyperlink"/>
            <w:rFonts w:ascii="Calibri" w:hAnsi="Calibri" w:cs="Calibri"/>
            <w:color w:val="000000" w:themeColor="text1"/>
          </w:rPr>
          <w:t>CSE: MREY</w:t>
        </w:r>
      </w:hyperlink>
      <w:r w:rsidR="00627571" w:rsidRPr="00201D70">
        <w:rPr>
          <w:rFonts w:ascii="Calibri" w:hAnsi="Calibri" w:cs="Calibri"/>
          <w:color w:val="000000" w:themeColor="text1"/>
        </w:rPr>
        <w:t xml:space="preserve"> and </w:t>
      </w:r>
      <w:hyperlink r:id="rId10" w:history="1">
        <w:r w:rsidR="00627571" w:rsidRPr="00201D70">
          <w:rPr>
            <w:rStyle w:val="Hyperlink"/>
            <w:rFonts w:ascii="Calibri" w:hAnsi="Calibri" w:cs="Calibri"/>
            <w:color w:val="000000" w:themeColor="text1"/>
          </w:rPr>
          <w:t>FSE :2DK</w:t>
        </w:r>
      </w:hyperlink>
      <w:r w:rsidR="00627571" w:rsidRPr="00201D70">
        <w:rPr>
          <w:rFonts w:ascii="Calibri" w:hAnsi="Calibri" w:cs="Calibri"/>
          <w:color w:val="000000" w:themeColor="text1"/>
        </w:rPr>
        <w:t xml:space="preserve">) is pleased </w:t>
      </w:r>
      <w:r w:rsidR="003044ED">
        <w:rPr>
          <w:rFonts w:ascii="Calibri" w:hAnsi="Calibri" w:cs="Calibri"/>
          <w:color w:val="000000" w:themeColor="text1"/>
        </w:rPr>
        <w:t xml:space="preserve">announced that it has </w:t>
      </w:r>
      <w:r w:rsidR="00282F2F">
        <w:rPr>
          <w:rFonts w:ascii="Calibri" w:hAnsi="Calibri" w:cs="Calibri"/>
          <w:color w:val="000000" w:themeColor="text1"/>
        </w:rPr>
        <w:t>signe</w:t>
      </w:r>
      <w:r w:rsidR="003044ED">
        <w:rPr>
          <w:rFonts w:ascii="Calibri" w:hAnsi="Calibri" w:cs="Calibri"/>
          <w:color w:val="000000" w:themeColor="text1"/>
        </w:rPr>
        <w:t xml:space="preserve">d </w:t>
      </w:r>
      <w:r w:rsidR="004053CA">
        <w:rPr>
          <w:rFonts w:ascii="Calibri" w:hAnsi="Calibri" w:cs="Calibri"/>
          <w:color w:val="000000" w:themeColor="text1"/>
        </w:rPr>
        <w:t xml:space="preserve">a purchase and sale </w:t>
      </w:r>
      <w:r w:rsidR="003044ED">
        <w:rPr>
          <w:rFonts w:ascii="Calibri" w:hAnsi="Calibri" w:cs="Calibri"/>
          <w:color w:val="000000" w:themeColor="text1"/>
        </w:rPr>
        <w:t xml:space="preserve">agreement to sell </w:t>
      </w:r>
      <w:r w:rsidR="00356EBB">
        <w:rPr>
          <w:rFonts w:ascii="Calibri" w:hAnsi="Calibri" w:cs="Calibri"/>
          <w:color w:val="000000" w:themeColor="text1"/>
        </w:rPr>
        <w:t>four of its</w:t>
      </w:r>
      <w:r w:rsidR="003044ED">
        <w:rPr>
          <w:rFonts w:ascii="Calibri" w:hAnsi="Calibri" w:cs="Calibri"/>
          <w:color w:val="000000" w:themeColor="text1"/>
        </w:rPr>
        <w:t xml:space="preserve"> southern tenements (the “</w:t>
      </w:r>
      <w:r w:rsidR="003044ED">
        <w:rPr>
          <w:rFonts w:ascii="Calibri" w:hAnsi="Calibri" w:cs="Calibri"/>
          <w:b/>
          <w:bCs/>
          <w:color w:val="000000" w:themeColor="text1"/>
        </w:rPr>
        <w:t>Tenements</w:t>
      </w:r>
      <w:r w:rsidR="004053CA">
        <w:rPr>
          <w:rFonts w:ascii="Calibri" w:hAnsi="Calibri" w:cs="Calibri"/>
          <w:bCs/>
          <w:color w:val="000000" w:themeColor="text1"/>
        </w:rPr>
        <w:t>”)</w:t>
      </w:r>
      <w:r w:rsidR="003044ED">
        <w:rPr>
          <w:rFonts w:ascii="Calibri" w:hAnsi="Calibri" w:cs="Calibri"/>
          <w:color w:val="000000" w:themeColor="text1"/>
        </w:rPr>
        <w:t xml:space="preserve"> </w:t>
      </w:r>
      <w:r w:rsidR="00356EBB">
        <w:rPr>
          <w:rFonts w:ascii="Calibri" w:hAnsi="Calibri" w:cs="Calibri"/>
          <w:color w:val="000000" w:themeColor="text1"/>
        </w:rPr>
        <w:t>within the</w:t>
      </w:r>
      <w:r w:rsidR="003044ED">
        <w:rPr>
          <w:rFonts w:ascii="Calibri" w:hAnsi="Calibri" w:cs="Calibri"/>
          <w:color w:val="000000" w:themeColor="text1"/>
        </w:rPr>
        <w:t xml:space="preserve"> Company’s </w:t>
      </w:r>
      <w:r w:rsidR="00356EBB">
        <w:rPr>
          <w:rFonts w:ascii="Calibri" w:hAnsi="Calibri" w:cs="Calibri"/>
          <w:color w:val="000000" w:themeColor="text1"/>
        </w:rPr>
        <w:t xml:space="preserve">portfolio of </w:t>
      </w:r>
      <w:r w:rsidR="003044ED">
        <w:rPr>
          <w:rFonts w:ascii="Calibri" w:hAnsi="Calibri" w:cs="Calibri"/>
          <w:color w:val="000000" w:themeColor="text1"/>
        </w:rPr>
        <w:t xml:space="preserve">Pilbara </w:t>
      </w:r>
      <w:r w:rsidR="00356EBB">
        <w:rPr>
          <w:rFonts w:ascii="Calibri" w:hAnsi="Calibri" w:cs="Calibri"/>
          <w:color w:val="000000" w:themeColor="text1"/>
        </w:rPr>
        <w:t>g</w:t>
      </w:r>
      <w:r w:rsidR="003044ED">
        <w:rPr>
          <w:rFonts w:ascii="Calibri" w:hAnsi="Calibri" w:cs="Calibri"/>
          <w:color w:val="000000" w:themeColor="text1"/>
        </w:rPr>
        <w:t xml:space="preserve">old </w:t>
      </w:r>
      <w:r w:rsidR="00356EBB">
        <w:rPr>
          <w:rFonts w:ascii="Calibri" w:hAnsi="Calibri" w:cs="Calibri"/>
          <w:color w:val="000000" w:themeColor="text1"/>
        </w:rPr>
        <w:t>p</w:t>
      </w:r>
      <w:r w:rsidR="003044ED">
        <w:rPr>
          <w:rFonts w:ascii="Calibri" w:hAnsi="Calibri" w:cs="Calibri"/>
          <w:color w:val="000000" w:themeColor="text1"/>
        </w:rPr>
        <w:t>roperties.  New Age Exploration Limited</w:t>
      </w:r>
      <w:r w:rsidR="00AB471D">
        <w:rPr>
          <w:rFonts w:ascii="Calibri" w:hAnsi="Calibri" w:cs="Calibri"/>
          <w:color w:val="000000" w:themeColor="text1"/>
        </w:rPr>
        <w:t xml:space="preserve"> (ASX: NAE)</w:t>
      </w:r>
      <w:r w:rsidR="004053CA">
        <w:rPr>
          <w:rFonts w:ascii="Calibri" w:hAnsi="Calibri" w:cs="Calibri"/>
          <w:color w:val="000000" w:themeColor="text1"/>
        </w:rPr>
        <w:t xml:space="preserve"> (“</w:t>
      </w:r>
      <w:r w:rsidR="004053CA">
        <w:rPr>
          <w:rFonts w:ascii="Calibri" w:hAnsi="Calibri" w:cs="Calibri"/>
          <w:b/>
          <w:bCs/>
          <w:color w:val="000000" w:themeColor="text1"/>
        </w:rPr>
        <w:t>New Age</w:t>
      </w:r>
      <w:r w:rsidR="004053CA">
        <w:rPr>
          <w:rFonts w:ascii="Calibri" w:hAnsi="Calibri" w:cs="Calibri"/>
          <w:color w:val="000000" w:themeColor="text1"/>
        </w:rPr>
        <w:t xml:space="preserve">”) will acquire the Tenements for 25 million shares of New Age. </w:t>
      </w:r>
      <w:r>
        <w:rPr>
          <w:rFonts w:ascii="Calibri" w:hAnsi="Calibri" w:cs="Calibri"/>
          <w:color w:val="000000" w:themeColor="text1"/>
        </w:rPr>
        <w:t xml:space="preserve"> </w:t>
      </w:r>
      <w:r w:rsidR="00356EBB" w:rsidRPr="00356EBB">
        <w:rPr>
          <w:rFonts w:ascii="Calibri" w:hAnsi="Calibri" w:cs="Calibri"/>
          <w:color w:val="000000" w:themeColor="text1"/>
        </w:rPr>
        <w:t>The divested Tenements are E47/3886, E47/3887, E47/3891 and E45/5180</w:t>
      </w:r>
      <w:r w:rsidR="00356EBB">
        <w:rPr>
          <w:rFonts w:ascii="Calibri" w:hAnsi="Calibri" w:cs="Calibri"/>
          <w:color w:val="000000" w:themeColor="text1"/>
        </w:rPr>
        <w:t xml:space="preserve"> and represent 307 square kilometres (“sq. km.”).</w:t>
      </w:r>
    </w:p>
    <w:p w14:paraId="018B9623" w14:textId="4A3007EF" w:rsidR="00627571" w:rsidRPr="0006595A" w:rsidRDefault="00627571" w:rsidP="000F3903">
      <w:pPr>
        <w:spacing w:after="60"/>
        <w:jc w:val="both"/>
        <w:rPr>
          <w:rFonts w:ascii="Calibri" w:hAnsi="Calibri" w:cs="Calibri"/>
          <w:b/>
          <w:color w:val="000000" w:themeColor="text1"/>
          <w:sz w:val="12"/>
          <w:szCs w:val="12"/>
        </w:rPr>
      </w:pPr>
    </w:p>
    <w:p w14:paraId="65312D49" w14:textId="15A78121" w:rsidR="0006595A" w:rsidRDefault="0006595A" w:rsidP="0006595A">
      <w:pPr>
        <w:jc w:val="both"/>
        <w:rPr>
          <w:color w:val="000000" w:themeColor="text1" w:themeShade="BF"/>
        </w:rPr>
      </w:pPr>
      <w:r w:rsidRPr="0006595A">
        <w:rPr>
          <w:rFonts w:asciiTheme="majorHAnsi" w:hAnsiTheme="majorHAnsi" w:cstheme="majorHAnsi"/>
          <w:color w:val="000000" w:themeColor="text1" w:themeShade="BF"/>
        </w:rPr>
        <w:t xml:space="preserve">In addition, </w:t>
      </w:r>
      <w:r>
        <w:rPr>
          <w:rFonts w:asciiTheme="majorHAnsi" w:hAnsiTheme="majorHAnsi" w:cstheme="majorHAnsi"/>
          <w:color w:val="000000" w:themeColor="text1" w:themeShade="BF"/>
        </w:rPr>
        <w:t>New Age</w:t>
      </w:r>
      <w:r w:rsidRPr="0006595A">
        <w:rPr>
          <w:rFonts w:asciiTheme="majorHAnsi" w:hAnsiTheme="majorHAnsi" w:cstheme="majorHAnsi"/>
          <w:color w:val="000000" w:themeColor="text1" w:themeShade="BF"/>
        </w:rPr>
        <w:t xml:space="preserve"> has entered into an option and asset sale agreement to acquire a further four </w:t>
      </w:r>
      <w:r>
        <w:rPr>
          <w:rFonts w:asciiTheme="majorHAnsi" w:hAnsiTheme="majorHAnsi" w:cstheme="majorHAnsi"/>
          <w:color w:val="000000" w:themeColor="text1" w:themeShade="BF"/>
        </w:rPr>
        <w:t>tenements</w:t>
      </w:r>
      <w:r w:rsidRPr="0006595A">
        <w:rPr>
          <w:rFonts w:asciiTheme="majorHAnsi" w:hAnsiTheme="majorHAnsi" w:cstheme="majorHAnsi"/>
          <w:color w:val="000000" w:themeColor="text1" w:themeShade="BF"/>
        </w:rPr>
        <w:t xml:space="preserve"> </w:t>
      </w:r>
      <w:r>
        <w:rPr>
          <w:rFonts w:asciiTheme="majorHAnsi" w:hAnsiTheme="majorHAnsi" w:cstheme="majorHAnsi"/>
          <w:color w:val="000000" w:themeColor="text1" w:themeShade="BF"/>
        </w:rPr>
        <w:t xml:space="preserve">comprising 538 sq.km. </w:t>
      </w:r>
      <w:r w:rsidRPr="0006595A">
        <w:rPr>
          <w:rFonts w:asciiTheme="majorHAnsi" w:hAnsiTheme="majorHAnsi" w:cstheme="majorHAnsi"/>
          <w:color w:val="000000" w:themeColor="text1" w:themeShade="BF"/>
        </w:rPr>
        <w:t xml:space="preserve">from Monterey for total consideration of 75 million NAE shares and 37.5 million unlisted NAE options with an exercise price of $0.02, expiring 28 September 2023.  NAE will have an exclusive right to exercise the option to acquire the </w:t>
      </w:r>
      <w:r>
        <w:rPr>
          <w:rFonts w:asciiTheme="majorHAnsi" w:hAnsiTheme="majorHAnsi" w:cstheme="majorHAnsi"/>
          <w:color w:val="000000" w:themeColor="text1" w:themeShade="BF"/>
        </w:rPr>
        <w:t xml:space="preserve">four </w:t>
      </w:r>
      <w:r w:rsidRPr="0006595A">
        <w:rPr>
          <w:rFonts w:asciiTheme="majorHAnsi" w:hAnsiTheme="majorHAnsi" w:cstheme="majorHAnsi"/>
          <w:color w:val="000000" w:themeColor="text1" w:themeShade="BF"/>
        </w:rPr>
        <w:t xml:space="preserve">tenements </w:t>
      </w:r>
      <w:r>
        <w:rPr>
          <w:rFonts w:asciiTheme="majorHAnsi" w:hAnsiTheme="majorHAnsi" w:cstheme="majorHAnsi"/>
          <w:color w:val="000000" w:themeColor="text1" w:themeShade="BF"/>
        </w:rPr>
        <w:t>(</w:t>
      </w:r>
      <w:r w:rsidRPr="0006595A">
        <w:rPr>
          <w:rFonts w:asciiTheme="majorHAnsi" w:hAnsiTheme="majorHAnsi" w:cstheme="majorHAnsi"/>
          <w:color w:val="000000" w:themeColor="text1" w:themeShade="BF"/>
        </w:rPr>
        <w:t xml:space="preserve">E47/3958, </w:t>
      </w:r>
      <w:r>
        <w:rPr>
          <w:rFonts w:asciiTheme="majorHAnsi" w:hAnsiTheme="majorHAnsi" w:cstheme="majorHAnsi"/>
          <w:color w:val="000000" w:themeColor="text1" w:themeShade="BF"/>
        </w:rPr>
        <w:t xml:space="preserve">E45/5063, </w:t>
      </w:r>
      <w:r w:rsidRPr="0006595A">
        <w:rPr>
          <w:rFonts w:asciiTheme="majorHAnsi" w:hAnsiTheme="majorHAnsi" w:cstheme="majorHAnsi"/>
          <w:color w:val="000000" w:themeColor="text1" w:themeShade="BF"/>
        </w:rPr>
        <w:t>E45/5064</w:t>
      </w:r>
      <w:r>
        <w:rPr>
          <w:rFonts w:asciiTheme="majorHAnsi" w:hAnsiTheme="majorHAnsi" w:cstheme="majorHAnsi"/>
          <w:color w:val="000000" w:themeColor="text1" w:themeShade="BF"/>
        </w:rPr>
        <w:t xml:space="preserve"> and</w:t>
      </w:r>
      <w:r w:rsidRPr="0006595A">
        <w:rPr>
          <w:rFonts w:asciiTheme="majorHAnsi" w:hAnsiTheme="majorHAnsi" w:cstheme="majorHAnsi"/>
          <w:color w:val="000000" w:themeColor="text1" w:themeShade="BF"/>
        </w:rPr>
        <w:t xml:space="preserve"> E45/5065</w:t>
      </w:r>
      <w:r>
        <w:rPr>
          <w:rFonts w:asciiTheme="majorHAnsi" w:hAnsiTheme="majorHAnsi" w:cstheme="majorHAnsi"/>
          <w:color w:val="000000" w:themeColor="text1" w:themeShade="BF"/>
        </w:rPr>
        <w:t xml:space="preserve">) </w:t>
      </w:r>
      <w:r w:rsidRPr="0006595A">
        <w:rPr>
          <w:rFonts w:asciiTheme="majorHAnsi" w:hAnsiTheme="majorHAnsi" w:cstheme="majorHAnsi"/>
          <w:color w:val="000000" w:themeColor="text1" w:themeShade="BF"/>
        </w:rPr>
        <w:t>on or before completion of a 45 day due diligence period.  NAE was required to pay an option fee of $25,000.</w:t>
      </w:r>
    </w:p>
    <w:p w14:paraId="5ED88DB1" w14:textId="12E21B25" w:rsidR="005C1ADF" w:rsidRPr="006B77CB" w:rsidRDefault="009E5E4E" w:rsidP="00AF5025">
      <w:pPr>
        <w:pStyle w:val="NoSpacing"/>
        <w:spacing w:before="240"/>
        <w:jc w:val="both"/>
        <w:rPr>
          <w:rFonts w:ascii="Calibri" w:hAnsi="Calibri" w:cs="Calibri"/>
          <w:color w:val="000000" w:themeColor="text1"/>
          <w:sz w:val="24"/>
          <w:szCs w:val="24"/>
        </w:rPr>
      </w:pPr>
      <w:r w:rsidRPr="006B77CB">
        <w:rPr>
          <w:rFonts w:ascii="Calibri" w:hAnsi="Calibri" w:cs="Calibri"/>
          <w:sz w:val="24"/>
          <w:szCs w:val="24"/>
        </w:rPr>
        <w:lastRenderedPageBreak/>
        <w:t>“</w:t>
      </w:r>
      <w:r w:rsidR="00E31E24">
        <w:rPr>
          <w:rFonts w:ascii="Calibri" w:hAnsi="Calibri" w:cs="Calibri"/>
          <w:color w:val="000000" w:themeColor="text1"/>
          <w:sz w:val="24"/>
          <w:szCs w:val="24"/>
        </w:rPr>
        <w:t xml:space="preserve">The Pilbara tenements are located in proximity to some exciting results. Given that our main focus is on our current and future plans for the Alicia Project in the Philippines, it made sense to divest to a group who is able to put a primary focus on exploring these tenements. As shareholders of New Age, we look forward to sharing in their </w:t>
      </w:r>
      <w:r w:rsidR="00CD05BE">
        <w:rPr>
          <w:rFonts w:ascii="Calibri" w:hAnsi="Calibri" w:cs="Calibri"/>
          <w:color w:val="000000" w:themeColor="text1"/>
          <w:sz w:val="24"/>
          <w:szCs w:val="24"/>
        </w:rPr>
        <w:t xml:space="preserve">success”, </w:t>
      </w:r>
      <w:r w:rsidR="00356EBB">
        <w:rPr>
          <w:rFonts w:ascii="Calibri" w:hAnsi="Calibri" w:cs="Calibri"/>
          <w:color w:val="000000" w:themeColor="text1"/>
          <w:sz w:val="24"/>
          <w:szCs w:val="24"/>
        </w:rPr>
        <w:t>s</w:t>
      </w:r>
      <w:r w:rsidR="00CD05BE" w:rsidRPr="006B77CB">
        <w:rPr>
          <w:rFonts w:ascii="Calibri" w:hAnsi="Calibri" w:cs="Calibri"/>
          <w:sz w:val="24"/>
          <w:szCs w:val="24"/>
        </w:rPr>
        <w:t>tated</w:t>
      </w:r>
      <w:r w:rsidR="00255147" w:rsidRPr="006B77CB">
        <w:rPr>
          <w:rFonts w:ascii="Calibri" w:hAnsi="Calibri" w:cs="Calibri"/>
          <w:sz w:val="24"/>
          <w:szCs w:val="24"/>
        </w:rPr>
        <w:t xml:space="preserve"> James Macintosh, President and CEO</w:t>
      </w:r>
      <w:r w:rsidR="006B77CB" w:rsidRPr="006B77CB">
        <w:rPr>
          <w:rFonts w:ascii="Calibri" w:hAnsi="Calibri" w:cs="Calibri"/>
          <w:color w:val="000000" w:themeColor="text1"/>
          <w:sz w:val="24"/>
          <w:szCs w:val="24"/>
        </w:rPr>
        <w:t>.</w:t>
      </w:r>
    </w:p>
    <w:p w14:paraId="203FB11A" w14:textId="467A022B" w:rsidR="006B77CB" w:rsidRDefault="006B77CB" w:rsidP="006B77CB">
      <w:pPr>
        <w:pStyle w:val="NoSpacing"/>
        <w:jc w:val="both"/>
        <w:rPr>
          <w:rFonts w:ascii="Calibri" w:hAnsi="Calibri" w:cs="Calibri"/>
          <w:color w:val="000000" w:themeColor="text1"/>
        </w:rPr>
      </w:pPr>
    </w:p>
    <w:p w14:paraId="370F3FF4" w14:textId="528EF047" w:rsidR="006B77CB" w:rsidRPr="00402416" w:rsidRDefault="006B77CB" w:rsidP="006B77CB">
      <w:pPr>
        <w:spacing w:after="60"/>
        <w:jc w:val="both"/>
        <w:rPr>
          <w:rFonts w:ascii="Calibri" w:eastAsia="Times New Roman" w:hAnsi="Calibri" w:cs="Calibri"/>
          <w:sz w:val="26"/>
          <w:szCs w:val="26"/>
          <w:lang w:val="en-CA"/>
        </w:rPr>
      </w:pPr>
      <w:r w:rsidRPr="00402416">
        <w:rPr>
          <w:rFonts w:ascii="Calibri" w:hAnsi="Calibri" w:cs="Calibri"/>
          <w:b/>
          <w:sz w:val="26"/>
          <w:szCs w:val="26"/>
        </w:rPr>
        <w:t>Q</w:t>
      </w:r>
      <w:r w:rsidRPr="00402416">
        <w:rPr>
          <w:rFonts w:ascii="Calibri" w:eastAsia="Times New Roman" w:hAnsi="Calibri" w:cs="Calibri"/>
          <w:b/>
          <w:sz w:val="26"/>
          <w:szCs w:val="26"/>
          <w:lang w:val="en-CA"/>
        </w:rPr>
        <w:t>ualified Person</w:t>
      </w:r>
    </w:p>
    <w:p w14:paraId="5F1535A7" w14:textId="77777777" w:rsidR="006B77CB" w:rsidRPr="0088427D" w:rsidRDefault="006B77CB" w:rsidP="006B77CB">
      <w:pPr>
        <w:spacing w:after="180"/>
        <w:jc w:val="both"/>
        <w:rPr>
          <w:rFonts w:ascii="Calibri" w:hAnsi="Calibri" w:cs="Calibri"/>
          <w:spacing w:val="-6"/>
        </w:rPr>
      </w:pPr>
      <w:r w:rsidRPr="0088427D">
        <w:rPr>
          <w:rFonts w:ascii="Calibri" w:eastAsia="Times New Roman" w:hAnsi="Calibri" w:cs="Calibri"/>
          <w:spacing w:val="-6"/>
          <w:lang w:val="en-CA"/>
        </w:rPr>
        <w:t>The technical information in this press release has been reviewed and approved by</w:t>
      </w:r>
      <w:r w:rsidRPr="0088427D">
        <w:rPr>
          <w:rFonts w:ascii="Calibri" w:hAnsi="Calibri" w:cs="Calibri"/>
          <w:spacing w:val="-6"/>
        </w:rPr>
        <w:t xml:space="preserve"> Martin Dormer,</w:t>
      </w:r>
      <w:r w:rsidRPr="0088427D">
        <w:rPr>
          <w:rFonts w:ascii="Calibri" w:eastAsia="Times New Roman" w:hAnsi="Calibri" w:cs="Calibri"/>
          <w:spacing w:val="-6"/>
          <w:lang w:val="en-CA"/>
        </w:rPr>
        <w:t xml:space="preserve"> a consultant to the Company, who is a Qualified Person as defined by NI 43-101</w:t>
      </w:r>
      <w:r w:rsidRPr="0088427D">
        <w:rPr>
          <w:rFonts w:ascii="Calibri" w:hAnsi="Calibri" w:cs="Calibri"/>
          <w:spacing w:val="-6"/>
        </w:rPr>
        <w:t xml:space="preserve">.  Martin is a member of the Australian Institute of Mining and Metallurgy (AusIMM), the Australian Institute of Geoscientists (AIG).  He is a West Australian geologist with over 22 years’ experience and sufficient experience of relevance to the styles of mineralization and types of deposits under consideration to qualify as a Competent Person as defined by the 2012 Edition of the Joint Ore Reserves Committee (JORC) Australian Code for Reporting of Exploration Results, Mineral Resources, and Ore Reserves. </w:t>
      </w:r>
    </w:p>
    <w:p w14:paraId="720FA837" w14:textId="77777777" w:rsidR="006B77CB" w:rsidRPr="00C80325" w:rsidRDefault="006B77CB" w:rsidP="006B77CB">
      <w:pPr>
        <w:rPr>
          <w:rFonts w:ascii="Calibri" w:hAnsi="Calibri" w:cs="Calibri"/>
          <w:b/>
        </w:rPr>
      </w:pPr>
      <w:r w:rsidRPr="00C80325">
        <w:rPr>
          <w:rFonts w:ascii="Calibri" w:hAnsi="Calibri" w:cs="Calibri"/>
          <w:b/>
        </w:rPr>
        <w:t xml:space="preserve">About Monterey Minerals Inc. </w:t>
      </w:r>
    </w:p>
    <w:p w14:paraId="5DB53685" w14:textId="229A5050" w:rsidR="006B77CB" w:rsidRDefault="006B77CB" w:rsidP="006B77CB">
      <w:pPr>
        <w:spacing w:after="240"/>
        <w:jc w:val="both"/>
        <w:rPr>
          <w:rFonts w:ascii="Calibri" w:hAnsi="Calibri" w:cs="Calibri"/>
        </w:rPr>
      </w:pPr>
      <w:r w:rsidRPr="00E97650">
        <w:rPr>
          <w:rFonts w:ascii="Calibri" w:hAnsi="Calibri" w:cs="Calibri"/>
        </w:rPr>
        <w:t xml:space="preserve">The Company </w:t>
      </w:r>
      <w:r>
        <w:rPr>
          <w:rFonts w:ascii="Calibri" w:hAnsi="Calibri" w:cs="Calibri"/>
        </w:rPr>
        <w:t>owns</w:t>
      </w:r>
      <w:r w:rsidRPr="00E97650">
        <w:rPr>
          <w:rFonts w:ascii="Calibri" w:hAnsi="Calibri" w:cs="Calibri"/>
        </w:rPr>
        <w:t xml:space="preserve"> 100% of the Alicia Project in the Alicia Municipality of the Philippines.  The Alicia Project is a system of multiple, high-grade gold and silver veins with base metals over a strike length of greater than ten kilometres.  The Company also </w:t>
      </w:r>
      <w:r>
        <w:rPr>
          <w:rFonts w:ascii="Calibri" w:hAnsi="Calibri" w:cs="Calibri"/>
        </w:rPr>
        <w:t>owns</w:t>
      </w:r>
      <w:r w:rsidRPr="00E97650">
        <w:rPr>
          <w:rFonts w:ascii="Calibri" w:hAnsi="Calibri" w:cs="Calibri"/>
        </w:rPr>
        <w:t xml:space="preserve"> the Cobalt Mountain Property (the “Property”) in the Omineca Mining Division of British Columbia near the town of Smithers.  The Company’s NI 43-101 technical report, available on SEDAR, notes historic sampling on the Property that returned mineralized showings of gold, silver, copper, zinc and cobalt.  The Company also </w:t>
      </w:r>
      <w:r>
        <w:rPr>
          <w:rFonts w:ascii="Calibri" w:hAnsi="Calibri" w:cs="Calibri"/>
        </w:rPr>
        <w:t>owns</w:t>
      </w:r>
      <w:r w:rsidRPr="00E97650">
        <w:rPr>
          <w:rFonts w:ascii="Calibri" w:hAnsi="Calibri" w:cs="Calibri"/>
        </w:rPr>
        <w:t xml:space="preserve"> 877 sq. km. of prospective Pilbara Basin tenements on the eastern flank of the Pilbara Basin in Western Australia.</w:t>
      </w:r>
    </w:p>
    <w:p w14:paraId="0BF985EE" w14:textId="77777777" w:rsidR="006B77CB" w:rsidRDefault="006B77CB" w:rsidP="006B77CB">
      <w:pPr>
        <w:spacing w:after="120"/>
        <w:rPr>
          <w:rFonts w:ascii="Calibri" w:hAnsi="Calibri" w:cs="Calibri"/>
        </w:rPr>
      </w:pPr>
      <w:r w:rsidRPr="00C80325">
        <w:rPr>
          <w:rFonts w:ascii="Calibri" w:hAnsi="Calibri" w:cs="Calibri"/>
        </w:rPr>
        <w:t>For more information, contact investor relation</w:t>
      </w:r>
      <w:r>
        <w:rPr>
          <w:rFonts w:ascii="Calibri" w:hAnsi="Calibri" w:cs="Calibri"/>
        </w:rPr>
        <w:t xml:space="preserve">s at </w:t>
      </w:r>
      <w:hyperlink r:id="rId11" w:history="1">
        <w:r w:rsidRPr="005F39DC">
          <w:rPr>
            <w:rStyle w:val="Hyperlink"/>
            <w:rFonts w:ascii="Calibri" w:hAnsi="Calibri" w:cs="Calibri"/>
          </w:rPr>
          <w:t>info@montereyminerals.com</w:t>
        </w:r>
      </w:hyperlink>
    </w:p>
    <w:p w14:paraId="7E93A75E" w14:textId="77777777" w:rsidR="006B77CB" w:rsidRPr="000F35F8" w:rsidRDefault="006B77CB" w:rsidP="006B77CB">
      <w:pPr>
        <w:spacing w:after="60"/>
        <w:rPr>
          <w:rFonts w:ascii="Calibri" w:hAnsi="Calibri" w:cs="Calibri"/>
        </w:rPr>
      </w:pPr>
      <w:r w:rsidRPr="000F35F8">
        <w:rPr>
          <w:rFonts w:ascii="Calibri" w:hAnsi="Calibri" w:cs="Calibri"/>
        </w:rPr>
        <w:t xml:space="preserve">On Behalf of the Board of Directors, </w:t>
      </w:r>
    </w:p>
    <w:p w14:paraId="0188ABED" w14:textId="77777777" w:rsidR="006B77CB" w:rsidRDefault="006B77CB" w:rsidP="006B77CB">
      <w:pPr>
        <w:rPr>
          <w:rFonts w:ascii="Calibri" w:hAnsi="Calibri" w:cs="Calibri"/>
        </w:rPr>
      </w:pPr>
      <w:r w:rsidRPr="000F35F8">
        <w:rPr>
          <w:rFonts w:ascii="Calibri" w:hAnsi="Calibri" w:cs="Calibri"/>
        </w:rPr>
        <w:t>James Macintosh</w:t>
      </w:r>
      <w:r>
        <w:rPr>
          <w:rFonts w:ascii="Calibri" w:hAnsi="Calibri" w:cs="Calibri"/>
        </w:rPr>
        <w:t xml:space="preserve">, </w:t>
      </w:r>
    </w:p>
    <w:p w14:paraId="7338506D" w14:textId="77777777" w:rsidR="006B77CB" w:rsidRPr="0088427D" w:rsidRDefault="006B77CB" w:rsidP="006B77CB">
      <w:pPr>
        <w:rPr>
          <w:rFonts w:ascii="Calibri" w:hAnsi="Calibri" w:cs="Calibri"/>
        </w:rPr>
      </w:pPr>
      <w:r w:rsidRPr="0088427D">
        <w:rPr>
          <w:rFonts w:ascii="Calibri" w:hAnsi="Calibri" w:cs="Calibri"/>
        </w:rPr>
        <w:t xml:space="preserve">President and CEO </w:t>
      </w:r>
    </w:p>
    <w:p w14:paraId="527261AE" w14:textId="4E35B08E" w:rsidR="006B77CB" w:rsidRPr="006B77CB" w:rsidRDefault="006B77CB" w:rsidP="0006595A">
      <w:pPr>
        <w:spacing w:before="360" w:after="120"/>
        <w:jc w:val="center"/>
        <w:rPr>
          <w:rFonts w:ascii="Calibri" w:hAnsi="Calibri" w:cs="Calibri"/>
          <w:sz w:val="20"/>
          <w:szCs w:val="20"/>
        </w:rPr>
      </w:pPr>
      <w:r w:rsidRPr="006B77CB">
        <w:rPr>
          <w:rFonts w:ascii="Calibri" w:hAnsi="Calibri" w:cs="Calibri"/>
          <w:i/>
          <w:sz w:val="20"/>
          <w:szCs w:val="20"/>
        </w:rPr>
        <w:t>Neither the Canadian Securities Exchange nor its regulation services provider has reviewed or accepted responsibility for the adequacy or accuracy of this press release</w:t>
      </w:r>
    </w:p>
    <w:p w14:paraId="34C0A0EF" w14:textId="776E3094" w:rsidR="005C1ADF" w:rsidRPr="006B77CB" w:rsidRDefault="006B77CB" w:rsidP="0006595A">
      <w:pPr>
        <w:spacing w:before="240"/>
        <w:jc w:val="both"/>
        <w:rPr>
          <w:rFonts w:ascii="Calibri" w:hAnsi="Calibri" w:cs="Calibri"/>
          <w:i/>
          <w:sz w:val="20"/>
          <w:szCs w:val="20"/>
        </w:rPr>
      </w:pPr>
      <w:r w:rsidRPr="006B77CB">
        <w:rPr>
          <w:rFonts w:ascii="Calibri" w:hAnsi="Calibri" w:cs="Calibri"/>
          <w:i/>
          <w:sz w:val="20"/>
          <w:szCs w:val="20"/>
        </w:rPr>
        <w:t>This press release may include forward-looking information within the meaning of Canadian securities legislation, concerning the business of the Company.  Forward-looking information is based on certain key expectations and assumptions made by the management of the Company.  Although the Company believes that the expectations and assumptions on which such forward-looking information is based on are reasonable, undue reliance should not be placed on the forward-looking information because the Company can give no assurance that they will prove to be correct.  Forward-looking statements contained in this press release are made as of the date of this press release.  The Company disclaims any intent or obligation to update publicly any forward-looking information, whether as a result of new information, future events or results or otherwise, other than as required by applicable securities laws.</w:t>
      </w:r>
    </w:p>
    <w:sectPr w:rsidR="005C1ADF" w:rsidRPr="006B77CB" w:rsidSect="0006595A">
      <w:headerReference w:type="default" r:id="rId12"/>
      <w:footerReference w:type="default" r:id="rId13"/>
      <w:headerReference w:type="first" r:id="rId14"/>
      <w:footerReference w:type="first" r:id="rId15"/>
      <w:pgSz w:w="12240" w:h="15840"/>
      <w:pgMar w:top="2880"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C5A35" w14:textId="77777777" w:rsidR="00313C1A" w:rsidRDefault="00313C1A" w:rsidP="00A31CF8">
      <w:r>
        <w:separator/>
      </w:r>
    </w:p>
  </w:endnote>
  <w:endnote w:type="continuationSeparator" w:id="0">
    <w:p w14:paraId="3503AF20" w14:textId="77777777" w:rsidR="00313C1A" w:rsidRDefault="00313C1A" w:rsidP="00A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375E" w14:textId="5D1B4956" w:rsidR="00FA1331" w:rsidRDefault="00FA1331">
    <w:pPr>
      <w:pStyle w:val="Footer"/>
    </w:pPr>
    <w:r>
      <w:rPr>
        <w:noProof/>
      </w:rPr>
      <w:drawing>
        <wp:anchor distT="0" distB="0" distL="114300" distR="114300" simplePos="0" relativeHeight="251695104" behindDoc="1" locked="0" layoutInCell="1" allowOverlap="1" wp14:anchorId="5523B51C" wp14:editId="7DAAC6A7">
          <wp:simplePos x="0" y="0"/>
          <wp:positionH relativeFrom="column">
            <wp:posOffset>-923971</wp:posOffset>
          </wp:positionH>
          <wp:positionV relativeFrom="paragraph">
            <wp:posOffset>252095</wp:posOffset>
          </wp:positionV>
          <wp:extent cx="7759586" cy="367323"/>
          <wp:effectExtent l="0" t="0" r="63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footer.jpg"/>
                  <pic:cNvPicPr/>
                </pic:nvPicPr>
                <pic:blipFill>
                  <a:blip r:embed="rId1"/>
                  <a:stretch>
                    <a:fillRect/>
                  </a:stretch>
                </pic:blipFill>
                <pic:spPr>
                  <a:xfrm>
                    <a:off x="0" y="0"/>
                    <a:ext cx="7759586" cy="36732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1EF2" w14:textId="2B8780D7" w:rsidR="00FA1331" w:rsidRDefault="00FA1331">
    <w:pPr>
      <w:pStyle w:val="Footer"/>
    </w:pPr>
    <w:r>
      <w:rPr>
        <w:noProof/>
      </w:rPr>
      <w:drawing>
        <wp:anchor distT="0" distB="0" distL="114300" distR="114300" simplePos="0" relativeHeight="251697152" behindDoc="1" locked="0" layoutInCell="1" allowOverlap="1" wp14:anchorId="018CA778" wp14:editId="6AB27DA0">
          <wp:simplePos x="0" y="0"/>
          <wp:positionH relativeFrom="column">
            <wp:posOffset>-903605</wp:posOffset>
          </wp:positionH>
          <wp:positionV relativeFrom="paragraph">
            <wp:posOffset>255270</wp:posOffset>
          </wp:positionV>
          <wp:extent cx="7759586" cy="367323"/>
          <wp:effectExtent l="0" t="0" r="63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footer.jpg"/>
                  <pic:cNvPicPr/>
                </pic:nvPicPr>
                <pic:blipFill>
                  <a:blip r:embed="rId1"/>
                  <a:stretch>
                    <a:fillRect/>
                  </a:stretch>
                </pic:blipFill>
                <pic:spPr>
                  <a:xfrm>
                    <a:off x="0" y="0"/>
                    <a:ext cx="7759586" cy="3673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DD95" w14:textId="77777777" w:rsidR="00313C1A" w:rsidRDefault="00313C1A" w:rsidP="00A31CF8">
      <w:r>
        <w:separator/>
      </w:r>
    </w:p>
  </w:footnote>
  <w:footnote w:type="continuationSeparator" w:id="0">
    <w:p w14:paraId="1F284C02" w14:textId="77777777" w:rsidR="00313C1A" w:rsidRDefault="00313C1A" w:rsidP="00A3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62D2D" w14:textId="7B5092C3" w:rsidR="00A31CF8" w:rsidRDefault="00FA1331">
    <w:pPr>
      <w:pStyle w:val="Header"/>
    </w:pPr>
    <w:r>
      <w:rPr>
        <w:noProof/>
      </w:rPr>
      <w:drawing>
        <wp:anchor distT="0" distB="0" distL="114300" distR="114300" simplePos="0" relativeHeight="251694080" behindDoc="1" locked="0" layoutInCell="1" allowOverlap="1" wp14:anchorId="54D7185E" wp14:editId="54373DEC">
          <wp:simplePos x="0" y="0"/>
          <wp:positionH relativeFrom="column">
            <wp:posOffset>-925195</wp:posOffset>
          </wp:positionH>
          <wp:positionV relativeFrom="paragraph">
            <wp:posOffset>-433705</wp:posOffset>
          </wp:positionV>
          <wp:extent cx="7773732" cy="1672492"/>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R.pic.jpg"/>
                  <pic:cNvPicPr/>
                </pic:nvPicPr>
                <pic:blipFill>
                  <a:blip r:embed="rId1"/>
                  <a:stretch>
                    <a:fillRect/>
                  </a:stretch>
                </pic:blipFill>
                <pic:spPr>
                  <a:xfrm>
                    <a:off x="0" y="0"/>
                    <a:ext cx="7773732" cy="16724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F73B5" w14:textId="1CD3B185" w:rsidR="006B77CB" w:rsidRDefault="006B77CB">
    <w:pPr>
      <w:pStyle w:val="Header"/>
    </w:pPr>
    <w:r>
      <w:rPr>
        <w:noProof/>
      </w:rPr>
      <w:drawing>
        <wp:anchor distT="0" distB="0" distL="114300" distR="114300" simplePos="0" relativeHeight="251699200" behindDoc="1" locked="0" layoutInCell="1" allowOverlap="1" wp14:anchorId="004E09D8" wp14:editId="06554003">
          <wp:simplePos x="0" y="0"/>
          <wp:positionH relativeFrom="column">
            <wp:posOffset>-907415</wp:posOffset>
          </wp:positionH>
          <wp:positionV relativeFrom="paragraph">
            <wp:posOffset>-457835</wp:posOffset>
          </wp:positionV>
          <wp:extent cx="7773732" cy="1672492"/>
          <wp:effectExtent l="0" t="0" r="0" b="4445"/>
          <wp:wrapNone/>
          <wp:docPr id="17" name="Picture 17"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R.pic.jpg"/>
                  <pic:cNvPicPr/>
                </pic:nvPicPr>
                <pic:blipFill>
                  <a:blip r:embed="rId1"/>
                  <a:stretch>
                    <a:fillRect/>
                  </a:stretch>
                </pic:blipFill>
                <pic:spPr>
                  <a:xfrm>
                    <a:off x="0" y="0"/>
                    <a:ext cx="7773732" cy="16724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137CD3"/>
    <w:multiLevelType w:val="hybridMultilevel"/>
    <w:tmpl w:val="D7A67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F8"/>
    <w:rsid w:val="00046078"/>
    <w:rsid w:val="00051D5B"/>
    <w:rsid w:val="0006219B"/>
    <w:rsid w:val="0006595A"/>
    <w:rsid w:val="000C0E79"/>
    <w:rsid w:val="000C5176"/>
    <w:rsid w:val="000F3903"/>
    <w:rsid w:val="000F4E5F"/>
    <w:rsid w:val="001313A0"/>
    <w:rsid w:val="001A0A80"/>
    <w:rsid w:val="001A6BB3"/>
    <w:rsid w:val="001B35C2"/>
    <w:rsid w:val="001D5EAE"/>
    <w:rsid w:val="001F15BA"/>
    <w:rsid w:val="00255147"/>
    <w:rsid w:val="002575D4"/>
    <w:rsid w:val="00272A1F"/>
    <w:rsid w:val="00274153"/>
    <w:rsid w:val="00282F2F"/>
    <w:rsid w:val="002A41FC"/>
    <w:rsid w:val="002D7465"/>
    <w:rsid w:val="003044ED"/>
    <w:rsid w:val="00313C1A"/>
    <w:rsid w:val="00325247"/>
    <w:rsid w:val="003459A7"/>
    <w:rsid w:val="00356EBB"/>
    <w:rsid w:val="00362B29"/>
    <w:rsid w:val="003979DD"/>
    <w:rsid w:val="004053CA"/>
    <w:rsid w:val="00410B51"/>
    <w:rsid w:val="00411A70"/>
    <w:rsid w:val="004227AF"/>
    <w:rsid w:val="00445FD8"/>
    <w:rsid w:val="004524E8"/>
    <w:rsid w:val="004955A3"/>
    <w:rsid w:val="0053070C"/>
    <w:rsid w:val="005A4083"/>
    <w:rsid w:val="005B7B06"/>
    <w:rsid w:val="005C1ADF"/>
    <w:rsid w:val="00627571"/>
    <w:rsid w:val="006654EC"/>
    <w:rsid w:val="00674264"/>
    <w:rsid w:val="0068297A"/>
    <w:rsid w:val="00690A55"/>
    <w:rsid w:val="0069778B"/>
    <w:rsid w:val="006A7607"/>
    <w:rsid w:val="006B77CB"/>
    <w:rsid w:val="006D0209"/>
    <w:rsid w:val="006D35A8"/>
    <w:rsid w:val="007023A3"/>
    <w:rsid w:val="0073358A"/>
    <w:rsid w:val="00741D01"/>
    <w:rsid w:val="00747AAE"/>
    <w:rsid w:val="00762587"/>
    <w:rsid w:val="00784B0B"/>
    <w:rsid w:val="00791F45"/>
    <w:rsid w:val="007A1060"/>
    <w:rsid w:val="007A2DE4"/>
    <w:rsid w:val="007E529B"/>
    <w:rsid w:val="007E6EA0"/>
    <w:rsid w:val="007F45D1"/>
    <w:rsid w:val="0080793F"/>
    <w:rsid w:val="00821F37"/>
    <w:rsid w:val="00837FED"/>
    <w:rsid w:val="0086165D"/>
    <w:rsid w:val="00883E9E"/>
    <w:rsid w:val="008A6F11"/>
    <w:rsid w:val="008C0A3F"/>
    <w:rsid w:val="008C23E5"/>
    <w:rsid w:val="008C3AD7"/>
    <w:rsid w:val="008C3EF7"/>
    <w:rsid w:val="008C4C55"/>
    <w:rsid w:val="008E649F"/>
    <w:rsid w:val="008E6F38"/>
    <w:rsid w:val="0091116C"/>
    <w:rsid w:val="009152D2"/>
    <w:rsid w:val="00974F50"/>
    <w:rsid w:val="009E5E4E"/>
    <w:rsid w:val="00A02C95"/>
    <w:rsid w:val="00A31CF8"/>
    <w:rsid w:val="00A867DC"/>
    <w:rsid w:val="00AA6E3D"/>
    <w:rsid w:val="00AB471D"/>
    <w:rsid w:val="00AC1A13"/>
    <w:rsid w:val="00AD5AF9"/>
    <w:rsid w:val="00AF5025"/>
    <w:rsid w:val="00B3485A"/>
    <w:rsid w:val="00B43F2D"/>
    <w:rsid w:val="00B973EA"/>
    <w:rsid w:val="00BA4312"/>
    <w:rsid w:val="00BC03DE"/>
    <w:rsid w:val="00BC0D0D"/>
    <w:rsid w:val="00C176A4"/>
    <w:rsid w:val="00C35FB7"/>
    <w:rsid w:val="00C80D76"/>
    <w:rsid w:val="00C926ED"/>
    <w:rsid w:val="00C9355C"/>
    <w:rsid w:val="00CA6B9C"/>
    <w:rsid w:val="00CB56D8"/>
    <w:rsid w:val="00CD05BE"/>
    <w:rsid w:val="00CE7073"/>
    <w:rsid w:val="00D41EF4"/>
    <w:rsid w:val="00D51349"/>
    <w:rsid w:val="00D67748"/>
    <w:rsid w:val="00D86D53"/>
    <w:rsid w:val="00D961CD"/>
    <w:rsid w:val="00E16CB0"/>
    <w:rsid w:val="00E31E24"/>
    <w:rsid w:val="00E33E91"/>
    <w:rsid w:val="00E35F52"/>
    <w:rsid w:val="00E63F91"/>
    <w:rsid w:val="00E6519B"/>
    <w:rsid w:val="00E7396C"/>
    <w:rsid w:val="00EA7DFB"/>
    <w:rsid w:val="00EB0934"/>
    <w:rsid w:val="00ED1402"/>
    <w:rsid w:val="00EF5981"/>
    <w:rsid w:val="00F64B18"/>
    <w:rsid w:val="00F72CC1"/>
    <w:rsid w:val="00F85F7F"/>
    <w:rsid w:val="00F8765E"/>
    <w:rsid w:val="00FA1331"/>
    <w:rsid w:val="00FC4FAD"/>
    <w:rsid w:val="00FD2CC6"/>
    <w:rsid w:val="00FF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622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F8"/>
    <w:pPr>
      <w:tabs>
        <w:tab w:val="center" w:pos="4320"/>
        <w:tab w:val="right" w:pos="8640"/>
      </w:tabs>
    </w:pPr>
  </w:style>
  <w:style w:type="character" w:customStyle="1" w:styleId="HeaderChar">
    <w:name w:val="Header Char"/>
    <w:basedOn w:val="DefaultParagraphFont"/>
    <w:link w:val="Header"/>
    <w:uiPriority w:val="99"/>
    <w:rsid w:val="00A31CF8"/>
  </w:style>
  <w:style w:type="paragraph" w:styleId="Footer">
    <w:name w:val="footer"/>
    <w:basedOn w:val="Normal"/>
    <w:link w:val="FooterChar"/>
    <w:uiPriority w:val="99"/>
    <w:unhideWhenUsed/>
    <w:rsid w:val="00A31CF8"/>
    <w:pPr>
      <w:tabs>
        <w:tab w:val="center" w:pos="4320"/>
        <w:tab w:val="right" w:pos="8640"/>
      </w:tabs>
    </w:pPr>
  </w:style>
  <w:style w:type="character" w:customStyle="1" w:styleId="FooterChar">
    <w:name w:val="Footer Char"/>
    <w:basedOn w:val="DefaultParagraphFont"/>
    <w:link w:val="Footer"/>
    <w:uiPriority w:val="99"/>
    <w:rsid w:val="00A31CF8"/>
  </w:style>
  <w:style w:type="paragraph" w:styleId="BalloonText">
    <w:name w:val="Balloon Text"/>
    <w:basedOn w:val="Normal"/>
    <w:link w:val="BalloonTextChar"/>
    <w:uiPriority w:val="99"/>
    <w:semiHidden/>
    <w:unhideWhenUsed/>
    <w:rsid w:val="00A31CF8"/>
    <w:rPr>
      <w:rFonts w:ascii="Lucida Grande" w:hAnsi="Lucida Grande"/>
      <w:sz w:val="18"/>
      <w:szCs w:val="18"/>
    </w:rPr>
  </w:style>
  <w:style w:type="character" w:customStyle="1" w:styleId="BalloonTextChar">
    <w:name w:val="Balloon Text Char"/>
    <w:basedOn w:val="DefaultParagraphFont"/>
    <w:link w:val="BalloonText"/>
    <w:uiPriority w:val="99"/>
    <w:semiHidden/>
    <w:rsid w:val="00A31CF8"/>
    <w:rPr>
      <w:rFonts w:ascii="Lucida Grande" w:hAnsi="Lucida Grande"/>
      <w:sz w:val="18"/>
      <w:szCs w:val="18"/>
    </w:rPr>
  </w:style>
  <w:style w:type="character" w:styleId="Hyperlink">
    <w:name w:val="Hyperlink"/>
    <w:basedOn w:val="DefaultParagraphFont"/>
    <w:uiPriority w:val="99"/>
    <w:unhideWhenUsed/>
    <w:rsid w:val="00627571"/>
    <w:rPr>
      <w:color w:val="0000FF" w:themeColor="hyperlink"/>
      <w:u w:val="single"/>
    </w:rPr>
  </w:style>
  <w:style w:type="paragraph" w:styleId="ListParagraph">
    <w:name w:val="List Paragraph"/>
    <w:basedOn w:val="Normal"/>
    <w:uiPriority w:val="34"/>
    <w:qFormat/>
    <w:rsid w:val="00627571"/>
    <w:pPr>
      <w:spacing w:after="160" w:line="259" w:lineRule="auto"/>
      <w:ind w:left="720"/>
      <w:contextualSpacing/>
    </w:pPr>
    <w:rPr>
      <w:rFonts w:eastAsiaTheme="minorHAnsi"/>
      <w:sz w:val="22"/>
      <w:szCs w:val="22"/>
      <w:lang w:val="en-CA"/>
    </w:rPr>
  </w:style>
  <w:style w:type="character" w:customStyle="1" w:styleId="apple-converted-space">
    <w:name w:val="apple-converted-space"/>
    <w:basedOn w:val="DefaultParagraphFont"/>
    <w:rsid w:val="00627571"/>
  </w:style>
  <w:style w:type="paragraph" w:styleId="NoSpacing">
    <w:name w:val="No Spacing"/>
    <w:uiPriority w:val="1"/>
    <w:qFormat/>
    <w:rsid w:val="00627571"/>
    <w:rPr>
      <w:rFonts w:eastAsiaTheme="minorHAnsi"/>
      <w:sz w:val="22"/>
      <w:szCs w:val="22"/>
      <w:lang w:val="en-CA"/>
    </w:rPr>
  </w:style>
  <w:style w:type="character" w:styleId="CommentReference">
    <w:name w:val="annotation reference"/>
    <w:basedOn w:val="DefaultParagraphFont"/>
    <w:uiPriority w:val="99"/>
    <w:semiHidden/>
    <w:unhideWhenUsed/>
    <w:rsid w:val="00E35F52"/>
    <w:rPr>
      <w:sz w:val="16"/>
      <w:szCs w:val="16"/>
    </w:rPr>
  </w:style>
  <w:style w:type="paragraph" w:styleId="CommentText">
    <w:name w:val="annotation text"/>
    <w:basedOn w:val="Normal"/>
    <w:link w:val="CommentTextChar"/>
    <w:uiPriority w:val="99"/>
    <w:semiHidden/>
    <w:unhideWhenUsed/>
    <w:rsid w:val="00E35F52"/>
    <w:rPr>
      <w:sz w:val="20"/>
      <w:szCs w:val="20"/>
    </w:rPr>
  </w:style>
  <w:style w:type="character" w:customStyle="1" w:styleId="CommentTextChar">
    <w:name w:val="Comment Text Char"/>
    <w:basedOn w:val="DefaultParagraphFont"/>
    <w:link w:val="CommentText"/>
    <w:uiPriority w:val="99"/>
    <w:semiHidden/>
    <w:rsid w:val="00E35F52"/>
    <w:rPr>
      <w:sz w:val="20"/>
      <w:szCs w:val="20"/>
    </w:rPr>
  </w:style>
  <w:style w:type="paragraph" w:styleId="CommentSubject">
    <w:name w:val="annotation subject"/>
    <w:basedOn w:val="CommentText"/>
    <w:next w:val="CommentText"/>
    <w:link w:val="CommentSubjectChar"/>
    <w:uiPriority w:val="99"/>
    <w:semiHidden/>
    <w:unhideWhenUsed/>
    <w:rsid w:val="00E35F52"/>
    <w:rPr>
      <w:b/>
      <w:bCs/>
    </w:rPr>
  </w:style>
  <w:style w:type="character" w:customStyle="1" w:styleId="CommentSubjectChar">
    <w:name w:val="Comment Subject Char"/>
    <w:basedOn w:val="CommentTextChar"/>
    <w:link w:val="CommentSubject"/>
    <w:uiPriority w:val="99"/>
    <w:semiHidden/>
    <w:rsid w:val="00E35F52"/>
    <w:rPr>
      <w:b/>
      <w:bCs/>
      <w:sz w:val="20"/>
      <w:szCs w:val="20"/>
    </w:rPr>
  </w:style>
  <w:style w:type="character" w:styleId="UnresolvedMention">
    <w:name w:val="Unresolved Mention"/>
    <w:basedOn w:val="DefaultParagraphFont"/>
    <w:uiPriority w:val="99"/>
    <w:rsid w:val="00E35F52"/>
    <w:rPr>
      <w:color w:val="605E5C"/>
      <w:shd w:val="clear" w:color="auto" w:fill="E1DFDD"/>
    </w:rPr>
  </w:style>
  <w:style w:type="paragraph" w:styleId="EndnoteText">
    <w:name w:val="endnote text"/>
    <w:basedOn w:val="Normal"/>
    <w:link w:val="EndnoteTextChar"/>
    <w:uiPriority w:val="99"/>
    <w:semiHidden/>
    <w:unhideWhenUsed/>
    <w:rsid w:val="004955A3"/>
    <w:rPr>
      <w:sz w:val="20"/>
      <w:szCs w:val="20"/>
    </w:rPr>
  </w:style>
  <w:style w:type="character" w:customStyle="1" w:styleId="EndnoteTextChar">
    <w:name w:val="Endnote Text Char"/>
    <w:basedOn w:val="DefaultParagraphFont"/>
    <w:link w:val="EndnoteText"/>
    <w:uiPriority w:val="99"/>
    <w:semiHidden/>
    <w:rsid w:val="004955A3"/>
    <w:rPr>
      <w:sz w:val="20"/>
      <w:szCs w:val="20"/>
    </w:rPr>
  </w:style>
  <w:style w:type="character" w:styleId="EndnoteReference">
    <w:name w:val="endnote reference"/>
    <w:basedOn w:val="DefaultParagraphFont"/>
    <w:uiPriority w:val="99"/>
    <w:semiHidden/>
    <w:unhideWhenUsed/>
    <w:rsid w:val="00495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826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reyminera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ontereymineral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oerse-frankfurt.de/equity/monterey-minerals-inc" TargetMode="External"/><Relationship Id="rId4" Type="http://schemas.openxmlformats.org/officeDocument/2006/relationships/webSettings" Target="webSettings.xml"/><Relationship Id="rId9" Type="http://schemas.openxmlformats.org/officeDocument/2006/relationships/hyperlink" Target="https://www.thecse.com/en/listings/mining/monterey-minerals-in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Brunetzky</dc:creator>
  <cp:keywords/>
  <dc:description/>
  <cp:lastModifiedBy>James Macintosh</cp:lastModifiedBy>
  <cp:revision>7</cp:revision>
  <dcterms:created xsi:type="dcterms:W3CDTF">2020-09-23T15:22:00Z</dcterms:created>
  <dcterms:modified xsi:type="dcterms:W3CDTF">2020-09-28T15:20:00Z</dcterms:modified>
</cp:coreProperties>
</file>