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90BC5" w14:textId="6F787927" w:rsidR="00E75DED" w:rsidRPr="00E2677A" w:rsidRDefault="00E75DED" w:rsidP="00E2677A">
      <w:pPr>
        <w:spacing w:line="380" w:lineRule="atLeast"/>
        <w:rPr>
          <w:b/>
          <w:bCs/>
          <w:color w:val="FF0000"/>
          <w:sz w:val="36"/>
          <w:szCs w:val="36"/>
        </w:rPr>
      </w:pPr>
    </w:p>
    <w:p w14:paraId="06F4A3E4" w14:textId="76F65985" w:rsidR="00A4002A" w:rsidRPr="009C442E" w:rsidRDefault="00A4002A" w:rsidP="00987653">
      <w:pPr>
        <w:spacing w:line="380" w:lineRule="atLeast"/>
        <w:jc w:val="center"/>
        <w:rPr>
          <w:b/>
          <w:bCs/>
          <w:sz w:val="36"/>
          <w:szCs w:val="36"/>
        </w:rPr>
      </w:pPr>
      <w:r w:rsidRPr="009C442E">
        <w:rPr>
          <w:b/>
          <w:bCs/>
          <w:sz w:val="36"/>
          <w:szCs w:val="36"/>
        </w:rPr>
        <w:t xml:space="preserve">Duos Technologies </w:t>
      </w:r>
      <w:r w:rsidR="00DA15FB">
        <w:rPr>
          <w:b/>
          <w:bCs/>
          <w:sz w:val="36"/>
          <w:szCs w:val="36"/>
        </w:rPr>
        <w:t xml:space="preserve">Awarded </w:t>
      </w:r>
      <w:r w:rsidR="00987653">
        <w:rPr>
          <w:b/>
          <w:bCs/>
          <w:sz w:val="36"/>
          <w:szCs w:val="36"/>
        </w:rPr>
        <w:t xml:space="preserve">Multi-Year </w:t>
      </w:r>
      <w:r w:rsidR="00DA15FB">
        <w:rPr>
          <w:b/>
          <w:bCs/>
          <w:sz w:val="36"/>
          <w:szCs w:val="36"/>
        </w:rPr>
        <w:t>Contract</w:t>
      </w:r>
      <w:r w:rsidR="0029009E">
        <w:rPr>
          <w:b/>
          <w:bCs/>
          <w:sz w:val="36"/>
          <w:szCs w:val="36"/>
        </w:rPr>
        <w:t xml:space="preserve"> with</w:t>
      </w:r>
      <w:r w:rsidR="00987653">
        <w:rPr>
          <w:b/>
          <w:bCs/>
          <w:sz w:val="36"/>
          <w:szCs w:val="36"/>
        </w:rPr>
        <w:t xml:space="preserve"> </w:t>
      </w:r>
      <w:r w:rsidR="00FF464E">
        <w:rPr>
          <w:b/>
          <w:bCs/>
          <w:sz w:val="36"/>
          <w:szCs w:val="36"/>
        </w:rPr>
        <w:t>CN</w:t>
      </w:r>
    </w:p>
    <w:p w14:paraId="37D98AB6" w14:textId="77777777" w:rsidR="00BC555E" w:rsidRPr="00AD5341" w:rsidRDefault="00BC555E" w:rsidP="002F42DD">
      <w:pPr>
        <w:spacing w:line="360" w:lineRule="auto"/>
        <w:contextualSpacing/>
        <w:jc w:val="both"/>
        <w:rPr>
          <w:rFonts w:cstheme="minorHAnsi"/>
          <w:b/>
          <w:sz w:val="12"/>
          <w:szCs w:val="24"/>
        </w:rPr>
      </w:pPr>
    </w:p>
    <w:p w14:paraId="54DA1C1A" w14:textId="2CD078E3" w:rsidR="00950AE9" w:rsidRPr="009C442E" w:rsidRDefault="00A4002A" w:rsidP="009C442E">
      <w:pPr>
        <w:spacing w:line="360" w:lineRule="auto"/>
        <w:jc w:val="both"/>
        <w:rPr>
          <w:sz w:val="24"/>
          <w:szCs w:val="24"/>
        </w:rPr>
      </w:pPr>
      <w:r w:rsidRPr="009C442E">
        <w:rPr>
          <w:b/>
          <w:bCs/>
          <w:color w:val="000000"/>
          <w:sz w:val="24"/>
          <w:szCs w:val="24"/>
        </w:rPr>
        <w:t xml:space="preserve">Jacksonville, FL / Accesswire / </w:t>
      </w:r>
      <w:r w:rsidR="00987653">
        <w:rPr>
          <w:b/>
          <w:bCs/>
          <w:color w:val="000000"/>
          <w:sz w:val="24"/>
          <w:szCs w:val="24"/>
        </w:rPr>
        <w:t xml:space="preserve">October </w:t>
      </w:r>
      <w:r w:rsidR="00250014">
        <w:rPr>
          <w:b/>
          <w:bCs/>
          <w:color w:val="000000"/>
          <w:sz w:val="24"/>
          <w:szCs w:val="24"/>
        </w:rPr>
        <w:t>7</w:t>
      </w:r>
      <w:r w:rsidRPr="009C442E">
        <w:rPr>
          <w:b/>
          <w:bCs/>
          <w:color w:val="000000"/>
          <w:sz w:val="24"/>
          <w:szCs w:val="24"/>
        </w:rPr>
        <w:t>, 2020</w:t>
      </w:r>
      <w:r w:rsidRPr="009C442E">
        <w:rPr>
          <w:color w:val="000000"/>
          <w:sz w:val="24"/>
          <w:szCs w:val="24"/>
        </w:rPr>
        <w:t> </w:t>
      </w:r>
      <w:r w:rsidR="00950AE9" w:rsidRPr="009C442E">
        <w:rPr>
          <w:color w:val="000000"/>
          <w:sz w:val="24"/>
          <w:szCs w:val="24"/>
        </w:rPr>
        <w:t>- </w:t>
      </w:r>
      <w:hyperlink r:id="rId7" w:history="1">
        <w:r w:rsidR="00950AE9" w:rsidRPr="00E2677A">
          <w:rPr>
            <w:rStyle w:val="Hyperlink"/>
            <w:b/>
            <w:bCs/>
            <w:sz w:val="24"/>
            <w:szCs w:val="24"/>
          </w:rPr>
          <w:t>Duos</w:t>
        </w:r>
        <w:r w:rsidRPr="00E2677A">
          <w:rPr>
            <w:rStyle w:val="Hyperlink"/>
            <w:b/>
            <w:bCs/>
            <w:sz w:val="24"/>
            <w:szCs w:val="24"/>
          </w:rPr>
          <w:t xml:space="preserve"> Technologies Group, Inc.</w:t>
        </w:r>
      </w:hyperlink>
      <w:r w:rsidRPr="009C442E">
        <w:rPr>
          <w:sz w:val="24"/>
          <w:szCs w:val="24"/>
        </w:rPr>
        <w:t xml:space="preserve"> (“Duos or the “Company”) (Nasdaq: DUOT)</w:t>
      </w:r>
      <w:r w:rsidR="00A244E5" w:rsidRPr="009C442E">
        <w:rPr>
          <w:sz w:val="24"/>
          <w:szCs w:val="24"/>
        </w:rPr>
        <w:t>,</w:t>
      </w:r>
      <w:r w:rsidRPr="009C442E">
        <w:rPr>
          <w:sz w:val="24"/>
          <w:szCs w:val="24"/>
        </w:rPr>
        <w:t xml:space="preserve"> through its operating subsidiary </w:t>
      </w:r>
      <w:r w:rsidR="00FD6208" w:rsidRPr="009C442E">
        <w:rPr>
          <w:sz w:val="24"/>
          <w:szCs w:val="24"/>
        </w:rPr>
        <w:t>Duos Technologies, Inc.</w:t>
      </w:r>
      <w:r w:rsidR="00A244E5" w:rsidRPr="009C442E">
        <w:rPr>
          <w:sz w:val="24"/>
          <w:szCs w:val="24"/>
        </w:rPr>
        <w:t>,</w:t>
      </w:r>
      <w:r w:rsidR="00FD6208" w:rsidRPr="009C442E">
        <w:rPr>
          <w:sz w:val="24"/>
          <w:szCs w:val="24"/>
        </w:rPr>
        <w:t xml:space="preserve"> </w:t>
      </w:r>
      <w:r w:rsidRPr="009C442E">
        <w:rPr>
          <w:sz w:val="24"/>
          <w:szCs w:val="24"/>
        </w:rPr>
        <w:t xml:space="preserve">has been </w:t>
      </w:r>
      <w:r w:rsidR="00DA15FB">
        <w:rPr>
          <w:sz w:val="24"/>
          <w:szCs w:val="24"/>
        </w:rPr>
        <w:t>awarded a new contract from</w:t>
      </w:r>
      <w:r w:rsidR="0078692D">
        <w:rPr>
          <w:sz w:val="24"/>
          <w:szCs w:val="24"/>
        </w:rPr>
        <w:t xml:space="preserve"> existing customer</w:t>
      </w:r>
      <w:r w:rsidR="00DA15FB">
        <w:rPr>
          <w:sz w:val="24"/>
          <w:szCs w:val="24"/>
        </w:rPr>
        <w:t xml:space="preserve"> </w:t>
      </w:r>
      <w:hyperlink r:id="rId8" w:history="1">
        <w:r w:rsidR="00DA15FB" w:rsidRPr="0078692D">
          <w:rPr>
            <w:rStyle w:val="Hyperlink"/>
            <w:sz w:val="24"/>
            <w:szCs w:val="24"/>
          </w:rPr>
          <w:t>C</w:t>
        </w:r>
        <w:r w:rsidR="00FF464E" w:rsidRPr="0078692D">
          <w:rPr>
            <w:rStyle w:val="Hyperlink"/>
            <w:sz w:val="24"/>
            <w:szCs w:val="24"/>
          </w:rPr>
          <w:t>N</w:t>
        </w:r>
      </w:hyperlink>
      <w:r w:rsidR="00FF464E">
        <w:rPr>
          <w:sz w:val="24"/>
          <w:szCs w:val="24"/>
        </w:rPr>
        <w:t xml:space="preserve"> (TSX: CNR) (NYSE:CNI)</w:t>
      </w:r>
      <w:r w:rsidR="0078692D">
        <w:rPr>
          <w:sz w:val="24"/>
          <w:szCs w:val="24"/>
        </w:rPr>
        <w:t xml:space="preserve"> (“CN” or “the railroad”)</w:t>
      </w:r>
      <w:r w:rsidR="001552B3">
        <w:rPr>
          <w:sz w:val="24"/>
          <w:szCs w:val="24"/>
        </w:rPr>
        <w:t xml:space="preserve">, </w:t>
      </w:r>
      <w:r w:rsidR="001552B3" w:rsidRPr="001552B3">
        <w:t xml:space="preserve"> </w:t>
      </w:r>
      <w:r w:rsidR="001552B3">
        <w:t>a world-class transportation leader and trade-enabler</w:t>
      </w:r>
      <w:r w:rsidR="0029009E">
        <w:rPr>
          <w:sz w:val="24"/>
          <w:szCs w:val="24"/>
        </w:rPr>
        <w:t>.  The agreement</w:t>
      </w:r>
      <w:r w:rsidR="00005D18">
        <w:rPr>
          <w:sz w:val="24"/>
          <w:szCs w:val="24"/>
        </w:rPr>
        <w:t>,</w:t>
      </w:r>
      <w:r w:rsidR="0029009E">
        <w:rPr>
          <w:sz w:val="24"/>
          <w:szCs w:val="24"/>
        </w:rPr>
        <w:t xml:space="preserve"> </w:t>
      </w:r>
      <w:r w:rsidR="00005D18">
        <w:rPr>
          <w:sz w:val="24"/>
          <w:szCs w:val="24"/>
        </w:rPr>
        <w:t xml:space="preserve">which is effective immediately, </w:t>
      </w:r>
      <w:r w:rsidR="00DA15FB">
        <w:rPr>
          <w:sz w:val="24"/>
          <w:szCs w:val="24"/>
        </w:rPr>
        <w:t>includes complete North American service, support, maintenance and spare components</w:t>
      </w:r>
      <w:r w:rsidR="0078692D">
        <w:rPr>
          <w:sz w:val="24"/>
          <w:szCs w:val="24"/>
        </w:rPr>
        <w:t xml:space="preserve"> sourcing</w:t>
      </w:r>
      <w:r w:rsidR="00DA15FB">
        <w:rPr>
          <w:sz w:val="24"/>
          <w:szCs w:val="24"/>
        </w:rPr>
        <w:t xml:space="preserve"> </w:t>
      </w:r>
      <w:r w:rsidR="00987653">
        <w:rPr>
          <w:sz w:val="24"/>
          <w:szCs w:val="24"/>
        </w:rPr>
        <w:t>for</w:t>
      </w:r>
      <w:r w:rsidR="00DA15FB">
        <w:rPr>
          <w:sz w:val="24"/>
          <w:szCs w:val="24"/>
        </w:rPr>
        <w:t xml:space="preserve"> the seven (7) Railcar Inspection Portals (</w:t>
      </w:r>
      <w:r w:rsidR="00DA15FB" w:rsidRPr="003A6C0B">
        <w:rPr>
          <w:rFonts w:ascii="Arial Black" w:hAnsi="Arial Black"/>
        </w:rPr>
        <w:t>r</w:t>
      </w:r>
      <w:r w:rsidR="00DA15FB" w:rsidRPr="003A6C0B">
        <w:rPr>
          <w:rFonts w:ascii="Arial Black" w:hAnsi="Arial Black"/>
          <w:color w:val="548DD4"/>
        </w:rPr>
        <w:t>i</w:t>
      </w:r>
      <w:r w:rsidR="00DA15FB" w:rsidRPr="003A6C0B">
        <w:rPr>
          <w:rFonts w:ascii="Arial Black" w:hAnsi="Arial Black"/>
        </w:rPr>
        <w:t>p</w:t>
      </w:r>
      <w:r w:rsidR="00DA15FB" w:rsidRPr="009C442E">
        <w:rPr>
          <w:rFonts w:cstheme="minorHAnsi"/>
          <w:sz w:val="24"/>
          <w:szCs w:val="24"/>
        </w:rPr>
        <w:t>®</w:t>
      </w:r>
      <w:r w:rsidR="00DA15FB" w:rsidRPr="009C442E">
        <w:rPr>
          <w:sz w:val="24"/>
          <w:szCs w:val="24"/>
        </w:rPr>
        <w:t>)</w:t>
      </w:r>
      <w:r w:rsidR="00DA15FB">
        <w:rPr>
          <w:sz w:val="24"/>
          <w:szCs w:val="24"/>
        </w:rPr>
        <w:t xml:space="preserve"> currently in operation at CN. </w:t>
      </w:r>
      <w:r w:rsidR="0029009E">
        <w:rPr>
          <w:sz w:val="24"/>
          <w:szCs w:val="24"/>
        </w:rPr>
        <w:t xml:space="preserve"> </w:t>
      </w:r>
      <w:r w:rsidR="00FD6208" w:rsidRPr="009C442E">
        <w:rPr>
          <w:sz w:val="24"/>
          <w:szCs w:val="24"/>
        </w:rPr>
        <w:t>The</w:t>
      </w:r>
      <w:r w:rsidR="00950AE9" w:rsidRPr="009C442E">
        <w:rPr>
          <w:sz w:val="24"/>
          <w:szCs w:val="24"/>
        </w:rPr>
        <w:t xml:space="preserve"> </w:t>
      </w:r>
      <w:r w:rsidR="00CC2C68">
        <w:rPr>
          <w:sz w:val="24"/>
          <w:szCs w:val="24"/>
        </w:rPr>
        <w:t xml:space="preserve">total </w:t>
      </w:r>
      <w:r w:rsidR="00950AE9" w:rsidRPr="009C442E">
        <w:rPr>
          <w:sz w:val="24"/>
          <w:szCs w:val="24"/>
        </w:rPr>
        <w:t>contract</w:t>
      </w:r>
      <w:r w:rsidR="00250014">
        <w:rPr>
          <w:sz w:val="24"/>
          <w:szCs w:val="24"/>
        </w:rPr>
        <w:t xml:space="preserve"> </w:t>
      </w:r>
      <w:r w:rsidR="0086429A">
        <w:rPr>
          <w:sz w:val="24"/>
          <w:szCs w:val="24"/>
        </w:rPr>
        <w:t>will be recognized as recurring revenue through 2022</w:t>
      </w:r>
      <w:r w:rsidR="00250014">
        <w:rPr>
          <w:sz w:val="24"/>
          <w:szCs w:val="24"/>
        </w:rPr>
        <w:t>.</w:t>
      </w:r>
    </w:p>
    <w:p w14:paraId="39366C1F" w14:textId="4F10D4E6" w:rsidR="00A244E5" w:rsidRPr="009C442E" w:rsidRDefault="001552B3" w:rsidP="009C442E">
      <w:pPr>
        <w:spacing w:line="360" w:lineRule="auto"/>
        <w:jc w:val="both"/>
        <w:rPr>
          <w:sz w:val="24"/>
          <w:szCs w:val="24"/>
        </w:rPr>
      </w:pPr>
      <w:r>
        <w:rPr>
          <w:sz w:val="24"/>
          <w:szCs w:val="24"/>
        </w:rPr>
        <w:t xml:space="preserve">Under the terms of the agreement, </w:t>
      </w:r>
      <w:r w:rsidR="004A6F3A">
        <w:rPr>
          <w:sz w:val="24"/>
          <w:szCs w:val="24"/>
        </w:rPr>
        <w:t>Duos</w:t>
      </w:r>
      <w:r>
        <w:rPr>
          <w:sz w:val="24"/>
          <w:szCs w:val="24"/>
        </w:rPr>
        <w:t>’</w:t>
      </w:r>
      <w:r w:rsidR="004A6F3A">
        <w:rPr>
          <w:sz w:val="24"/>
          <w:szCs w:val="24"/>
        </w:rPr>
        <w:t xml:space="preserve"> </w:t>
      </w:r>
      <w:r w:rsidR="0078692D" w:rsidRPr="003A6C0B">
        <w:rPr>
          <w:rFonts w:ascii="Arial Black" w:hAnsi="Arial Black"/>
        </w:rPr>
        <w:t>r</w:t>
      </w:r>
      <w:r w:rsidR="0078692D" w:rsidRPr="003A6C0B">
        <w:rPr>
          <w:rFonts w:ascii="Arial Black" w:hAnsi="Arial Black"/>
          <w:color w:val="548DD4"/>
        </w:rPr>
        <w:t>i</w:t>
      </w:r>
      <w:r w:rsidR="0078692D" w:rsidRPr="003A6C0B">
        <w:rPr>
          <w:rFonts w:ascii="Arial Black" w:hAnsi="Arial Black"/>
        </w:rPr>
        <w:t>p</w:t>
      </w:r>
      <w:r w:rsidR="0078692D" w:rsidRPr="009C442E">
        <w:rPr>
          <w:rFonts w:cstheme="minorHAnsi"/>
          <w:sz w:val="24"/>
          <w:szCs w:val="24"/>
        </w:rPr>
        <w:t>®</w:t>
      </w:r>
      <w:r w:rsidR="0078692D">
        <w:rPr>
          <w:sz w:val="24"/>
          <w:szCs w:val="24"/>
        </w:rPr>
        <w:t xml:space="preserve"> </w:t>
      </w:r>
      <w:r w:rsidR="003A6C0B">
        <w:rPr>
          <w:sz w:val="24"/>
          <w:szCs w:val="24"/>
        </w:rPr>
        <w:t xml:space="preserve">system </w:t>
      </w:r>
      <w:r w:rsidR="0078692D">
        <w:rPr>
          <w:sz w:val="24"/>
          <w:szCs w:val="24"/>
        </w:rPr>
        <w:t xml:space="preserve">will </w:t>
      </w:r>
      <w:r>
        <w:rPr>
          <w:sz w:val="24"/>
          <w:szCs w:val="24"/>
        </w:rPr>
        <w:t xml:space="preserve">identify </w:t>
      </w:r>
      <w:r w:rsidR="003A6C0B">
        <w:rPr>
          <w:sz w:val="24"/>
          <w:szCs w:val="24"/>
        </w:rPr>
        <w:t xml:space="preserve">specific </w:t>
      </w:r>
      <w:r w:rsidR="0078692D">
        <w:rPr>
          <w:sz w:val="24"/>
          <w:szCs w:val="24"/>
        </w:rPr>
        <w:t xml:space="preserve">railcar </w:t>
      </w:r>
      <w:r w:rsidR="003A6C0B">
        <w:rPr>
          <w:sz w:val="24"/>
          <w:szCs w:val="24"/>
        </w:rPr>
        <w:t>inspection points</w:t>
      </w:r>
      <w:r w:rsidR="0078692D">
        <w:rPr>
          <w:sz w:val="24"/>
          <w:szCs w:val="24"/>
        </w:rPr>
        <w:t>,</w:t>
      </w:r>
      <w:r w:rsidR="003A6C0B">
        <w:rPr>
          <w:sz w:val="24"/>
          <w:szCs w:val="24"/>
        </w:rPr>
        <w:t xml:space="preserve"> </w:t>
      </w:r>
      <w:r w:rsidR="00E34B4B">
        <w:rPr>
          <w:sz w:val="24"/>
          <w:szCs w:val="24"/>
        </w:rPr>
        <w:t xml:space="preserve">which </w:t>
      </w:r>
      <w:r w:rsidR="00987653">
        <w:rPr>
          <w:sz w:val="24"/>
          <w:szCs w:val="24"/>
        </w:rPr>
        <w:t>are</w:t>
      </w:r>
      <w:r w:rsidR="00E34B4B">
        <w:rPr>
          <w:sz w:val="24"/>
          <w:szCs w:val="24"/>
        </w:rPr>
        <w:t xml:space="preserve"> monitored and addressed </w:t>
      </w:r>
      <w:r w:rsidR="00F8242E">
        <w:rPr>
          <w:sz w:val="24"/>
          <w:szCs w:val="24"/>
        </w:rPr>
        <w:t>using</w:t>
      </w:r>
      <w:r w:rsidR="006A1953">
        <w:rPr>
          <w:sz w:val="24"/>
          <w:szCs w:val="24"/>
        </w:rPr>
        <w:t xml:space="preserve"> </w:t>
      </w:r>
      <w:r w:rsidR="00E75DED">
        <w:rPr>
          <w:sz w:val="24"/>
          <w:szCs w:val="24"/>
        </w:rPr>
        <w:t xml:space="preserve">artificial intelligence (AI) </w:t>
      </w:r>
      <w:r w:rsidR="006A1953">
        <w:rPr>
          <w:sz w:val="24"/>
          <w:szCs w:val="24"/>
        </w:rPr>
        <w:t xml:space="preserve">applications being developed by the </w:t>
      </w:r>
      <w:r w:rsidR="00987653">
        <w:rPr>
          <w:sz w:val="24"/>
          <w:szCs w:val="24"/>
        </w:rPr>
        <w:t>railroad</w:t>
      </w:r>
      <w:r w:rsidR="006A1953">
        <w:rPr>
          <w:sz w:val="24"/>
          <w:szCs w:val="24"/>
        </w:rPr>
        <w:t xml:space="preserve"> and integrated into the Duos </w:t>
      </w:r>
      <w:r w:rsidR="003A6C0B" w:rsidRPr="003A6C0B">
        <w:rPr>
          <w:rFonts w:ascii="Arial Black" w:hAnsi="Arial Black"/>
        </w:rPr>
        <w:t>cen</w:t>
      </w:r>
      <w:r w:rsidR="003A6C0B" w:rsidRPr="003A6C0B">
        <w:rPr>
          <w:rFonts w:ascii="Arial Black" w:hAnsi="Arial Black"/>
          <w:color w:val="548DD4"/>
        </w:rPr>
        <w:t>t</w:t>
      </w:r>
      <w:r w:rsidR="003A6C0B" w:rsidRPr="003A6C0B">
        <w:rPr>
          <w:rFonts w:ascii="Arial Black" w:hAnsi="Arial Black"/>
        </w:rPr>
        <w:t>raco</w:t>
      </w:r>
      <w:r w:rsidR="003A6C0B" w:rsidRPr="009C442E">
        <w:rPr>
          <w:rFonts w:cstheme="minorHAnsi"/>
          <w:sz w:val="24"/>
          <w:szCs w:val="24"/>
        </w:rPr>
        <w:t>®</w:t>
      </w:r>
      <w:r w:rsidR="003A6C0B" w:rsidRPr="003A6C0B">
        <w:t xml:space="preserve"> </w:t>
      </w:r>
      <w:r w:rsidR="003A6C0B">
        <w:rPr>
          <w:sz w:val="24"/>
          <w:szCs w:val="24"/>
        </w:rPr>
        <w:t>platform</w:t>
      </w:r>
      <w:r w:rsidR="00A244E5" w:rsidRPr="009C442E">
        <w:rPr>
          <w:sz w:val="24"/>
          <w:szCs w:val="24"/>
        </w:rPr>
        <w:t>.</w:t>
      </w:r>
    </w:p>
    <w:p w14:paraId="73FC7984" w14:textId="33A174C5" w:rsidR="00F8242E" w:rsidRDefault="00A4002A" w:rsidP="009C442E">
      <w:pPr>
        <w:spacing w:line="360" w:lineRule="auto"/>
        <w:jc w:val="both"/>
        <w:rPr>
          <w:sz w:val="24"/>
          <w:szCs w:val="24"/>
        </w:rPr>
      </w:pPr>
      <w:r w:rsidRPr="00015033">
        <w:rPr>
          <w:sz w:val="24"/>
          <w:szCs w:val="24"/>
        </w:rPr>
        <w:t>“</w:t>
      </w:r>
      <w:r w:rsidR="00F8242E">
        <w:rPr>
          <w:sz w:val="24"/>
          <w:szCs w:val="24"/>
        </w:rPr>
        <w:t xml:space="preserve">Continued service and maintenance of our systems is critical to our partnership </w:t>
      </w:r>
      <w:r w:rsidR="001552B3">
        <w:rPr>
          <w:sz w:val="24"/>
          <w:szCs w:val="24"/>
        </w:rPr>
        <w:t xml:space="preserve">and success </w:t>
      </w:r>
      <w:r w:rsidR="00F8242E">
        <w:rPr>
          <w:sz w:val="24"/>
          <w:szCs w:val="24"/>
        </w:rPr>
        <w:t>with</w:t>
      </w:r>
      <w:r w:rsidR="00987653">
        <w:rPr>
          <w:sz w:val="24"/>
          <w:szCs w:val="24"/>
        </w:rPr>
        <w:t xml:space="preserve"> </w:t>
      </w:r>
      <w:r w:rsidR="001552B3">
        <w:rPr>
          <w:sz w:val="24"/>
          <w:szCs w:val="24"/>
        </w:rPr>
        <w:t>CN</w:t>
      </w:r>
      <w:r w:rsidR="00F8242E">
        <w:rPr>
          <w:sz w:val="24"/>
          <w:szCs w:val="24"/>
        </w:rPr>
        <w:t xml:space="preserve"> </w:t>
      </w:r>
      <w:r w:rsidR="001552B3">
        <w:rPr>
          <w:sz w:val="24"/>
          <w:szCs w:val="24"/>
        </w:rPr>
        <w:t xml:space="preserve">as we further </w:t>
      </w:r>
      <w:r w:rsidR="00F8242E">
        <w:rPr>
          <w:sz w:val="24"/>
          <w:szCs w:val="24"/>
        </w:rPr>
        <w:t xml:space="preserve">develop, deploy and integrate our solutions into their </w:t>
      </w:r>
      <w:r w:rsidR="001552B3">
        <w:rPr>
          <w:sz w:val="24"/>
          <w:szCs w:val="24"/>
        </w:rPr>
        <w:t xml:space="preserve">North American operating </w:t>
      </w:r>
      <w:r w:rsidR="00F8242E">
        <w:rPr>
          <w:sz w:val="24"/>
          <w:szCs w:val="24"/>
        </w:rPr>
        <w:t>environment</w:t>
      </w:r>
      <w:r w:rsidR="001552B3">
        <w:rPr>
          <w:sz w:val="24"/>
          <w:szCs w:val="24"/>
        </w:rPr>
        <w:t xml:space="preserve">,” </w:t>
      </w:r>
      <w:r w:rsidR="00F8242E">
        <w:rPr>
          <w:sz w:val="24"/>
          <w:szCs w:val="24"/>
        </w:rPr>
        <w:t xml:space="preserve">said </w:t>
      </w:r>
      <w:r w:rsidR="00FF464E">
        <w:rPr>
          <w:sz w:val="24"/>
          <w:szCs w:val="24"/>
        </w:rPr>
        <w:t>Chuck</w:t>
      </w:r>
      <w:r w:rsidR="00F8242E">
        <w:rPr>
          <w:sz w:val="24"/>
          <w:szCs w:val="24"/>
        </w:rPr>
        <w:t xml:space="preserve"> </w:t>
      </w:r>
      <w:r w:rsidR="00FF464E">
        <w:rPr>
          <w:sz w:val="24"/>
          <w:szCs w:val="24"/>
        </w:rPr>
        <w:t>Ferry</w:t>
      </w:r>
      <w:r w:rsidR="00F8242E">
        <w:rPr>
          <w:sz w:val="24"/>
          <w:szCs w:val="24"/>
        </w:rPr>
        <w:t xml:space="preserve">, Chief </w:t>
      </w:r>
      <w:r w:rsidR="00FF464E">
        <w:rPr>
          <w:sz w:val="24"/>
          <w:szCs w:val="24"/>
        </w:rPr>
        <w:t>Executive</w:t>
      </w:r>
      <w:r w:rsidR="00F8242E">
        <w:rPr>
          <w:sz w:val="24"/>
          <w:szCs w:val="24"/>
        </w:rPr>
        <w:t xml:space="preserve"> Officer for Duos Technologies.  “This investment will dramatically impact the overall productivity and uptime for </w:t>
      </w:r>
      <w:r w:rsidR="001552B3">
        <w:rPr>
          <w:sz w:val="24"/>
          <w:szCs w:val="24"/>
        </w:rPr>
        <w:t xml:space="preserve">the railroad’s </w:t>
      </w:r>
      <w:r w:rsidR="00F8242E">
        <w:rPr>
          <w:sz w:val="24"/>
          <w:szCs w:val="24"/>
        </w:rPr>
        <w:t>solutions</w:t>
      </w:r>
      <w:r w:rsidR="001552B3">
        <w:rPr>
          <w:sz w:val="24"/>
          <w:szCs w:val="24"/>
        </w:rPr>
        <w:t>,</w:t>
      </w:r>
      <w:r w:rsidR="00F8242E">
        <w:rPr>
          <w:sz w:val="24"/>
          <w:szCs w:val="24"/>
        </w:rPr>
        <w:t xml:space="preserve"> and we greatly appreciate our continued relationship and CN’s trust in Duos to deliver </w:t>
      </w:r>
      <w:r w:rsidR="001552B3">
        <w:rPr>
          <w:sz w:val="24"/>
          <w:szCs w:val="24"/>
        </w:rPr>
        <w:t>cutting-</w:t>
      </w:r>
      <w:r w:rsidR="00987653">
        <w:rPr>
          <w:sz w:val="24"/>
          <w:szCs w:val="24"/>
        </w:rPr>
        <w:t xml:space="preserve">edge </w:t>
      </w:r>
      <w:r w:rsidR="00F8242E">
        <w:rPr>
          <w:sz w:val="24"/>
          <w:szCs w:val="24"/>
        </w:rPr>
        <w:t>solutions.”</w:t>
      </w:r>
    </w:p>
    <w:p w14:paraId="3A05B6DE" w14:textId="77777777" w:rsidR="004F7719" w:rsidRPr="00D33257" w:rsidRDefault="004F7719" w:rsidP="00CD15F4">
      <w:pPr>
        <w:pStyle w:val="Heading3"/>
        <w:spacing w:after="0"/>
        <w:rPr>
          <w:rFonts w:eastAsia="Times New Roman" w:cstheme="minorHAnsi"/>
          <w:color w:val="auto"/>
          <w:sz w:val="22"/>
          <w:szCs w:val="22"/>
        </w:rPr>
      </w:pPr>
      <w:bookmarkStart w:id="0" w:name="_GoBack"/>
      <w:bookmarkEnd w:id="0"/>
      <w:r w:rsidRPr="00D33257">
        <w:rPr>
          <w:rFonts w:eastAsia="Times New Roman" w:cstheme="minorHAnsi"/>
          <w:color w:val="auto"/>
          <w:sz w:val="22"/>
          <w:szCs w:val="22"/>
        </w:rPr>
        <w:t>About Duos Technologies Group, Inc.</w:t>
      </w:r>
    </w:p>
    <w:p w14:paraId="50AA8064" w14:textId="3FCE9631" w:rsidR="00605ADA" w:rsidRDefault="004F7719" w:rsidP="00CD15F4">
      <w:pPr>
        <w:spacing w:line="240" w:lineRule="auto"/>
        <w:jc w:val="both"/>
        <w:rPr>
          <w:rFonts w:cstheme="minorHAnsi"/>
        </w:rPr>
      </w:pPr>
      <w:r w:rsidRPr="00D33257">
        <w:rPr>
          <w:rFonts w:cstheme="minorHAnsi"/>
        </w:rPr>
        <w:t>Duos Technologies Group, Inc. (</w:t>
      </w:r>
      <w:r w:rsidR="00E8163A">
        <w:rPr>
          <w:rFonts w:cstheme="minorHAnsi"/>
        </w:rPr>
        <w:t>Nasdaq</w:t>
      </w:r>
      <w:r w:rsidRPr="00D33257">
        <w:rPr>
          <w:rFonts w:cstheme="minorHAnsi"/>
        </w:rPr>
        <w:t xml:space="preserve">: DUOT), based in Jacksonville, Florida, through its wholly owned subsidiary, Duos Technologies, Inc., </w:t>
      </w:r>
      <w:r w:rsidR="00B907AC" w:rsidRPr="009778BD">
        <w:rPr>
          <w:rFonts w:cs="Helvetica"/>
          <w:bCs/>
        </w:rPr>
        <w:t>provides advanced, analytical technology solutions with a strong portfolio of intellectual property</w:t>
      </w:r>
      <w:r w:rsidRPr="00D33257">
        <w:rPr>
          <w:rFonts w:cstheme="minorHAnsi"/>
        </w:rPr>
        <w:t xml:space="preserve">. The Company’s core competencies include intelligent technologies that combine machine learning, artificial intelligence and advanced video analytics that are delivered through its proprietary integrated enterprise command and control centraco® platform. The Company provides its broad range of technology solutions with an emphasis on mission critical security, inspection and operations within the rail transportation, retail, petrochemical, government, and banking sectors. Duos Technologies also offers professional and consulting services for large data centers. For more information, visit </w:t>
      </w:r>
      <w:hyperlink r:id="rId9" w:history="1">
        <w:r w:rsidRPr="00D33257">
          <w:rPr>
            <w:rStyle w:val="Hyperlink"/>
            <w:rFonts w:cstheme="minorHAnsi"/>
          </w:rPr>
          <w:t>www.duostech.com</w:t>
        </w:r>
      </w:hyperlink>
      <w:r w:rsidRPr="00D33257">
        <w:rPr>
          <w:rFonts w:cstheme="minorHAnsi"/>
        </w:rPr>
        <w:t>.</w:t>
      </w:r>
    </w:p>
    <w:p w14:paraId="513D5EAA" w14:textId="23F4D60D" w:rsidR="00FF464E" w:rsidRDefault="00FF464E" w:rsidP="00FF464E">
      <w:pPr>
        <w:pStyle w:val="Heading3"/>
        <w:spacing w:after="0"/>
        <w:rPr>
          <w:rFonts w:eastAsia="Times New Roman" w:cstheme="minorHAnsi"/>
          <w:color w:val="auto"/>
          <w:sz w:val="22"/>
          <w:szCs w:val="22"/>
        </w:rPr>
      </w:pPr>
      <w:r w:rsidRPr="00D33257">
        <w:rPr>
          <w:rFonts w:eastAsia="Times New Roman" w:cstheme="minorHAnsi"/>
          <w:color w:val="auto"/>
          <w:sz w:val="22"/>
          <w:szCs w:val="22"/>
        </w:rPr>
        <w:t xml:space="preserve">About </w:t>
      </w:r>
      <w:r>
        <w:rPr>
          <w:rFonts w:eastAsia="Times New Roman" w:cstheme="minorHAnsi"/>
          <w:color w:val="auto"/>
          <w:sz w:val="22"/>
          <w:szCs w:val="22"/>
        </w:rPr>
        <w:t>CN</w:t>
      </w:r>
    </w:p>
    <w:p w14:paraId="02C46627" w14:textId="05A2B07E" w:rsidR="00FF464E" w:rsidRPr="00FF464E" w:rsidRDefault="00FF464E" w:rsidP="00FF464E">
      <w:r>
        <w:t xml:space="preserve">CN is a world-class transportation leader and trade-enabler. Essential to the economy, to the customers, and to the communities it serves, CN safely transports more than 300 million tons of natural resources, manufactured products, and finished goods throughout North America every year. As the only railroad connecting Canada’s Eastern and Western coasts with the Southern tip of the U.S. through a 19,500 mile </w:t>
      </w:r>
      <w:r>
        <w:lastRenderedPageBreak/>
        <w:t>rail network, CN and its affiliates have been contributing to community prosperity and sustainable trade since 1919. CN is committed to programs supporting social responsibility and environmental stewardship</w:t>
      </w:r>
    </w:p>
    <w:p w14:paraId="7EF401EE" w14:textId="60515692" w:rsidR="00605ADA" w:rsidRPr="009C442E" w:rsidRDefault="00605ADA" w:rsidP="00605ADA">
      <w:pPr>
        <w:spacing w:line="240" w:lineRule="auto"/>
        <w:contextualSpacing/>
        <w:jc w:val="both"/>
        <w:rPr>
          <w:rFonts w:cstheme="minorHAnsi"/>
          <w:i/>
          <w:iCs/>
        </w:rPr>
      </w:pPr>
      <w:r w:rsidRPr="009C442E">
        <w:rPr>
          <w:rFonts w:cstheme="minorHAnsi"/>
          <w:b/>
          <w:i/>
          <w:iCs/>
        </w:rPr>
        <w:t>Forward Looking Statements</w:t>
      </w:r>
    </w:p>
    <w:p w14:paraId="388159D8" w14:textId="5A537CB3" w:rsidR="00DB2A92" w:rsidRPr="00E2677A" w:rsidRDefault="00E53FBA" w:rsidP="00CD15F4">
      <w:pPr>
        <w:spacing w:line="240" w:lineRule="auto"/>
        <w:jc w:val="both"/>
        <w:rPr>
          <w:rFonts w:cstheme="minorHAnsi"/>
          <w:i/>
          <w:iCs/>
        </w:rPr>
      </w:pPr>
      <w:r w:rsidRPr="009C442E">
        <w:rPr>
          <w:rFonts w:cstheme="minorHAnsi"/>
          <w:i/>
          <w:iCs/>
        </w:rPr>
        <w:t>This news release includes forward-looking statements within the meaning of Section 27A of the Securities Act of 1933 and Section 21E of the Securities Exchange Act of 1934, as amended, regarding, among other things our plans, strategies and prospects -- both business and financial. Although we believe that our plans, intentions and expectations reflected in or suggested by these forward-looking statements are reasonable, we cannot assure you that we will achieve or realize these plans, intentions or expectations. Forward-looking statements are inherently subject to risks, uncertainties and assumptions. Many of the forward-looking statements contained in this news release may be identified by the use of forward-looking words such as "believe," "expect," "anticipate," "should," "planned," "will," "may," "intend," "estimated," and "potential," among others. Important factors that could cause actual results to differ materially from the forward-looking statements we make in this news release include market conditions and those set forth in reports or documents that we file from time to time with the </w:t>
      </w:r>
      <w:r w:rsidRPr="009C442E">
        <w:rPr>
          <w:i/>
          <w:iCs/>
        </w:rPr>
        <w:t>United States Securities and Exchange Commission</w:t>
      </w:r>
      <w:r w:rsidRPr="009C442E">
        <w:rPr>
          <w:rFonts w:cstheme="minorHAnsi"/>
          <w:i/>
          <w:iCs/>
        </w:rPr>
        <w:t>. All forward-looking statements attributable to </w:t>
      </w:r>
      <w:r w:rsidRPr="009C442E">
        <w:rPr>
          <w:i/>
          <w:iCs/>
        </w:rPr>
        <w:t>Duos Technologies Group, Inc.</w:t>
      </w:r>
      <w:r w:rsidRPr="009C442E">
        <w:rPr>
          <w:rFonts w:cstheme="minorHAnsi"/>
          <w:i/>
          <w:iCs/>
        </w:rPr>
        <w:t> or a person acting on its behalf are expressly qualified in their entirety by this cautionary language.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tblGrid>
      <w:tr w:rsidR="004F7719" w:rsidRPr="00CD15F4" w14:paraId="27CE197A" w14:textId="77777777" w:rsidTr="006A6A1C">
        <w:trPr>
          <w:trHeight w:val="17"/>
        </w:trPr>
        <w:tc>
          <w:tcPr>
            <w:tcW w:w="4676" w:type="dxa"/>
          </w:tcPr>
          <w:p w14:paraId="1639ED94" w14:textId="77777777" w:rsidR="004F7719" w:rsidRDefault="004F7719" w:rsidP="00CD15F4">
            <w:pPr>
              <w:rPr>
                <w:rFonts w:cstheme="minorHAnsi"/>
                <w:b/>
                <w:sz w:val="22"/>
                <w:szCs w:val="22"/>
              </w:rPr>
            </w:pPr>
            <w:r w:rsidRPr="00CD15F4">
              <w:rPr>
                <w:rFonts w:cstheme="minorHAnsi"/>
                <w:b/>
                <w:sz w:val="22"/>
                <w:szCs w:val="22"/>
              </w:rPr>
              <w:t>Contacts</w:t>
            </w:r>
          </w:p>
          <w:p w14:paraId="088D1793" w14:textId="6851691A" w:rsidR="00E75DED" w:rsidRPr="00CD15F4" w:rsidRDefault="00E75DED" w:rsidP="00CD15F4">
            <w:pPr>
              <w:rPr>
                <w:rFonts w:cstheme="minorHAnsi"/>
                <w:b/>
                <w:sz w:val="22"/>
                <w:szCs w:val="22"/>
              </w:rPr>
            </w:pPr>
          </w:p>
        </w:tc>
      </w:tr>
      <w:tr w:rsidR="004F7719" w:rsidRPr="00CD15F4" w14:paraId="7D27876A" w14:textId="77777777" w:rsidTr="006A6A1C">
        <w:trPr>
          <w:trHeight w:val="189"/>
        </w:trPr>
        <w:tc>
          <w:tcPr>
            <w:tcW w:w="4676" w:type="dxa"/>
          </w:tcPr>
          <w:p w14:paraId="28B42434" w14:textId="77777777" w:rsidR="004F7719" w:rsidRPr="00CD15F4" w:rsidRDefault="004F7719" w:rsidP="00CD15F4">
            <w:pPr>
              <w:tabs>
                <w:tab w:val="left" w:pos="7792"/>
              </w:tabs>
              <w:rPr>
                <w:rFonts w:cstheme="minorHAnsi"/>
                <w:b/>
                <w:sz w:val="22"/>
                <w:szCs w:val="22"/>
              </w:rPr>
            </w:pPr>
            <w:r w:rsidRPr="00CD15F4">
              <w:rPr>
                <w:rFonts w:cstheme="minorHAnsi"/>
                <w:b/>
                <w:sz w:val="22"/>
                <w:szCs w:val="22"/>
              </w:rPr>
              <w:t>Corporate</w:t>
            </w:r>
          </w:p>
          <w:p w14:paraId="21DDB24A" w14:textId="77777777" w:rsidR="004F7719" w:rsidRPr="00CD15F4" w:rsidRDefault="004F7719" w:rsidP="00CD15F4">
            <w:pPr>
              <w:keepNext/>
              <w:contextualSpacing/>
              <w:rPr>
                <w:rFonts w:cstheme="minorHAnsi"/>
                <w:bCs/>
                <w:iCs/>
                <w:color w:val="26282A"/>
                <w:sz w:val="22"/>
                <w:szCs w:val="22"/>
              </w:rPr>
            </w:pPr>
            <w:r w:rsidRPr="00CD15F4">
              <w:rPr>
                <w:rFonts w:cstheme="minorHAnsi"/>
                <w:bCs/>
                <w:iCs/>
                <w:color w:val="26282A"/>
                <w:sz w:val="22"/>
                <w:szCs w:val="22"/>
              </w:rPr>
              <w:t>Tracie Hutchins</w:t>
            </w:r>
          </w:p>
          <w:p w14:paraId="510D7ABA" w14:textId="10838036" w:rsidR="004F7719" w:rsidRPr="0063009C" w:rsidRDefault="004F7719" w:rsidP="00CD15F4">
            <w:pPr>
              <w:keepNext/>
              <w:contextualSpacing/>
              <w:rPr>
                <w:rFonts w:cstheme="minorHAnsi"/>
                <w:b/>
                <w:bCs/>
                <w:iCs/>
                <w:color w:val="26282A"/>
                <w:sz w:val="22"/>
                <w:szCs w:val="22"/>
              </w:rPr>
            </w:pPr>
            <w:r w:rsidRPr="00CD15F4">
              <w:rPr>
                <w:rFonts w:cstheme="minorHAnsi"/>
                <w:bCs/>
                <w:iCs/>
                <w:color w:val="26282A"/>
                <w:sz w:val="22"/>
                <w:szCs w:val="22"/>
              </w:rPr>
              <w:t>Duos Technologies Group, Inc.</w:t>
            </w:r>
            <w:r w:rsidR="00C1153A">
              <w:rPr>
                <w:rFonts w:cstheme="minorHAnsi"/>
                <w:bCs/>
                <w:iCs/>
                <w:color w:val="26282A"/>
                <w:sz w:val="22"/>
                <w:szCs w:val="22"/>
              </w:rPr>
              <w:t xml:space="preserve"> </w:t>
            </w:r>
            <w:r w:rsidR="00C1153A" w:rsidRPr="0063009C">
              <w:rPr>
                <w:rFonts w:cstheme="minorHAnsi"/>
                <w:bCs/>
                <w:iCs/>
                <w:color w:val="26282A"/>
                <w:sz w:val="22"/>
                <w:szCs w:val="22"/>
              </w:rPr>
              <w:t>(Nasdaq: DUOT)</w:t>
            </w:r>
            <w:r w:rsidRPr="0063009C">
              <w:rPr>
                <w:rFonts w:cstheme="minorHAnsi"/>
                <w:bCs/>
                <w:iCs/>
                <w:color w:val="26282A"/>
                <w:sz w:val="22"/>
                <w:szCs w:val="22"/>
              </w:rPr>
              <w:br/>
              <w:t>904-652-1601</w:t>
            </w:r>
            <w:r w:rsidRPr="0063009C">
              <w:rPr>
                <w:rFonts w:cstheme="minorHAnsi"/>
                <w:b/>
                <w:bCs/>
                <w:iCs/>
                <w:color w:val="26282A"/>
                <w:sz w:val="22"/>
                <w:szCs w:val="22"/>
              </w:rPr>
              <w:br/>
            </w:r>
            <w:hyperlink r:id="rId10" w:history="1">
              <w:r w:rsidRPr="0063009C">
                <w:rPr>
                  <w:rStyle w:val="Hyperlink"/>
                  <w:rFonts w:cstheme="minorHAnsi"/>
                  <w:sz w:val="22"/>
                  <w:szCs w:val="22"/>
                </w:rPr>
                <w:t>tlh@duostech.com</w:t>
              </w:r>
            </w:hyperlink>
          </w:p>
          <w:p w14:paraId="0D2A141B" w14:textId="77777777" w:rsidR="004F7719" w:rsidRPr="0063009C" w:rsidRDefault="004F7719" w:rsidP="00CD15F4">
            <w:pPr>
              <w:keepNext/>
              <w:contextualSpacing/>
              <w:rPr>
                <w:rFonts w:cstheme="minorHAnsi"/>
                <w:b/>
                <w:sz w:val="22"/>
                <w:szCs w:val="22"/>
              </w:rPr>
            </w:pPr>
          </w:p>
          <w:p w14:paraId="2251FDD1" w14:textId="77777777" w:rsidR="004F7719" w:rsidRPr="00CD15F4" w:rsidRDefault="004F7719" w:rsidP="00CD15F4">
            <w:pPr>
              <w:keepNext/>
              <w:contextualSpacing/>
              <w:rPr>
                <w:rFonts w:cstheme="minorHAnsi"/>
                <w:b/>
                <w:sz w:val="22"/>
                <w:szCs w:val="22"/>
              </w:rPr>
            </w:pPr>
            <w:r w:rsidRPr="00CD15F4">
              <w:rPr>
                <w:rFonts w:cstheme="minorHAnsi"/>
                <w:b/>
                <w:sz w:val="22"/>
                <w:szCs w:val="22"/>
              </w:rPr>
              <w:t>Investor Relations</w:t>
            </w:r>
          </w:p>
          <w:p w14:paraId="3E8302A2" w14:textId="77777777" w:rsidR="004F7719" w:rsidRPr="00CD15F4" w:rsidRDefault="004F7719" w:rsidP="00CD15F4">
            <w:pPr>
              <w:keepNext/>
              <w:contextualSpacing/>
              <w:rPr>
                <w:rFonts w:cstheme="minorHAnsi"/>
                <w:sz w:val="22"/>
                <w:szCs w:val="22"/>
              </w:rPr>
            </w:pPr>
            <w:r w:rsidRPr="00CD15F4">
              <w:rPr>
                <w:rFonts w:cstheme="minorHAnsi"/>
                <w:sz w:val="22"/>
                <w:szCs w:val="22"/>
              </w:rPr>
              <w:t>Matt Glover or Tom Colton</w:t>
            </w:r>
          </w:p>
          <w:p w14:paraId="4308D42C" w14:textId="77777777" w:rsidR="004F7719" w:rsidRPr="00CD15F4" w:rsidRDefault="004F7719" w:rsidP="00CD15F4">
            <w:pPr>
              <w:contextualSpacing/>
              <w:rPr>
                <w:rFonts w:cstheme="minorHAnsi"/>
                <w:sz w:val="22"/>
                <w:szCs w:val="22"/>
              </w:rPr>
            </w:pPr>
            <w:r w:rsidRPr="00CD15F4">
              <w:rPr>
                <w:rFonts w:cstheme="minorHAnsi"/>
                <w:sz w:val="22"/>
                <w:szCs w:val="22"/>
              </w:rPr>
              <w:t>Gateway</w:t>
            </w:r>
            <w:r w:rsidR="00D4471B" w:rsidRPr="00CD15F4">
              <w:rPr>
                <w:rFonts w:cstheme="minorHAnsi"/>
                <w:sz w:val="22"/>
                <w:szCs w:val="22"/>
              </w:rPr>
              <w:t xml:space="preserve"> Investor Relations</w:t>
            </w:r>
          </w:p>
          <w:p w14:paraId="44C07539" w14:textId="77777777" w:rsidR="004F7719" w:rsidRPr="00CD15F4" w:rsidRDefault="004F7719" w:rsidP="00CD15F4">
            <w:pPr>
              <w:contextualSpacing/>
              <w:rPr>
                <w:rFonts w:cstheme="minorHAnsi"/>
                <w:sz w:val="22"/>
                <w:szCs w:val="22"/>
              </w:rPr>
            </w:pPr>
            <w:r w:rsidRPr="00CD15F4">
              <w:rPr>
                <w:rFonts w:cstheme="minorHAnsi"/>
                <w:sz w:val="22"/>
                <w:szCs w:val="22"/>
              </w:rPr>
              <w:t>949-574-3860</w:t>
            </w:r>
          </w:p>
          <w:p w14:paraId="265DF25C" w14:textId="69B94ECA" w:rsidR="004F7719" w:rsidRPr="00CD15F4" w:rsidRDefault="00250014" w:rsidP="00CD15F4">
            <w:pPr>
              <w:contextualSpacing/>
              <w:rPr>
                <w:rFonts w:cstheme="minorHAnsi"/>
                <w:sz w:val="22"/>
                <w:szCs w:val="22"/>
              </w:rPr>
            </w:pPr>
            <w:hyperlink r:id="rId11" w:history="1">
              <w:r w:rsidR="00D4471B" w:rsidRPr="00CD15F4">
                <w:rPr>
                  <w:rStyle w:val="Hyperlink"/>
                  <w:rFonts w:cstheme="minorHAnsi"/>
                  <w:sz w:val="22"/>
                  <w:szCs w:val="22"/>
                </w:rPr>
                <w:t>DUOT@gatewayIR.com</w:t>
              </w:r>
            </w:hyperlink>
          </w:p>
        </w:tc>
      </w:tr>
      <w:tr w:rsidR="00CD15F4" w:rsidRPr="00CD15F4" w14:paraId="726CC48E" w14:textId="77777777" w:rsidTr="006A6A1C">
        <w:trPr>
          <w:trHeight w:val="19"/>
        </w:trPr>
        <w:tc>
          <w:tcPr>
            <w:tcW w:w="4676" w:type="dxa"/>
          </w:tcPr>
          <w:p w14:paraId="146499CB" w14:textId="77777777" w:rsidR="00CD15F4" w:rsidRPr="00CD15F4" w:rsidRDefault="00CD15F4" w:rsidP="00CD15F4">
            <w:pPr>
              <w:tabs>
                <w:tab w:val="left" w:pos="7792"/>
              </w:tabs>
              <w:rPr>
                <w:rFonts w:cstheme="minorHAnsi"/>
                <w:b/>
              </w:rPr>
            </w:pPr>
          </w:p>
        </w:tc>
      </w:tr>
    </w:tbl>
    <w:p w14:paraId="7082DF19" w14:textId="77777777" w:rsidR="00AD3B36" w:rsidRPr="00004154" w:rsidRDefault="00250014" w:rsidP="006A6A1C">
      <w:pPr>
        <w:spacing w:line="240" w:lineRule="auto"/>
        <w:rPr>
          <w:rFonts w:cstheme="minorHAnsi"/>
        </w:rPr>
      </w:pPr>
    </w:p>
    <w:sectPr w:rsidR="00AD3B36" w:rsidRPr="00004154" w:rsidSect="006A6A1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B7353" w14:textId="77777777" w:rsidR="00211636" w:rsidRDefault="00211636" w:rsidP="007274FE">
      <w:pPr>
        <w:spacing w:after="0" w:line="240" w:lineRule="auto"/>
      </w:pPr>
      <w:r>
        <w:separator/>
      </w:r>
    </w:p>
  </w:endnote>
  <w:endnote w:type="continuationSeparator" w:id="0">
    <w:p w14:paraId="760F3CB2" w14:textId="77777777" w:rsidR="00211636" w:rsidRDefault="00211636" w:rsidP="00727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E14BC" w14:textId="77777777" w:rsidR="0078692D" w:rsidRDefault="007869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12C44" w14:textId="77777777" w:rsidR="0078692D" w:rsidRDefault="007869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4B761" w14:textId="77777777" w:rsidR="0078692D" w:rsidRDefault="00786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D96CE" w14:textId="77777777" w:rsidR="00211636" w:rsidRDefault="00211636" w:rsidP="007274FE">
      <w:pPr>
        <w:spacing w:after="0" w:line="240" w:lineRule="auto"/>
      </w:pPr>
      <w:r>
        <w:separator/>
      </w:r>
    </w:p>
  </w:footnote>
  <w:footnote w:type="continuationSeparator" w:id="0">
    <w:p w14:paraId="340431FD" w14:textId="77777777" w:rsidR="00211636" w:rsidRDefault="00211636" w:rsidP="007274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9A194" w14:textId="77777777" w:rsidR="0078692D" w:rsidRDefault="007869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957E4" w14:textId="77777777" w:rsidR="007274FE" w:rsidRPr="00F22BFC" w:rsidRDefault="007274FE" w:rsidP="007274FE">
    <w:pPr>
      <w:pStyle w:val="Header"/>
      <w:tabs>
        <w:tab w:val="clear" w:pos="4680"/>
      </w:tabs>
      <w:rPr>
        <w:rFonts w:cstheme="minorHAnsi"/>
        <w:b/>
        <w:sz w:val="28"/>
        <w:szCs w:val="32"/>
      </w:rPr>
    </w:pPr>
    <w:r w:rsidRPr="004F7719">
      <w:rPr>
        <w:rFonts w:ascii="Arial Black" w:hAnsi="Arial Black"/>
        <w:color w:val="548DD4"/>
        <w:sz w:val="36"/>
        <w:szCs w:val="36"/>
      </w:rPr>
      <w:t>duos</w:t>
    </w:r>
    <w:r w:rsidRPr="004F7719">
      <w:rPr>
        <w:rFonts w:ascii="Arial Black" w:hAnsi="Arial Black"/>
        <w:sz w:val="36"/>
        <w:szCs w:val="36"/>
      </w:rPr>
      <w:t>tech</w:t>
    </w:r>
    <w:r>
      <w:rPr>
        <w:rFonts w:ascii="Arial Black" w:hAnsi="Arial Black"/>
        <w:sz w:val="32"/>
        <w:szCs w:val="32"/>
      </w:rPr>
      <w:tab/>
    </w:r>
    <w:r w:rsidRPr="00F22BFC">
      <w:rPr>
        <w:rFonts w:cstheme="minorHAnsi"/>
        <w:b/>
        <w:sz w:val="28"/>
        <w:szCs w:val="32"/>
      </w:rPr>
      <w:t>FOR IMMEDIATE RELEASE</w:t>
    </w:r>
  </w:p>
  <w:p w14:paraId="269D9F25" w14:textId="77777777" w:rsidR="004F7719" w:rsidRDefault="004F7719" w:rsidP="007274FE">
    <w:pPr>
      <w:pStyle w:val="Header"/>
      <w:tabs>
        <w:tab w:val="clear" w:pos="4680"/>
      </w:tabs>
      <w:rPr>
        <w:rFonts w:cstheme="minorHAnsi"/>
        <w:b/>
        <w:sz w:val="24"/>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E293C" w14:textId="77777777" w:rsidR="0078692D" w:rsidRDefault="007869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5CE"/>
    <w:rsid w:val="00004154"/>
    <w:rsid w:val="00005D18"/>
    <w:rsid w:val="00014AE9"/>
    <w:rsid w:val="00015033"/>
    <w:rsid w:val="00022A9D"/>
    <w:rsid w:val="00022D7E"/>
    <w:rsid w:val="0003137A"/>
    <w:rsid w:val="00061073"/>
    <w:rsid w:val="000743C5"/>
    <w:rsid w:val="000838D9"/>
    <w:rsid w:val="000B2EFD"/>
    <w:rsid w:val="000B4E34"/>
    <w:rsid w:val="000C204C"/>
    <w:rsid w:val="000E0CFB"/>
    <w:rsid w:val="00103637"/>
    <w:rsid w:val="00137969"/>
    <w:rsid w:val="00141F9A"/>
    <w:rsid w:val="00150428"/>
    <w:rsid w:val="001552B3"/>
    <w:rsid w:val="0016006B"/>
    <w:rsid w:val="00167F2E"/>
    <w:rsid w:val="00171160"/>
    <w:rsid w:val="0017159A"/>
    <w:rsid w:val="00173E69"/>
    <w:rsid w:val="00176A0D"/>
    <w:rsid w:val="00192F93"/>
    <w:rsid w:val="001B4182"/>
    <w:rsid w:val="001C1718"/>
    <w:rsid w:val="001C4451"/>
    <w:rsid w:val="001C44DE"/>
    <w:rsid w:val="001C5D5A"/>
    <w:rsid w:val="0020006D"/>
    <w:rsid w:val="00203D7C"/>
    <w:rsid w:val="00211636"/>
    <w:rsid w:val="002275AE"/>
    <w:rsid w:val="00250014"/>
    <w:rsid w:val="00266522"/>
    <w:rsid w:val="002800CC"/>
    <w:rsid w:val="00285CB1"/>
    <w:rsid w:val="0029009E"/>
    <w:rsid w:val="00297607"/>
    <w:rsid w:val="002A530A"/>
    <w:rsid w:val="002A6910"/>
    <w:rsid w:val="002B06B5"/>
    <w:rsid w:val="002B7F3F"/>
    <w:rsid w:val="002C1F6F"/>
    <w:rsid w:val="002D1C3A"/>
    <w:rsid w:val="002F1E39"/>
    <w:rsid w:val="002F42DD"/>
    <w:rsid w:val="00307C4C"/>
    <w:rsid w:val="00333838"/>
    <w:rsid w:val="0034279A"/>
    <w:rsid w:val="003444B2"/>
    <w:rsid w:val="003607BC"/>
    <w:rsid w:val="0036651D"/>
    <w:rsid w:val="00371888"/>
    <w:rsid w:val="00372585"/>
    <w:rsid w:val="0038369B"/>
    <w:rsid w:val="003A6C0B"/>
    <w:rsid w:val="003E3321"/>
    <w:rsid w:val="003F2D7F"/>
    <w:rsid w:val="00403517"/>
    <w:rsid w:val="00465C1C"/>
    <w:rsid w:val="00494072"/>
    <w:rsid w:val="004A4BD0"/>
    <w:rsid w:val="004A6F3A"/>
    <w:rsid w:val="004F7719"/>
    <w:rsid w:val="00530BDB"/>
    <w:rsid w:val="005348AB"/>
    <w:rsid w:val="00557763"/>
    <w:rsid w:val="00595507"/>
    <w:rsid w:val="00597087"/>
    <w:rsid w:val="005C5332"/>
    <w:rsid w:val="005E6234"/>
    <w:rsid w:val="005F11EC"/>
    <w:rsid w:val="00605ADA"/>
    <w:rsid w:val="0060610E"/>
    <w:rsid w:val="0063009C"/>
    <w:rsid w:val="0066325C"/>
    <w:rsid w:val="00664DAA"/>
    <w:rsid w:val="0068485E"/>
    <w:rsid w:val="00685C1D"/>
    <w:rsid w:val="006A1953"/>
    <w:rsid w:val="006A6A1C"/>
    <w:rsid w:val="006B3B53"/>
    <w:rsid w:val="006C2A88"/>
    <w:rsid w:val="006C6A33"/>
    <w:rsid w:val="006D4A32"/>
    <w:rsid w:val="006F2123"/>
    <w:rsid w:val="006F5D81"/>
    <w:rsid w:val="00707F9A"/>
    <w:rsid w:val="007274FE"/>
    <w:rsid w:val="00745524"/>
    <w:rsid w:val="00760399"/>
    <w:rsid w:val="00767753"/>
    <w:rsid w:val="0078692D"/>
    <w:rsid w:val="007A002E"/>
    <w:rsid w:val="007A7DE4"/>
    <w:rsid w:val="007C77D8"/>
    <w:rsid w:val="007E499B"/>
    <w:rsid w:val="0080013E"/>
    <w:rsid w:val="0080356C"/>
    <w:rsid w:val="00823DF5"/>
    <w:rsid w:val="008260A4"/>
    <w:rsid w:val="00850F58"/>
    <w:rsid w:val="0086429A"/>
    <w:rsid w:val="0087581B"/>
    <w:rsid w:val="00885BB2"/>
    <w:rsid w:val="008A355D"/>
    <w:rsid w:val="008C5341"/>
    <w:rsid w:val="00911671"/>
    <w:rsid w:val="00950AE9"/>
    <w:rsid w:val="00953915"/>
    <w:rsid w:val="0096644E"/>
    <w:rsid w:val="0097209A"/>
    <w:rsid w:val="009778BD"/>
    <w:rsid w:val="00987653"/>
    <w:rsid w:val="009A5679"/>
    <w:rsid w:val="009B1661"/>
    <w:rsid w:val="009B51C2"/>
    <w:rsid w:val="009C442E"/>
    <w:rsid w:val="009C5C5B"/>
    <w:rsid w:val="009F2FCC"/>
    <w:rsid w:val="00A03DA4"/>
    <w:rsid w:val="00A1091D"/>
    <w:rsid w:val="00A244E5"/>
    <w:rsid w:val="00A4002A"/>
    <w:rsid w:val="00A905A9"/>
    <w:rsid w:val="00AD29CE"/>
    <w:rsid w:val="00AD5341"/>
    <w:rsid w:val="00AE47C7"/>
    <w:rsid w:val="00B06807"/>
    <w:rsid w:val="00B45EBC"/>
    <w:rsid w:val="00B56257"/>
    <w:rsid w:val="00B7602D"/>
    <w:rsid w:val="00B76F8B"/>
    <w:rsid w:val="00B907AC"/>
    <w:rsid w:val="00BA3ACB"/>
    <w:rsid w:val="00BA597F"/>
    <w:rsid w:val="00BC555E"/>
    <w:rsid w:val="00BE5246"/>
    <w:rsid w:val="00C03825"/>
    <w:rsid w:val="00C057C0"/>
    <w:rsid w:val="00C1153A"/>
    <w:rsid w:val="00C151D0"/>
    <w:rsid w:val="00C242F8"/>
    <w:rsid w:val="00C655C3"/>
    <w:rsid w:val="00C9381C"/>
    <w:rsid w:val="00C9393D"/>
    <w:rsid w:val="00CB2EDE"/>
    <w:rsid w:val="00CB45CE"/>
    <w:rsid w:val="00CC1582"/>
    <w:rsid w:val="00CC2C68"/>
    <w:rsid w:val="00CD15F4"/>
    <w:rsid w:val="00CE39ED"/>
    <w:rsid w:val="00D1049E"/>
    <w:rsid w:val="00D33257"/>
    <w:rsid w:val="00D4471B"/>
    <w:rsid w:val="00D7073F"/>
    <w:rsid w:val="00DA15FB"/>
    <w:rsid w:val="00DA3A31"/>
    <w:rsid w:val="00DB2A92"/>
    <w:rsid w:val="00DB3D96"/>
    <w:rsid w:val="00DD0BFD"/>
    <w:rsid w:val="00DE46AE"/>
    <w:rsid w:val="00DF4A43"/>
    <w:rsid w:val="00E2677A"/>
    <w:rsid w:val="00E33EC3"/>
    <w:rsid w:val="00E34B4B"/>
    <w:rsid w:val="00E43614"/>
    <w:rsid w:val="00E53FBA"/>
    <w:rsid w:val="00E75DED"/>
    <w:rsid w:val="00E8163A"/>
    <w:rsid w:val="00E86112"/>
    <w:rsid w:val="00E934D8"/>
    <w:rsid w:val="00EA338A"/>
    <w:rsid w:val="00EA3CE6"/>
    <w:rsid w:val="00EA6974"/>
    <w:rsid w:val="00EE7B18"/>
    <w:rsid w:val="00F03982"/>
    <w:rsid w:val="00F0798E"/>
    <w:rsid w:val="00F10569"/>
    <w:rsid w:val="00F22BFC"/>
    <w:rsid w:val="00F672B4"/>
    <w:rsid w:val="00F678C2"/>
    <w:rsid w:val="00F73A9E"/>
    <w:rsid w:val="00F8242E"/>
    <w:rsid w:val="00FC6DE8"/>
    <w:rsid w:val="00FD6208"/>
    <w:rsid w:val="00FF4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15AD43"/>
  <w15:chartTrackingRefBased/>
  <w15:docId w15:val="{F7DB03B2-E7B7-46A1-A412-2DA86116D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4F7719"/>
    <w:pPr>
      <w:keepNext/>
      <w:keepLines/>
      <w:spacing w:after="120" w:line="240" w:lineRule="auto"/>
      <w:jc w:val="both"/>
      <w:outlineLvl w:val="2"/>
    </w:pPr>
    <w:rPr>
      <w:rFonts w:eastAsiaTheme="majorEastAsia" w:cstheme="majorBidi"/>
      <w:b/>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44DE"/>
    <w:rPr>
      <w:color w:val="0563C1" w:themeColor="hyperlink"/>
      <w:u w:val="single"/>
    </w:rPr>
  </w:style>
  <w:style w:type="character" w:customStyle="1" w:styleId="UnresolvedMention1">
    <w:name w:val="Unresolved Mention1"/>
    <w:basedOn w:val="DefaultParagraphFont"/>
    <w:uiPriority w:val="99"/>
    <w:semiHidden/>
    <w:unhideWhenUsed/>
    <w:rsid w:val="001C44DE"/>
    <w:rPr>
      <w:color w:val="605E5C"/>
      <w:shd w:val="clear" w:color="auto" w:fill="E1DFDD"/>
    </w:rPr>
  </w:style>
  <w:style w:type="paragraph" w:styleId="Header">
    <w:name w:val="header"/>
    <w:basedOn w:val="Normal"/>
    <w:link w:val="HeaderChar"/>
    <w:uiPriority w:val="99"/>
    <w:unhideWhenUsed/>
    <w:rsid w:val="007274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4FE"/>
  </w:style>
  <w:style w:type="paragraph" w:styleId="Footer">
    <w:name w:val="footer"/>
    <w:basedOn w:val="Normal"/>
    <w:link w:val="FooterChar"/>
    <w:uiPriority w:val="99"/>
    <w:unhideWhenUsed/>
    <w:rsid w:val="007274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4FE"/>
  </w:style>
  <w:style w:type="table" w:styleId="TableGrid">
    <w:name w:val="Table Grid"/>
    <w:basedOn w:val="TableNormal"/>
    <w:uiPriority w:val="59"/>
    <w:rsid w:val="004F771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F7719"/>
    <w:rPr>
      <w:rFonts w:eastAsiaTheme="majorEastAsia" w:cstheme="majorBidi"/>
      <w:b/>
      <w:color w:val="1F3763" w:themeColor="accent1" w:themeShade="7F"/>
      <w:sz w:val="24"/>
      <w:szCs w:val="24"/>
    </w:rPr>
  </w:style>
  <w:style w:type="character" w:styleId="BookTitle">
    <w:name w:val="Book Title"/>
    <w:basedOn w:val="DefaultParagraphFont"/>
    <w:uiPriority w:val="33"/>
    <w:qFormat/>
    <w:rsid w:val="004F7719"/>
    <w:rPr>
      <w:b/>
      <w:bCs/>
      <w:i/>
      <w:iCs/>
      <w:spacing w:val="5"/>
    </w:rPr>
  </w:style>
  <w:style w:type="paragraph" w:styleId="BalloonText">
    <w:name w:val="Balloon Text"/>
    <w:basedOn w:val="Normal"/>
    <w:link w:val="BalloonTextChar"/>
    <w:uiPriority w:val="99"/>
    <w:semiHidden/>
    <w:unhideWhenUsed/>
    <w:rsid w:val="00D447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71B"/>
    <w:rPr>
      <w:rFonts w:ascii="Segoe UI" w:hAnsi="Segoe UI" w:cs="Segoe UI"/>
      <w:sz w:val="18"/>
      <w:szCs w:val="18"/>
    </w:rPr>
  </w:style>
  <w:style w:type="character" w:styleId="CommentReference">
    <w:name w:val="annotation reference"/>
    <w:basedOn w:val="DefaultParagraphFont"/>
    <w:uiPriority w:val="99"/>
    <w:semiHidden/>
    <w:unhideWhenUsed/>
    <w:rsid w:val="00707F9A"/>
    <w:rPr>
      <w:sz w:val="16"/>
      <w:szCs w:val="16"/>
    </w:rPr>
  </w:style>
  <w:style w:type="paragraph" w:styleId="CommentText">
    <w:name w:val="annotation text"/>
    <w:basedOn w:val="Normal"/>
    <w:link w:val="CommentTextChar"/>
    <w:uiPriority w:val="99"/>
    <w:semiHidden/>
    <w:unhideWhenUsed/>
    <w:rsid w:val="00707F9A"/>
    <w:pPr>
      <w:spacing w:line="240" w:lineRule="auto"/>
    </w:pPr>
    <w:rPr>
      <w:sz w:val="20"/>
      <w:szCs w:val="20"/>
    </w:rPr>
  </w:style>
  <w:style w:type="character" w:customStyle="1" w:styleId="CommentTextChar">
    <w:name w:val="Comment Text Char"/>
    <w:basedOn w:val="DefaultParagraphFont"/>
    <w:link w:val="CommentText"/>
    <w:uiPriority w:val="99"/>
    <w:semiHidden/>
    <w:rsid w:val="00707F9A"/>
    <w:rPr>
      <w:sz w:val="20"/>
      <w:szCs w:val="20"/>
    </w:rPr>
  </w:style>
  <w:style w:type="paragraph" w:styleId="CommentSubject">
    <w:name w:val="annotation subject"/>
    <w:basedOn w:val="CommentText"/>
    <w:next w:val="CommentText"/>
    <w:link w:val="CommentSubjectChar"/>
    <w:uiPriority w:val="99"/>
    <w:semiHidden/>
    <w:unhideWhenUsed/>
    <w:rsid w:val="00707F9A"/>
    <w:rPr>
      <w:b/>
      <w:bCs/>
    </w:rPr>
  </w:style>
  <w:style w:type="character" w:customStyle="1" w:styleId="CommentSubjectChar">
    <w:name w:val="Comment Subject Char"/>
    <w:basedOn w:val="CommentTextChar"/>
    <w:link w:val="CommentSubject"/>
    <w:uiPriority w:val="99"/>
    <w:semiHidden/>
    <w:rsid w:val="00707F9A"/>
    <w:rPr>
      <w:b/>
      <w:bCs/>
      <w:sz w:val="20"/>
      <w:szCs w:val="20"/>
    </w:rPr>
  </w:style>
  <w:style w:type="paragraph" w:styleId="Revision">
    <w:name w:val="Revision"/>
    <w:hidden/>
    <w:uiPriority w:val="99"/>
    <w:semiHidden/>
    <w:rsid w:val="003E3321"/>
    <w:pPr>
      <w:spacing w:after="0" w:line="240" w:lineRule="auto"/>
    </w:pPr>
  </w:style>
  <w:style w:type="character" w:styleId="FollowedHyperlink">
    <w:name w:val="FollowedHyperlink"/>
    <w:basedOn w:val="DefaultParagraphFont"/>
    <w:uiPriority w:val="99"/>
    <w:semiHidden/>
    <w:unhideWhenUsed/>
    <w:rsid w:val="00B76F8B"/>
    <w:rPr>
      <w:color w:val="954F72" w:themeColor="followedHyperlink"/>
      <w:u w:val="single"/>
    </w:rPr>
  </w:style>
  <w:style w:type="character" w:customStyle="1" w:styleId="UnresolvedMention2">
    <w:name w:val="Unresolved Mention2"/>
    <w:basedOn w:val="DefaultParagraphFont"/>
    <w:uiPriority w:val="99"/>
    <w:semiHidden/>
    <w:unhideWhenUsed/>
    <w:rsid w:val="00F73A9E"/>
    <w:rPr>
      <w:color w:val="605E5C"/>
      <w:shd w:val="clear" w:color="auto" w:fill="E1DFDD"/>
    </w:rPr>
  </w:style>
  <w:style w:type="paragraph" w:styleId="NormalWeb">
    <w:name w:val="Normal (Web)"/>
    <w:basedOn w:val="Normal"/>
    <w:uiPriority w:val="99"/>
    <w:unhideWhenUsed/>
    <w:rsid w:val="000C204C"/>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UnresolvedMention3">
    <w:name w:val="Unresolved Mention3"/>
    <w:basedOn w:val="DefaultParagraphFont"/>
    <w:uiPriority w:val="99"/>
    <w:semiHidden/>
    <w:unhideWhenUsed/>
    <w:rsid w:val="00B45EBC"/>
    <w:rPr>
      <w:color w:val="605E5C"/>
      <w:shd w:val="clear" w:color="auto" w:fill="E1DFDD"/>
    </w:rPr>
  </w:style>
  <w:style w:type="character" w:customStyle="1" w:styleId="xn-org">
    <w:name w:val="xn-org"/>
    <w:basedOn w:val="DefaultParagraphFont"/>
    <w:rsid w:val="00E53FBA"/>
  </w:style>
  <w:style w:type="character" w:styleId="UnresolvedMention">
    <w:name w:val="Unresolved Mention"/>
    <w:basedOn w:val="DefaultParagraphFont"/>
    <w:uiPriority w:val="99"/>
    <w:semiHidden/>
    <w:unhideWhenUsed/>
    <w:rsid w:val="00E75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336246">
      <w:bodyDiv w:val="1"/>
      <w:marLeft w:val="0"/>
      <w:marRight w:val="0"/>
      <w:marTop w:val="0"/>
      <w:marBottom w:val="0"/>
      <w:divBdr>
        <w:top w:val="none" w:sz="0" w:space="0" w:color="auto"/>
        <w:left w:val="none" w:sz="0" w:space="0" w:color="auto"/>
        <w:bottom w:val="none" w:sz="0" w:space="0" w:color="auto"/>
        <w:right w:val="none" w:sz="0" w:space="0" w:color="auto"/>
      </w:divBdr>
    </w:div>
    <w:div w:id="106806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ca/e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uostechnologies.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DUOT@gatewayIR.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tlh@duostech.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uostech.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A2AB6-E3B4-4132-9978-3AB781954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Stuckey</dc:creator>
  <cp:keywords/>
  <dc:description/>
  <cp:lastModifiedBy>Adrian Goldfarb</cp:lastModifiedBy>
  <cp:revision>4</cp:revision>
  <cp:lastPrinted>2020-09-04T15:00:00Z</cp:lastPrinted>
  <dcterms:created xsi:type="dcterms:W3CDTF">2020-09-30T15:29:00Z</dcterms:created>
  <dcterms:modified xsi:type="dcterms:W3CDTF">2020-10-05T21:37:00Z</dcterms:modified>
</cp:coreProperties>
</file>