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563F2" w14:textId="743C36CA" w:rsidR="00904F39" w:rsidRPr="003C142B" w:rsidRDefault="00904F39" w:rsidP="00A447E2">
      <w:pPr>
        <w:pBdr>
          <w:bottom w:val="single" w:sz="12" w:space="1" w:color="auto"/>
        </w:pBdr>
        <w:jc w:val="center"/>
        <w:rPr>
          <w:b/>
          <w:bCs/>
          <w:sz w:val="28"/>
          <w:szCs w:val="22"/>
        </w:rPr>
      </w:pPr>
      <w:r w:rsidRPr="003C142B">
        <w:rPr>
          <w:b/>
          <w:bCs/>
          <w:sz w:val="28"/>
          <w:szCs w:val="22"/>
        </w:rPr>
        <w:t xml:space="preserve">Gladstone Commercial Corporation </w:t>
      </w:r>
      <w:r w:rsidR="00083BBA" w:rsidRPr="003C142B">
        <w:rPr>
          <w:b/>
          <w:bCs/>
          <w:sz w:val="28"/>
          <w:szCs w:val="22"/>
        </w:rPr>
        <w:t>Announces</w:t>
      </w:r>
      <w:r w:rsidR="005F5458" w:rsidRPr="003C142B">
        <w:rPr>
          <w:b/>
          <w:bCs/>
          <w:sz w:val="28"/>
          <w:szCs w:val="22"/>
        </w:rPr>
        <w:t xml:space="preserve"> </w:t>
      </w:r>
      <w:r w:rsidRPr="003C142B">
        <w:rPr>
          <w:b/>
          <w:bCs/>
          <w:sz w:val="28"/>
          <w:szCs w:val="22"/>
        </w:rPr>
        <w:t xml:space="preserve">Monthly Cash Distributions for </w:t>
      </w:r>
      <w:r w:rsidR="00FF71BE">
        <w:rPr>
          <w:b/>
          <w:bCs/>
          <w:sz w:val="28"/>
          <w:szCs w:val="22"/>
        </w:rPr>
        <w:t>October, November and December 2020</w:t>
      </w:r>
      <w:r w:rsidR="000B6133">
        <w:rPr>
          <w:b/>
          <w:bCs/>
          <w:sz w:val="28"/>
          <w:szCs w:val="22"/>
        </w:rPr>
        <w:t xml:space="preserve"> </w:t>
      </w:r>
      <w:r w:rsidR="000B6133" w:rsidRPr="003C142B">
        <w:rPr>
          <w:b/>
          <w:bCs/>
          <w:sz w:val="28"/>
          <w:szCs w:val="22"/>
        </w:rPr>
        <w:t xml:space="preserve">and </w:t>
      </w:r>
      <w:r w:rsidR="00FF71BE">
        <w:rPr>
          <w:b/>
          <w:bCs/>
          <w:sz w:val="28"/>
          <w:szCs w:val="22"/>
        </w:rPr>
        <w:t>Third Quarter Ended September 30, 2020</w:t>
      </w:r>
      <w:r w:rsidR="000B6133" w:rsidRPr="003C142B">
        <w:rPr>
          <w:b/>
          <w:sz w:val="28"/>
        </w:rPr>
        <w:t xml:space="preserve"> Earnings Release and Conference Call Dates</w:t>
      </w:r>
    </w:p>
    <w:p w14:paraId="6107FB33" w14:textId="6355703E" w:rsidR="00CB140C" w:rsidRPr="00F87189" w:rsidRDefault="00904F39" w:rsidP="00CB140C">
      <w:pPr>
        <w:pStyle w:val="NormalWeb"/>
        <w:rPr>
          <w:rFonts w:ascii="Times New Roman" w:hAnsi="Times New Roman" w:cs="Times New Roman"/>
        </w:rPr>
      </w:pPr>
      <w:r w:rsidRPr="00F87189">
        <w:rPr>
          <w:rFonts w:ascii="Times New Roman" w:hAnsi="Times New Roman" w:cs="Times New Roman"/>
        </w:rPr>
        <w:t>MCLEAN, VA,</w:t>
      </w:r>
      <w:r w:rsidR="00D6567D">
        <w:rPr>
          <w:rFonts w:ascii="Times New Roman" w:hAnsi="Times New Roman" w:cs="Times New Roman"/>
        </w:rPr>
        <w:t xml:space="preserve"> </w:t>
      </w:r>
      <w:r w:rsidR="00FF71BE">
        <w:rPr>
          <w:rFonts w:ascii="Times New Roman" w:hAnsi="Times New Roman" w:cs="Times New Roman"/>
        </w:rPr>
        <w:t>October 13, 2020</w:t>
      </w:r>
      <w:r w:rsidRPr="00F87189">
        <w:rPr>
          <w:rFonts w:ascii="Times New Roman" w:hAnsi="Times New Roman" w:cs="Times New Roman"/>
        </w:rPr>
        <w:t xml:space="preserve">:  </w:t>
      </w:r>
      <w:hyperlink r:id="rId6" w:history="1">
        <w:r w:rsidRPr="00F87189">
          <w:rPr>
            <w:rStyle w:val="Hyperlink"/>
            <w:rFonts w:ascii="Times New Roman" w:hAnsi="Times New Roman" w:cs="Times New Roman"/>
          </w:rPr>
          <w:t>Gladstone Commercial Corporation</w:t>
        </w:r>
      </w:hyperlink>
      <w:r w:rsidRPr="00F87189">
        <w:rPr>
          <w:rFonts w:ascii="Times New Roman" w:hAnsi="Times New Roman" w:cs="Times New Roman"/>
        </w:rPr>
        <w:t xml:space="preserve"> (N</w:t>
      </w:r>
      <w:r w:rsidR="00D50BB7">
        <w:rPr>
          <w:rFonts w:ascii="Times New Roman" w:hAnsi="Times New Roman" w:cs="Times New Roman"/>
        </w:rPr>
        <w:t>asdaq</w:t>
      </w:r>
      <w:r w:rsidRPr="00F87189">
        <w:rPr>
          <w:rFonts w:ascii="Times New Roman" w:hAnsi="Times New Roman" w:cs="Times New Roman"/>
        </w:rPr>
        <w:t>: GOOD) (the “Company”) announced today</w:t>
      </w:r>
      <w:r w:rsidR="00A431CD">
        <w:rPr>
          <w:rFonts w:ascii="Times New Roman" w:hAnsi="Times New Roman" w:cs="Times New Roman"/>
        </w:rPr>
        <w:t xml:space="preserve"> </w:t>
      </w:r>
      <w:r w:rsidRPr="00F87189">
        <w:rPr>
          <w:rFonts w:ascii="Times New Roman" w:hAnsi="Times New Roman" w:cs="Times New Roman"/>
        </w:rPr>
        <w:t xml:space="preserve">that its board of directors declared cash distributions </w:t>
      </w:r>
      <w:r w:rsidR="00757DDA">
        <w:rPr>
          <w:rFonts w:ascii="Times New Roman" w:hAnsi="Times New Roman" w:cs="Times New Roman"/>
        </w:rPr>
        <w:t xml:space="preserve">for the months of </w:t>
      </w:r>
      <w:r w:rsidR="00FF71BE">
        <w:rPr>
          <w:rFonts w:ascii="Times New Roman" w:hAnsi="Times New Roman" w:cs="Times New Roman"/>
        </w:rPr>
        <w:t>October, November and December 2020</w:t>
      </w:r>
      <w:r w:rsidR="00CB140C">
        <w:rPr>
          <w:rFonts w:ascii="Times New Roman" w:hAnsi="Times New Roman" w:cs="Times New Roman"/>
        </w:rPr>
        <w:t xml:space="preserve"> </w:t>
      </w:r>
      <w:r w:rsidR="00CB140C" w:rsidRPr="00F87189">
        <w:rPr>
          <w:rFonts w:ascii="Times New Roman" w:hAnsi="Times New Roman" w:cs="Times New Roman"/>
        </w:rPr>
        <w:t xml:space="preserve">and </w:t>
      </w:r>
      <w:r w:rsidR="00CB140C">
        <w:rPr>
          <w:rFonts w:ascii="Times New Roman" w:hAnsi="Times New Roman" w:cs="Times New Roman"/>
        </w:rPr>
        <w:t xml:space="preserve">also announced </w:t>
      </w:r>
      <w:r w:rsidR="00CB140C" w:rsidRPr="00F87189">
        <w:rPr>
          <w:rFonts w:ascii="Times New Roman" w:hAnsi="Times New Roman" w:cs="Times New Roman"/>
        </w:rPr>
        <w:t xml:space="preserve">its plan to report earnings for the </w:t>
      </w:r>
      <w:r w:rsidR="00FF71BE">
        <w:rPr>
          <w:rFonts w:ascii="Times New Roman" w:hAnsi="Times New Roman" w:cs="Times New Roman"/>
        </w:rPr>
        <w:t>Third Quarter Ended September 30, 2020</w:t>
      </w:r>
      <w:r w:rsidR="00CB140C">
        <w:rPr>
          <w:rFonts w:ascii="Times New Roman" w:hAnsi="Times New Roman" w:cs="Times New Roman"/>
        </w:rPr>
        <w:t>.</w:t>
      </w:r>
    </w:p>
    <w:p w14:paraId="0A3CCDE4" w14:textId="77777777" w:rsidR="00904F39" w:rsidRPr="00F87189" w:rsidRDefault="00904F39" w:rsidP="00904F39">
      <w:pPr>
        <w:rPr>
          <w:b/>
          <w:u w:val="single"/>
        </w:rPr>
      </w:pPr>
      <w:r w:rsidRPr="00F87189">
        <w:rPr>
          <w:b/>
          <w:u w:val="single"/>
        </w:rPr>
        <w:t>Cash Distributions:</w:t>
      </w:r>
    </w:p>
    <w:p w14:paraId="59B35428" w14:textId="77777777" w:rsidR="00D50BB7" w:rsidRPr="00F87189" w:rsidRDefault="00D50BB7" w:rsidP="00D50BB7">
      <w:pPr>
        <w:rPr>
          <w:b/>
          <w:i/>
          <w:color w:val="0033CC"/>
          <w:u w:val="single"/>
        </w:rPr>
      </w:pPr>
    </w:p>
    <w:p w14:paraId="4FB06270" w14:textId="18B6BE8D" w:rsidR="00D50BB7" w:rsidRPr="00F87189" w:rsidRDefault="00D50BB7" w:rsidP="00D50BB7">
      <w:r w:rsidRPr="004826A8">
        <w:rPr>
          <w:b/>
          <w:i/>
          <w:color w:val="0033CC"/>
          <w:u w:val="single"/>
        </w:rPr>
        <w:t>Common Stock:</w:t>
      </w:r>
      <w:r w:rsidRPr="00F87189">
        <w:rPr>
          <w:b/>
          <w:i/>
          <w:color w:val="0033CC"/>
        </w:rPr>
        <w:t xml:space="preserve"> </w:t>
      </w:r>
      <w:r w:rsidRPr="00F87189">
        <w:t>$0</w:t>
      </w:r>
      <w:r w:rsidRPr="00F87189">
        <w:rPr>
          <w:bCs/>
        </w:rPr>
        <w:t>.125</w:t>
      </w:r>
      <w:r>
        <w:rPr>
          <w:bCs/>
        </w:rPr>
        <w:t>15 cash distribution</w:t>
      </w:r>
      <w:r w:rsidRPr="00F87189">
        <w:rPr>
          <w:bCs/>
          <w:i/>
        </w:rPr>
        <w:t xml:space="preserve"> </w:t>
      </w:r>
      <w:r w:rsidRPr="00F87189">
        <w:t xml:space="preserve">per common share for each of </w:t>
      </w:r>
      <w:r w:rsidR="00FF71BE">
        <w:t>October, November and December 2020</w:t>
      </w:r>
      <w:r w:rsidRPr="00F87189">
        <w:t>, payable per Table 1</w:t>
      </w:r>
      <w:r>
        <w:t xml:space="preserve"> below.  The Company has paid 18</w:t>
      </w:r>
      <w:r w:rsidR="00AF17B6">
        <w:t>9</w:t>
      </w:r>
      <w:r w:rsidRPr="00F87189">
        <w:t xml:space="preserve"> consecutive monthly cash distributions on its common stock. </w:t>
      </w:r>
      <w:r w:rsidR="00950F8B">
        <w:t xml:space="preserve"> </w:t>
      </w:r>
      <w:r w:rsidRPr="00F87189">
        <w:t xml:space="preserve">Prior to paying distributions on a monthly basis, the Company paid </w:t>
      </w:r>
      <w:r>
        <w:t>five</w:t>
      </w:r>
      <w:r w:rsidRPr="00F87189">
        <w:t xml:space="preserve"> consecutive quarterly cash distributions.  The Company has never </w:t>
      </w:r>
      <w:r w:rsidRPr="00F87189">
        <w:rPr>
          <w:bCs/>
        </w:rPr>
        <w:t>skipped, reduced or deferred a monthly</w:t>
      </w:r>
      <w:r>
        <w:rPr>
          <w:bCs/>
        </w:rPr>
        <w:t xml:space="preserve"> or quarterly common stock</w:t>
      </w:r>
      <w:r w:rsidRPr="00F87189">
        <w:rPr>
          <w:bCs/>
        </w:rPr>
        <w:t xml:space="preserve"> distribution since </w:t>
      </w:r>
      <w:r>
        <w:rPr>
          <w:bCs/>
        </w:rPr>
        <w:t xml:space="preserve">its </w:t>
      </w:r>
      <w:r w:rsidRPr="00F87189">
        <w:rPr>
          <w:bCs/>
        </w:rPr>
        <w:t>inception</w:t>
      </w:r>
      <w:r>
        <w:rPr>
          <w:bCs/>
        </w:rPr>
        <w:t xml:space="preserve"> in 2003</w:t>
      </w:r>
      <w:r w:rsidRPr="00F87189">
        <w:rPr>
          <w:bCs/>
        </w:rPr>
        <w:t>.</w:t>
      </w:r>
    </w:p>
    <w:p w14:paraId="3CBD4FB5" w14:textId="77777777" w:rsidR="00D50BB7" w:rsidRPr="00F87189" w:rsidRDefault="00D50BB7" w:rsidP="00D50BB7">
      <w:pPr>
        <w:jc w:val="center"/>
      </w:pPr>
    </w:p>
    <w:p w14:paraId="45A7B79B" w14:textId="77777777" w:rsidR="00D50BB7" w:rsidRDefault="00D50BB7" w:rsidP="00D50BB7">
      <w:pPr>
        <w:jc w:val="center"/>
      </w:pPr>
      <w:r w:rsidRPr="00F87189">
        <w:t>Table 1: Summary of common stock cash distributions:</w:t>
      </w:r>
    </w:p>
    <w:tbl>
      <w:tblPr>
        <w:tblStyle w:val="PlainTable4"/>
        <w:tblW w:w="7560" w:type="dxa"/>
        <w:tblInd w:w="360" w:type="dxa"/>
        <w:tblLook w:val="04A0" w:firstRow="1" w:lastRow="0" w:firstColumn="1" w:lastColumn="0" w:noHBand="0" w:noVBand="1"/>
      </w:tblPr>
      <w:tblGrid>
        <w:gridCol w:w="2520"/>
        <w:gridCol w:w="2520"/>
        <w:gridCol w:w="2520"/>
      </w:tblGrid>
      <w:tr w:rsidR="00D50BB7" w:rsidRPr="003F41D6" w14:paraId="62050A08" w14:textId="77777777" w:rsidTr="001806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4E3BA1E1" w14:textId="77777777" w:rsidR="00D50BB7" w:rsidRPr="003F41D6" w:rsidRDefault="00D50BB7" w:rsidP="0018061C">
            <w:pPr>
              <w:jc w:val="center"/>
              <w:rPr>
                <w:b w:val="0"/>
                <w:bCs w:val="0"/>
                <w:snapToGrid w:val="0"/>
              </w:rPr>
            </w:pPr>
            <w:r w:rsidRPr="003F41D6">
              <w:rPr>
                <w:snapToGrid w:val="0"/>
                <w:sz w:val="22"/>
                <w:szCs w:val="22"/>
              </w:rPr>
              <w:t>Record Date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60BE1625" w14:textId="77777777" w:rsidR="00D50BB7" w:rsidRPr="003F41D6" w:rsidRDefault="00D50BB7" w:rsidP="001806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napToGrid w:val="0"/>
              </w:rPr>
            </w:pPr>
            <w:r w:rsidRPr="003F41D6">
              <w:rPr>
                <w:snapToGrid w:val="0"/>
                <w:sz w:val="22"/>
                <w:szCs w:val="22"/>
              </w:rPr>
              <w:t>Payment Date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7764685F" w14:textId="77777777" w:rsidR="00D50BB7" w:rsidRPr="003F41D6" w:rsidRDefault="00D50BB7" w:rsidP="001806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napToGrid w:val="0"/>
              </w:rPr>
            </w:pPr>
            <w:r w:rsidRPr="003F41D6">
              <w:rPr>
                <w:snapToGrid w:val="0"/>
                <w:sz w:val="22"/>
                <w:szCs w:val="22"/>
              </w:rPr>
              <w:t>Cash Distribution</w:t>
            </w:r>
          </w:p>
        </w:tc>
      </w:tr>
      <w:tr w:rsidR="00FF71BE" w:rsidRPr="0004375B" w14:paraId="22ECE473" w14:textId="77777777" w:rsidTr="00BC3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5EC91E" w14:textId="74D20B4B" w:rsidR="00FF71BE" w:rsidRPr="00470438" w:rsidRDefault="00FF71BE" w:rsidP="00FF71BE">
            <w:pPr>
              <w:spacing w:line="276" w:lineRule="auto"/>
              <w:jc w:val="center"/>
              <w:rPr>
                <w:b w:val="0"/>
                <w:bCs w:val="0"/>
                <w:snapToGrid w:val="0"/>
              </w:rPr>
            </w:pPr>
            <w:r w:rsidRPr="00470438">
              <w:rPr>
                <w:b w:val="0"/>
                <w:bCs w:val="0"/>
                <w:color w:val="000000"/>
              </w:rPr>
              <w:t>October 23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56798A" w14:textId="0C3A7725" w:rsidR="00FF71BE" w:rsidRPr="00D50BB7" w:rsidRDefault="00FF71BE" w:rsidP="00FF71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 w:val="0"/>
              </w:rPr>
            </w:pPr>
            <w:r>
              <w:rPr>
                <w:color w:val="000000"/>
              </w:rPr>
              <w:t>October</w:t>
            </w:r>
            <w:r w:rsidRPr="005D5ED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30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14:paraId="69815D80" w14:textId="77777777" w:rsidR="00FF71BE" w:rsidRPr="0004375B" w:rsidRDefault="00FF71BE" w:rsidP="00FF71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 w:val="0"/>
              </w:rPr>
            </w:pPr>
            <w:r w:rsidRPr="0004375B">
              <w:rPr>
                <w:bCs/>
                <w:snapToGrid w:val="0"/>
                <w:sz w:val="22"/>
                <w:szCs w:val="22"/>
              </w:rPr>
              <w:t>$0.</w:t>
            </w:r>
            <w:r>
              <w:rPr>
                <w:bCs/>
                <w:snapToGrid w:val="0"/>
                <w:sz w:val="22"/>
                <w:szCs w:val="22"/>
              </w:rPr>
              <w:t>12515</w:t>
            </w:r>
          </w:p>
        </w:tc>
      </w:tr>
      <w:tr w:rsidR="00FF71BE" w:rsidRPr="0004375B" w14:paraId="047BBED3" w14:textId="77777777" w:rsidTr="00BC34FE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auto"/>
            <w:vAlign w:val="center"/>
          </w:tcPr>
          <w:p w14:paraId="7504C74C" w14:textId="3490097B" w:rsidR="00FF71BE" w:rsidRPr="00470438" w:rsidRDefault="00FF71BE" w:rsidP="00FF71BE">
            <w:pPr>
              <w:spacing w:line="276" w:lineRule="auto"/>
              <w:jc w:val="center"/>
              <w:rPr>
                <w:b w:val="0"/>
                <w:bCs w:val="0"/>
                <w:snapToGrid w:val="0"/>
              </w:rPr>
            </w:pPr>
            <w:r w:rsidRPr="00470438">
              <w:rPr>
                <w:b w:val="0"/>
                <w:bCs w:val="0"/>
                <w:color w:val="000000"/>
              </w:rPr>
              <w:t>November 20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35E9F4D" w14:textId="6C63056D" w:rsidR="00FF71BE" w:rsidRPr="00D50BB7" w:rsidRDefault="00FF71BE" w:rsidP="00FF71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 w:val="0"/>
              </w:rPr>
            </w:pPr>
            <w:r>
              <w:rPr>
                <w:color w:val="000000"/>
              </w:rPr>
              <w:t>November 30</w:t>
            </w:r>
          </w:p>
        </w:tc>
        <w:tc>
          <w:tcPr>
            <w:tcW w:w="2520" w:type="dxa"/>
            <w:shd w:val="clear" w:color="auto" w:fill="auto"/>
          </w:tcPr>
          <w:p w14:paraId="70122E01" w14:textId="77777777" w:rsidR="00FF71BE" w:rsidRPr="0004375B" w:rsidRDefault="00FF71BE" w:rsidP="00FF71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 w:val="0"/>
              </w:rPr>
            </w:pPr>
            <w:r>
              <w:rPr>
                <w:bCs/>
                <w:snapToGrid w:val="0"/>
                <w:sz w:val="22"/>
                <w:szCs w:val="22"/>
              </w:rPr>
              <w:t>$0.12515</w:t>
            </w:r>
          </w:p>
        </w:tc>
      </w:tr>
      <w:tr w:rsidR="00FF71BE" w:rsidRPr="0004375B" w14:paraId="50FC5AFE" w14:textId="77777777" w:rsidTr="00BC3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auto"/>
            <w:vAlign w:val="center"/>
          </w:tcPr>
          <w:p w14:paraId="1A544BD8" w14:textId="3F17F5D6" w:rsidR="00FF71BE" w:rsidRPr="00470438" w:rsidRDefault="00FF71BE" w:rsidP="00FF71BE">
            <w:pPr>
              <w:spacing w:line="276" w:lineRule="auto"/>
              <w:jc w:val="center"/>
              <w:rPr>
                <w:b w:val="0"/>
                <w:bCs w:val="0"/>
                <w:snapToGrid w:val="0"/>
              </w:rPr>
            </w:pPr>
            <w:r w:rsidRPr="00470438">
              <w:rPr>
                <w:b w:val="0"/>
                <w:bCs w:val="0"/>
                <w:color w:val="000000"/>
              </w:rPr>
              <w:t>December 23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EEE50DF" w14:textId="2BCFED3D" w:rsidR="00FF71BE" w:rsidRPr="00D50BB7" w:rsidRDefault="00FF71BE" w:rsidP="00FF71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 w:val="0"/>
              </w:rPr>
            </w:pPr>
            <w:r>
              <w:rPr>
                <w:color w:val="000000"/>
              </w:rPr>
              <w:t>December</w:t>
            </w:r>
            <w:r w:rsidRPr="005D5ED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31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07A145B8" w14:textId="77777777" w:rsidR="00FF71BE" w:rsidRPr="0004375B" w:rsidRDefault="00FF71BE" w:rsidP="00FF71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 w:val="0"/>
              </w:rPr>
            </w:pPr>
            <w:r>
              <w:rPr>
                <w:bCs/>
                <w:snapToGrid w:val="0"/>
                <w:sz w:val="22"/>
                <w:szCs w:val="22"/>
              </w:rPr>
              <w:t>$0.12515</w:t>
            </w:r>
          </w:p>
        </w:tc>
      </w:tr>
      <w:tr w:rsidR="00D50BB7" w:rsidRPr="009E6E13" w14:paraId="4D888F77" w14:textId="77777777" w:rsidTr="0018061C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7C3B901F" w14:textId="77777777" w:rsidR="00D50BB7" w:rsidRPr="0004375B" w:rsidRDefault="00D50BB7" w:rsidP="0018061C">
            <w:pPr>
              <w:spacing w:line="276" w:lineRule="auto"/>
              <w:jc w:val="center"/>
              <w:rPr>
                <w:bCs w:val="0"/>
                <w:snapToGrid w:val="0"/>
              </w:rPr>
            </w:pPr>
          </w:p>
        </w:tc>
        <w:tc>
          <w:tcPr>
            <w:tcW w:w="2520" w:type="dxa"/>
          </w:tcPr>
          <w:p w14:paraId="1414EAE7" w14:textId="77777777" w:rsidR="00D50BB7" w:rsidRPr="0004375B" w:rsidRDefault="00D50BB7" w:rsidP="0018061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 w:val="0"/>
              </w:rPr>
            </w:pPr>
            <w:r w:rsidRPr="0004375B">
              <w:rPr>
                <w:b/>
                <w:bCs/>
                <w:snapToGrid w:val="0"/>
                <w:sz w:val="22"/>
                <w:szCs w:val="22"/>
              </w:rPr>
              <w:t>Total for the Quarter</w:t>
            </w:r>
            <w:r w:rsidRPr="0004375B">
              <w:rPr>
                <w:bCs/>
                <w:snapToGrid w:val="0"/>
                <w:sz w:val="22"/>
                <w:szCs w:val="22"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bottom w:val="double" w:sz="4" w:space="0" w:color="auto"/>
            </w:tcBorders>
          </w:tcPr>
          <w:p w14:paraId="01845A4B" w14:textId="77777777" w:rsidR="00D50BB7" w:rsidRPr="009E6E13" w:rsidRDefault="00D50BB7" w:rsidP="0018061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$0.37545</w:t>
            </w:r>
          </w:p>
        </w:tc>
      </w:tr>
    </w:tbl>
    <w:p w14:paraId="0AF4A61F" w14:textId="77777777" w:rsidR="00D50BB7" w:rsidRPr="00F87189" w:rsidRDefault="00D50BB7" w:rsidP="00D50BB7">
      <w:pPr>
        <w:jc w:val="center"/>
      </w:pPr>
    </w:p>
    <w:p w14:paraId="6695A2B0" w14:textId="12EF5112" w:rsidR="00D50BB7" w:rsidRPr="00F87189" w:rsidRDefault="00D50BB7" w:rsidP="00D50BB7">
      <w:pPr>
        <w:pStyle w:val="NormalWeb"/>
        <w:ind w:right="216"/>
        <w:rPr>
          <w:rFonts w:ascii="Times New Roman" w:hAnsi="Times New Roman" w:cs="Times New Roman"/>
        </w:rPr>
      </w:pPr>
      <w:bookmarkStart w:id="0" w:name="_Hlk29903965"/>
      <w:r w:rsidRPr="00F87189">
        <w:rPr>
          <w:rFonts w:ascii="Times New Roman" w:hAnsi="Times New Roman" w:cs="Times New Roman"/>
          <w:b/>
          <w:i/>
          <w:color w:val="0033CC"/>
          <w:u w:val="single"/>
        </w:rPr>
        <w:t>Senior Common Stock:</w:t>
      </w:r>
      <w:r w:rsidRPr="00F87189">
        <w:rPr>
          <w:rFonts w:ascii="Times New Roman" w:hAnsi="Times New Roman" w:cs="Times New Roman"/>
          <w:b/>
          <w:i/>
          <w:color w:val="0033CC"/>
        </w:rPr>
        <w:t xml:space="preserve"> </w:t>
      </w:r>
      <w:r w:rsidRPr="00F87189">
        <w:rPr>
          <w:rFonts w:ascii="Times New Roman" w:hAnsi="Times New Roman" w:cs="Times New Roman"/>
        </w:rPr>
        <w:t xml:space="preserve">$0.0875 </w:t>
      </w:r>
      <w:r>
        <w:rPr>
          <w:rFonts w:ascii="Times New Roman" w:hAnsi="Times New Roman" w:cs="Times New Roman"/>
        </w:rPr>
        <w:t xml:space="preserve">cash distribution </w:t>
      </w:r>
      <w:r w:rsidRPr="00F87189">
        <w:rPr>
          <w:rFonts w:ascii="Times New Roman" w:hAnsi="Times New Roman" w:cs="Times New Roman"/>
        </w:rPr>
        <w:t xml:space="preserve">per share of the Company’s senior common stock (“Senior Common”) for each of </w:t>
      </w:r>
      <w:r w:rsidR="00FF71BE">
        <w:rPr>
          <w:rFonts w:ascii="Times New Roman" w:hAnsi="Times New Roman" w:cs="Times New Roman"/>
        </w:rPr>
        <w:t>October, November and December 2020</w:t>
      </w:r>
      <w:r w:rsidRPr="00F87189">
        <w:rPr>
          <w:rFonts w:ascii="Times New Roman" w:hAnsi="Times New Roman" w:cs="Times New Roman"/>
        </w:rPr>
        <w:t>,</w:t>
      </w:r>
      <w:r w:rsidRPr="00F87189">
        <w:t xml:space="preserve"> </w:t>
      </w:r>
      <w:r w:rsidRPr="00F87189">
        <w:rPr>
          <w:rFonts w:ascii="Times New Roman" w:hAnsi="Times New Roman" w:cs="Times New Roman"/>
        </w:rPr>
        <w:t>payable per Table</w:t>
      </w:r>
      <w:r>
        <w:rPr>
          <w:rFonts w:ascii="Times New Roman" w:hAnsi="Times New Roman" w:cs="Times New Roman"/>
        </w:rPr>
        <w:t xml:space="preserve"> 2 below. The Company has paid </w:t>
      </w:r>
      <w:r w:rsidR="00014AEE">
        <w:rPr>
          <w:rFonts w:ascii="Times New Roman" w:hAnsi="Times New Roman" w:cs="Times New Roman"/>
        </w:rPr>
        <w:t>12</w:t>
      </w:r>
      <w:r w:rsidR="00AF17B6">
        <w:rPr>
          <w:rFonts w:ascii="Times New Roman" w:hAnsi="Times New Roman" w:cs="Times New Roman"/>
        </w:rPr>
        <w:t>6</w:t>
      </w:r>
      <w:r w:rsidRPr="00F87189">
        <w:rPr>
          <w:rFonts w:ascii="Times New Roman" w:hAnsi="Times New Roman" w:cs="Times New Roman"/>
        </w:rPr>
        <w:t xml:space="preserve"> consecutive monthly cash distributions on its Senior Common. The Company has never </w:t>
      </w:r>
      <w:r w:rsidRPr="00F87189">
        <w:rPr>
          <w:rFonts w:ascii="Times New Roman" w:hAnsi="Times New Roman" w:cs="Times New Roman"/>
          <w:bCs/>
        </w:rPr>
        <w:t>skipped, reduced or deferred a monthly</w:t>
      </w:r>
      <w:r>
        <w:rPr>
          <w:rFonts w:ascii="Times New Roman" w:hAnsi="Times New Roman" w:cs="Times New Roman"/>
          <w:bCs/>
        </w:rPr>
        <w:t xml:space="preserve"> Senior Common</w:t>
      </w:r>
      <w:r w:rsidRPr="00F87189">
        <w:rPr>
          <w:rFonts w:ascii="Times New Roman" w:hAnsi="Times New Roman" w:cs="Times New Roman"/>
          <w:bCs/>
        </w:rPr>
        <w:t xml:space="preserve"> distribution.</w:t>
      </w:r>
    </w:p>
    <w:p w14:paraId="158F3952" w14:textId="77777777" w:rsidR="00D50BB7" w:rsidRPr="00F87189" w:rsidRDefault="00D50BB7" w:rsidP="00D50BB7">
      <w:pPr>
        <w:jc w:val="center"/>
      </w:pPr>
      <w:r w:rsidRPr="00F87189">
        <w:t>Table 2: Summary of Senior Common cash distributions: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32"/>
        <w:gridCol w:w="1746"/>
        <w:gridCol w:w="1353"/>
      </w:tblGrid>
      <w:tr w:rsidR="00D50BB7" w:rsidRPr="00F87189" w14:paraId="483E0108" w14:textId="77777777" w:rsidTr="0018061C">
        <w:trPr>
          <w:trHeight w:val="503"/>
          <w:jc w:val="center"/>
        </w:trPr>
        <w:tc>
          <w:tcPr>
            <w:tcW w:w="3532" w:type="dxa"/>
            <w:tcBorders>
              <w:bottom w:val="single" w:sz="4" w:space="0" w:color="auto"/>
            </w:tcBorders>
            <w:shd w:val="clear" w:color="auto" w:fill="FFFFFF"/>
          </w:tcPr>
          <w:p w14:paraId="3296AA2C" w14:textId="77777777" w:rsidR="00D50BB7" w:rsidRPr="00F87189" w:rsidRDefault="00D50BB7" w:rsidP="0018061C">
            <w:pPr>
              <w:jc w:val="center"/>
              <w:rPr>
                <w:b/>
                <w:bCs/>
                <w:snapToGrid w:val="0"/>
              </w:rPr>
            </w:pPr>
            <w:r w:rsidRPr="00F87189">
              <w:rPr>
                <w:b/>
                <w:bCs/>
                <w:snapToGrid w:val="0"/>
              </w:rPr>
              <w:t>Payable to Holders of Record During the Month of: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FFFFFF"/>
          </w:tcPr>
          <w:p w14:paraId="590B3A57" w14:textId="77777777" w:rsidR="00D50BB7" w:rsidRPr="00F87189" w:rsidRDefault="00D50BB7" w:rsidP="0018061C">
            <w:pPr>
              <w:jc w:val="center"/>
              <w:rPr>
                <w:b/>
                <w:bCs/>
                <w:snapToGrid w:val="0"/>
              </w:rPr>
            </w:pPr>
            <w:r w:rsidRPr="00F87189">
              <w:rPr>
                <w:b/>
                <w:bCs/>
                <w:snapToGrid w:val="0"/>
              </w:rPr>
              <w:t>Payment Date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FFFFFF"/>
          </w:tcPr>
          <w:p w14:paraId="1ECA0C13" w14:textId="77777777" w:rsidR="00D50BB7" w:rsidRPr="00F87189" w:rsidRDefault="00D50BB7" w:rsidP="0018061C">
            <w:pPr>
              <w:jc w:val="center"/>
              <w:rPr>
                <w:b/>
                <w:bCs/>
                <w:snapToGrid w:val="0"/>
              </w:rPr>
            </w:pPr>
            <w:r w:rsidRPr="00F87189">
              <w:rPr>
                <w:b/>
                <w:bCs/>
                <w:snapToGrid w:val="0"/>
              </w:rPr>
              <w:t>Amount</w:t>
            </w:r>
          </w:p>
        </w:tc>
      </w:tr>
      <w:tr w:rsidR="00FF71BE" w:rsidRPr="00F87189" w14:paraId="5CB2D54A" w14:textId="77777777" w:rsidTr="00697A6E">
        <w:trPr>
          <w:trHeight w:val="248"/>
          <w:jc w:val="center"/>
        </w:trPr>
        <w:tc>
          <w:tcPr>
            <w:tcW w:w="3532" w:type="dxa"/>
            <w:tcBorders>
              <w:top w:val="single" w:sz="4" w:space="0" w:color="auto"/>
            </w:tcBorders>
            <w:vAlign w:val="center"/>
          </w:tcPr>
          <w:p w14:paraId="0DBA585E" w14:textId="1C2C3CE4" w:rsidR="00FF71BE" w:rsidRPr="00FF71BE" w:rsidRDefault="00FF71BE" w:rsidP="00FF71BE">
            <w:pPr>
              <w:jc w:val="center"/>
              <w:rPr>
                <w:snapToGrid w:val="0"/>
              </w:rPr>
            </w:pPr>
            <w:r w:rsidRPr="00FF71BE">
              <w:rPr>
                <w:color w:val="000000"/>
              </w:rPr>
              <w:t>October</w:t>
            </w:r>
          </w:p>
        </w:tc>
        <w:tc>
          <w:tcPr>
            <w:tcW w:w="1746" w:type="dxa"/>
            <w:tcBorders>
              <w:top w:val="single" w:sz="4" w:space="0" w:color="auto"/>
            </w:tcBorders>
            <w:vAlign w:val="center"/>
          </w:tcPr>
          <w:p w14:paraId="40DCB410" w14:textId="21752073" w:rsidR="00FF71BE" w:rsidRPr="00FF71BE" w:rsidRDefault="00FF71BE" w:rsidP="00FF71BE">
            <w:pPr>
              <w:jc w:val="center"/>
              <w:rPr>
                <w:snapToGrid w:val="0"/>
              </w:rPr>
            </w:pPr>
            <w:r w:rsidRPr="00FF71BE">
              <w:rPr>
                <w:color w:val="000000"/>
              </w:rPr>
              <w:t>November 5</w:t>
            </w:r>
          </w:p>
        </w:tc>
        <w:tc>
          <w:tcPr>
            <w:tcW w:w="1353" w:type="dxa"/>
            <w:tcBorders>
              <w:top w:val="single" w:sz="4" w:space="0" w:color="auto"/>
            </w:tcBorders>
          </w:tcPr>
          <w:p w14:paraId="6DF4A034" w14:textId="77777777" w:rsidR="00FF71BE" w:rsidRPr="00F87189" w:rsidRDefault="00FF71BE" w:rsidP="00FF71BE">
            <w:pPr>
              <w:jc w:val="center"/>
              <w:rPr>
                <w:bCs/>
                <w:snapToGrid w:val="0"/>
                <w:color w:val="FF0000"/>
              </w:rPr>
            </w:pPr>
            <w:r w:rsidRPr="00F87189">
              <w:rPr>
                <w:bCs/>
                <w:snapToGrid w:val="0"/>
              </w:rPr>
              <w:t>$0.0875</w:t>
            </w:r>
          </w:p>
        </w:tc>
      </w:tr>
      <w:tr w:rsidR="00FF71BE" w:rsidRPr="00F87189" w14:paraId="712814E9" w14:textId="77777777" w:rsidTr="00697A6E">
        <w:trPr>
          <w:trHeight w:val="248"/>
          <w:jc w:val="center"/>
        </w:trPr>
        <w:tc>
          <w:tcPr>
            <w:tcW w:w="3532" w:type="dxa"/>
            <w:shd w:val="clear" w:color="auto" w:fill="FFFFFF"/>
            <w:vAlign w:val="center"/>
          </w:tcPr>
          <w:p w14:paraId="53AD4F06" w14:textId="42B1057C" w:rsidR="00FF71BE" w:rsidRPr="00FF71BE" w:rsidRDefault="00FF71BE" w:rsidP="00FF71BE">
            <w:pPr>
              <w:jc w:val="center"/>
              <w:rPr>
                <w:snapToGrid w:val="0"/>
              </w:rPr>
            </w:pPr>
            <w:r w:rsidRPr="00FF71BE">
              <w:rPr>
                <w:color w:val="000000"/>
              </w:rPr>
              <w:t>November</w:t>
            </w:r>
          </w:p>
        </w:tc>
        <w:tc>
          <w:tcPr>
            <w:tcW w:w="1746" w:type="dxa"/>
            <w:shd w:val="clear" w:color="auto" w:fill="FFFFFF"/>
            <w:vAlign w:val="center"/>
          </w:tcPr>
          <w:p w14:paraId="3ABD7C89" w14:textId="3B9B0489" w:rsidR="00FF71BE" w:rsidRPr="00FF71BE" w:rsidRDefault="00FF71BE" w:rsidP="00FF71BE">
            <w:pPr>
              <w:jc w:val="center"/>
              <w:rPr>
                <w:snapToGrid w:val="0"/>
              </w:rPr>
            </w:pPr>
            <w:r w:rsidRPr="00FF71BE">
              <w:rPr>
                <w:color w:val="000000"/>
              </w:rPr>
              <w:t>December 4</w:t>
            </w:r>
          </w:p>
        </w:tc>
        <w:tc>
          <w:tcPr>
            <w:tcW w:w="1353" w:type="dxa"/>
            <w:shd w:val="clear" w:color="auto" w:fill="FFFFFF"/>
          </w:tcPr>
          <w:p w14:paraId="125F6811" w14:textId="77777777" w:rsidR="00FF71BE" w:rsidRPr="00F87189" w:rsidRDefault="00FF71BE" w:rsidP="00FF71BE">
            <w:pPr>
              <w:jc w:val="center"/>
              <w:rPr>
                <w:bCs/>
                <w:snapToGrid w:val="0"/>
                <w:color w:val="FF0000"/>
              </w:rPr>
            </w:pPr>
            <w:r w:rsidRPr="00F87189">
              <w:rPr>
                <w:bCs/>
                <w:snapToGrid w:val="0"/>
              </w:rPr>
              <w:t>$0.0875</w:t>
            </w:r>
          </w:p>
        </w:tc>
      </w:tr>
      <w:tr w:rsidR="00FF71BE" w:rsidRPr="00F87189" w14:paraId="10F21165" w14:textId="77777777" w:rsidTr="00697A6E">
        <w:trPr>
          <w:trHeight w:val="208"/>
          <w:jc w:val="center"/>
        </w:trPr>
        <w:tc>
          <w:tcPr>
            <w:tcW w:w="3532" w:type="dxa"/>
            <w:vAlign w:val="center"/>
          </w:tcPr>
          <w:p w14:paraId="29B72C73" w14:textId="7F1E2652" w:rsidR="00FF71BE" w:rsidRPr="00FF71BE" w:rsidRDefault="00FF71BE" w:rsidP="00FF71BE">
            <w:pPr>
              <w:tabs>
                <w:tab w:val="center" w:pos="1658"/>
                <w:tab w:val="right" w:pos="3316"/>
              </w:tabs>
              <w:jc w:val="center"/>
              <w:rPr>
                <w:snapToGrid w:val="0"/>
              </w:rPr>
            </w:pPr>
            <w:r w:rsidRPr="00FF71BE">
              <w:rPr>
                <w:color w:val="000000"/>
              </w:rPr>
              <w:t>December</w:t>
            </w:r>
          </w:p>
        </w:tc>
        <w:tc>
          <w:tcPr>
            <w:tcW w:w="1746" w:type="dxa"/>
            <w:vAlign w:val="center"/>
          </w:tcPr>
          <w:p w14:paraId="733110B7" w14:textId="1917D62D" w:rsidR="00FF71BE" w:rsidRPr="00FF71BE" w:rsidRDefault="00FF71BE" w:rsidP="00FF71BE">
            <w:pPr>
              <w:jc w:val="center"/>
              <w:rPr>
                <w:snapToGrid w:val="0"/>
              </w:rPr>
            </w:pPr>
            <w:r w:rsidRPr="00FF71BE">
              <w:rPr>
                <w:color w:val="000000"/>
              </w:rPr>
              <w:t>January 5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3C5B2D9F" w14:textId="77777777" w:rsidR="00FF71BE" w:rsidRPr="00F87189" w:rsidRDefault="00FF71BE" w:rsidP="00FF71BE">
            <w:pPr>
              <w:jc w:val="center"/>
              <w:rPr>
                <w:bCs/>
                <w:snapToGrid w:val="0"/>
                <w:color w:val="FF0000"/>
              </w:rPr>
            </w:pPr>
            <w:r w:rsidRPr="00F87189">
              <w:rPr>
                <w:bCs/>
                <w:snapToGrid w:val="0"/>
              </w:rPr>
              <w:t>$0.0875</w:t>
            </w:r>
          </w:p>
        </w:tc>
      </w:tr>
      <w:tr w:rsidR="00D50BB7" w:rsidRPr="00F87189" w14:paraId="43EAC9CE" w14:textId="77777777" w:rsidTr="0018061C">
        <w:trPr>
          <w:trHeight w:val="208"/>
          <w:jc w:val="center"/>
        </w:trPr>
        <w:tc>
          <w:tcPr>
            <w:tcW w:w="5278" w:type="dxa"/>
            <w:gridSpan w:val="2"/>
          </w:tcPr>
          <w:p w14:paraId="319200FF" w14:textId="77777777" w:rsidR="00D50BB7" w:rsidRPr="00F87189" w:rsidRDefault="00D50BB7" w:rsidP="0018061C">
            <w:pPr>
              <w:jc w:val="right"/>
              <w:rPr>
                <w:bCs/>
                <w:snapToGrid w:val="0"/>
              </w:rPr>
            </w:pPr>
            <w:r w:rsidRPr="00F87189">
              <w:t xml:space="preserve">Total for the Quarter: </w:t>
            </w:r>
          </w:p>
        </w:tc>
        <w:tc>
          <w:tcPr>
            <w:tcW w:w="1353" w:type="dxa"/>
            <w:tcBorders>
              <w:top w:val="single" w:sz="4" w:space="0" w:color="auto"/>
              <w:bottom w:val="double" w:sz="4" w:space="0" w:color="auto"/>
            </w:tcBorders>
          </w:tcPr>
          <w:p w14:paraId="493CFE0B" w14:textId="77777777" w:rsidR="00D50BB7" w:rsidRPr="00F87189" w:rsidRDefault="00D50BB7" w:rsidP="0018061C">
            <w:pPr>
              <w:jc w:val="center"/>
              <w:rPr>
                <w:bCs/>
                <w:snapToGrid w:val="0"/>
              </w:rPr>
            </w:pPr>
            <w:r w:rsidRPr="00F87189">
              <w:t>$0.2625</w:t>
            </w:r>
          </w:p>
        </w:tc>
      </w:tr>
      <w:bookmarkEnd w:id="0"/>
    </w:tbl>
    <w:p w14:paraId="214CCD90" w14:textId="77777777" w:rsidR="00D50BB7" w:rsidRPr="00F87189" w:rsidRDefault="00D50BB7" w:rsidP="00D50BB7"/>
    <w:p w14:paraId="1A76CC1B" w14:textId="32ED841A" w:rsidR="00D50BB7" w:rsidRPr="00F87189" w:rsidRDefault="00D50BB7" w:rsidP="00D50BB7">
      <w:pPr>
        <w:rPr>
          <w:spacing w:val="-3"/>
        </w:rPr>
      </w:pPr>
      <w:r w:rsidRPr="00F87189">
        <w:rPr>
          <w:b/>
          <w:i/>
          <w:color w:val="0033CC"/>
          <w:u w:val="single"/>
        </w:rPr>
        <w:t xml:space="preserve">Series </w:t>
      </w:r>
      <w:r>
        <w:rPr>
          <w:b/>
          <w:i/>
          <w:color w:val="0033CC"/>
          <w:u w:val="single"/>
        </w:rPr>
        <w:t>D</w:t>
      </w:r>
      <w:r w:rsidRPr="00F87189">
        <w:rPr>
          <w:b/>
          <w:i/>
          <w:color w:val="0033CC"/>
          <w:u w:val="single"/>
        </w:rPr>
        <w:t xml:space="preserve"> Preferred Stock:</w:t>
      </w:r>
      <w:r w:rsidRPr="00F87189">
        <w:rPr>
          <w:b/>
          <w:i/>
          <w:color w:val="0033CC"/>
        </w:rPr>
        <w:t xml:space="preserve"> </w:t>
      </w:r>
      <w:r w:rsidRPr="00F87189">
        <w:t>$</w:t>
      </w:r>
      <w:r w:rsidRPr="000F5281">
        <w:t>0.14</w:t>
      </w:r>
      <w:r w:rsidRPr="00F33BDF">
        <w:t>58333 cash</w:t>
      </w:r>
      <w:r>
        <w:t xml:space="preserve"> distribution </w:t>
      </w:r>
      <w:r w:rsidRPr="00F87189">
        <w:rPr>
          <w:spacing w:val="-3"/>
        </w:rPr>
        <w:t>per share of the Company’s 7.</w:t>
      </w:r>
      <w:r>
        <w:rPr>
          <w:spacing w:val="-3"/>
        </w:rPr>
        <w:t>0</w:t>
      </w:r>
      <w:r w:rsidRPr="00F87189">
        <w:rPr>
          <w:spacing w:val="-3"/>
        </w:rPr>
        <w:t xml:space="preserve">% Series </w:t>
      </w:r>
      <w:r>
        <w:rPr>
          <w:spacing w:val="-3"/>
        </w:rPr>
        <w:t>D</w:t>
      </w:r>
      <w:r w:rsidRPr="00F87189">
        <w:rPr>
          <w:spacing w:val="-3"/>
        </w:rPr>
        <w:t xml:space="preserve"> Preferred Stock (“Series </w:t>
      </w:r>
      <w:r>
        <w:rPr>
          <w:spacing w:val="-3"/>
        </w:rPr>
        <w:t>D</w:t>
      </w:r>
      <w:r w:rsidRPr="00F87189">
        <w:rPr>
          <w:spacing w:val="-3"/>
        </w:rPr>
        <w:t xml:space="preserve"> Preferred Stock”) for each of</w:t>
      </w:r>
      <w:r w:rsidRPr="00F87189">
        <w:t xml:space="preserve"> </w:t>
      </w:r>
      <w:r w:rsidR="00FF71BE">
        <w:t>October, November and December 2020</w:t>
      </w:r>
      <w:r w:rsidRPr="00F87189">
        <w:t>,</w:t>
      </w:r>
      <w:r w:rsidRPr="00F87189">
        <w:rPr>
          <w:spacing w:val="-3"/>
        </w:rPr>
        <w:t xml:space="preserve"> payable per Table </w:t>
      </w:r>
      <w:r>
        <w:rPr>
          <w:spacing w:val="-3"/>
        </w:rPr>
        <w:t>3</w:t>
      </w:r>
      <w:r w:rsidRPr="00F87189">
        <w:rPr>
          <w:spacing w:val="-3"/>
        </w:rPr>
        <w:t xml:space="preserve"> below. The Series </w:t>
      </w:r>
      <w:r>
        <w:rPr>
          <w:spacing w:val="-3"/>
        </w:rPr>
        <w:t>D</w:t>
      </w:r>
      <w:r w:rsidRPr="00F87189">
        <w:rPr>
          <w:spacing w:val="-3"/>
        </w:rPr>
        <w:t xml:space="preserve"> Preferred Stock trades on </w:t>
      </w:r>
      <w:r>
        <w:rPr>
          <w:spacing w:val="-3"/>
        </w:rPr>
        <w:t>Nasdaq</w:t>
      </w:r>
      <w:r w:rsidRPr="00F87189">
        <w:rPr>
          <w:spacing w:val="-3"/>
        </w:rPr>
        <w:t xml:space="preserve"> under the symbol “GOOD</w:t>
      </w:r>
      <w:r>
        <w:rPr>
          <w:spacing w:val="-3"/>
        </w:rPr>
        <w:t>M</w:t>
      </w:r>
      <w:r w:rsidRPr="00F87189">
        <w:rPr>
          <w:spacing w:val="-3"/>
        </w:rPr>
        <w:t xml:space="preserve">.”  </w:t>
      </w:r>
      <w:r>
        <w:rPr>
          <w:spacing w:val="-3"/>
        </w:rPr>
        <w:t xml:space="preserve">The Company has paid </w:t>
      </w:r>
      <w:r w:rsidR="00014AEE">
        <w:rPr>
          <w:spacing w:val="-3"/>
        </w:rPr>
        <w:t>5</w:t>
      </w:r>
      <w:r w:rsidR="00AF17B6">
        <w:rPr>
          <w:spacing w:val="-3"/>
        </w:rPr>
        <w:t>3</w:t>
      </w:r>
      <w:r>
        <w:rPr>
          <w:spacing w:val="-3"/>
        </w:rPr>
        <w:t xml:space="preserve"> consecutive monthly cash distributions on its Series D </w:t>
      </w:r>
      <w:r>
        <w:rPr>
          <w:spacing w:val="-3"/>
        </w:rPr>
        <w:lastRenderedPageBreak/>
        <w:t>Preferred Stock.</w:t>
      </w:r>
      <w:r>
        <w:t xml:space="preserve">  The Company has never skipped, reduced or deferred a monthly Series D Preferred Stock distribution.</w:t>
      </w:r>
    </w:p>
    <w:p w14:paraId="5A80E386" w14:textId="77777777" w:rsidR="00D50BB7" w:rsidRPr="00F87189" w:rsidRDefault="00D50BB7" w:rsidP="00D50BB7">
      <w:pPr>
        <w:ind w:left="720"/>
        <w:rPr>
          <w:spacing w:val="-3"/>
        </w:rPr>
      </w:pPr>
    </w:p>
    <w:p w14:paraId="1DA582F8" w14:textId="77777777" w:rsidR="00D50BB7" w:rsidRDefault="00D50BB7" w:rsidP="00D50BB7">
      <w:pPr>
        <w:jc w:val="center"/>
        <w:rPr>
          <w:b/>
        </w:rPr>
      </w:pPr>
      <w:r w:rsidRPr="00F87189">
        <w:t xml:space="preserve">Table </w:t>
      </w:r>
      <w:r>
        <w:t>3</w:t>
      </w:r>
      <w:r w:rsidRPr="00F87189">
        <w:t xml:space="preserve">: Summary of Series </w:t>
      </w:r>
      <w:r>
        <w:t>D</w:t>
      </w:r>
      <w:r w:rsidRPr="00F87189">
        <w:t xml:space="preserve"> Preferred Stock cash distributions</w:t>
      </w:r>
      <w:r w:rsidRPr="00F87189">
        <w:rPr>
          <w:b/>
        </w:rPr>
        <w:t>:</w:t>
      </w:r>
    </w:p>
    <w:tbl>
      <w:tblPr>
        <w:tblStyle w:val="PlainTable4"/>
        <w:tblW w:w="7110" w:type="dxa"/>
        <w:tblInd w:w="990" w:type="dxa"/>
        <w:tblLook w:val="04A0" w:firstRow="1" w:lastRow="0" w:firstColumn="1" w:lastColumn="0" w:noHBand="0" w:noVBand="1"/>
      </w:tblPr>
      <w:tblGrid>
        <w:gridCol w:w="2610"/>
        <w:gridCol w:w="2430"/>
        <w:gridCol w:w="2070"/>
      </w:tblGrid>
      <w:tr w:rsidR="00607CBC" w:rsidRPr="003F41D6" w14:paraId="78451309" w14:textId="77777777" w:rsidTr="00831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719E1E29" w14:textId="77777777" w:rsidR="00607CBC" w:rsidRPr="003F41D6" w:rsidRDefault="00607CBC" w:rsidP="0083101E">
            <w:pPr>
              <w:jc w:val="center"/>
              <w:rPr>
                <w:b w:val="0"/>
                <w:bCs w:val="0"/>
                <w:snapToGrid w:val="0"/>
              </w:rPr>
            </w:pPr>
            <w:r w:rsidRPr="003F41D6">
              <w:rPr>
                <w:snapToGrid w:val="0"/>
                <w:sz w:val="22"/>
                <w:szCs w:val="22"/>
              </w:rPr>
              <w:t>Record Date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59F80254" w14:textId="77777777" w:rsidR="00607CBC" w:rsidRPr="003F41D6" w:rsidRDefault="00607CBC" w:rsidP="008310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napToGrid w:val="0"/>
              </w:rPr>
            </w:pPr>
            <w:r w:rsidRPr="003F41D6">
              <w:rPr>
                <w:snapToGrid w:val="0"/>
                <w:sz w:val="22"/>
                <w:szCs w:val="22"/>
              </w:rPr>
              <w:t>Payment Date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1A7E3F0A" w14:textId="77777777" w:rsidR="00607CBC" w:rsidRPr="003F41D6" w:rsidRDefault="00607CBC" w:rsidP="008310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napToGrid w:val="0"/>
              </w:rPr>
            </w:pPr>
            <w:r w:rsidRPr="003F41D6">
              <w:rPr>
                <w:snapToGrid w:val="0"/>
                <w:sz w:val="22"/>
                <w:szCs w:val="22"/>
              </w:rPr>
              <w:t>Cash Distribution</w:t>
            </w:r>
          </w:p>
        </w:tc>
      </w:tr>
      <w:tr w:rsidR="00FF71BE" w:rsidRPr="0004375B" w14:paraId="6CA48B51" w14:textId="77777777" w:rsidTr="00E85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F82726" w14:textId="25E4CB2F" w:rsidR="00FF71BE" w:rsidRPr="00FF71BE" w:rsidRDefault="00FF71BE" w:rsidP="00FF71BE">
            <w:pPr>
              <w:spacing w:line="276" w:lineRule="auto"/>
              <w:jc w:val="center"/>
              <w:rPr>
                <w:b w:val="0"/>
                <w:bCs w:val="0"/>
                <w:snapToGrid w:val="0"/>
              </w:rPr>
            </w:pPr>
            <w:r w:rsidRPr="00FF71BE">
              <w:rPr>
                <w:b w:val="0"/>
                <w:bCs w:val="0"/>
                <w:color w:val="000000"/>
              </w:rPr>
              <w:t>October 23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029F6B" w14:textId="043FDFA2" w:rsidR="00FF71BE" w:rsidRPr="00FF71BE" w:rsidRDefault="00FF71BE" w:rsidP="00FF71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 w:rsidRPr="00FF71BE">
              <w:rPr>
                <w:color w:val="000000"/>
              </w:rPr>
              <w:t>October 30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auto"/>
          </w:tcPr>
          <w:p w14:paraId="2AAA91B5" w14:textId="77777777" w:rsidR="00FF71BE" w:rsidRPr="0004375B" w:rsidRDefault="00FF71BE" w:rsidP="00FF71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 w:val="0"/>
              </w:rPr>
            </w:pPr>
            <w:r w:rsidRPr="0004375B">
              <w:rPr>
                <w:bCs/>
                <w:snapToGrid w:val="0"/>
                <w:sz w:val="22"/>
                <w:szCs w:val="22"/>
              </w:rPr>
              <w:t>$</w:t>
            </w:r>
            <w:r w:rsidRPr="00607CBC">
              <w:rPr>
                <w:bCs/>
                <w:snapToGrid w:val="0"/>
                <w:sz w:val="22"/>
                <w:szCs w:val="22"/>
              </w:rPr>
              <w:t>0.1458333</w:t>
            </w:r>
          </w:p>
        </w:tc>
      </w:tr>
      <w:tr w:rsidR="00FF71BE" w:rsidRPr="0004375B" w14:paraId="60A4F221" w14:textId="77777777" w:rsidTr="00E85823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vAlign w:val="center"/>
          </w:tcPr>
          <w:p w14:paraId="7F8195F6" w14:textId="5305D5D8" w:rsidR="00FF71BE" w:rsidRPr="00FF71BE" w:rsidRDefault="00FF71BE" w:rsidP="00FF71BE">
            <w:pPr>
              <w:spacing w:line="276" w:lineRule="auto"/>
              <w:jc w:val="center"/>
              <w:rPr>
                <w:b w:val="0"/>
                <w:bCs w:val="0"/>
                <w:snapToGrid w:val="0"/>
              </w:rPr>
            </w:pPr>
            <w:r w:rsidRPr="00FF71BE">
              <w:rPr>
                <w:b w:val="0"/>
                <w:bCs w:val="0"/>
                <w:color w:val="000000"/>
              </w:rPr>
              <w:t>November 20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963022B" w14:textId="18D686F2" w:rsidR="00FF71BE" w:rsidRPr="00FF71BE" w:rsidRDefault="00FF71BE" w:rsidP="00FF71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</w:rPr>
            </w:pPr>
            <w:r w:rsidRPr="00FF71BE">
              <w:rPr>
                <w:color w:val="000000"/>
              </w:rPr>
              <w:t>November 30</w:t>
            </w:r>
          </w:p>
        </w:tc>
        <w:tc>
          <w:tcPr>
            <w:tcW w:w="2070" w:type="dxa"/>
            <w:shd w:val="clear" w:color="auto" w:fill="auto"/>
          </w:tcPr>
          <w:p w14:paraId="5656F294" w14:textId="77777777" w:rsidR="00FF71BE" w:rsidRPr="0004375B" w:rsidRDefault="00FF71BE" w:rsidP="00FF71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 w:val="0"/>
              </w:rPr>
            </w:pPr>
            <w:r w:rsidRPr="007A0084">
              <w:rPr>
                <w:bCs/>
                <w:snapToGrid w:val="0"/>
                <w:sz w:val="22"/>
                <w:szCs w:val="22"/>
              </w:rPr>
              <w:t>$0.1458333</w:t>
            </w:r>
          </w:p>
        </w:tc>
      </w:tr>
      <w:tr w:rsidR="00FF71BE" w:rsidRPr="0004375B" w14:paraId="1B78CED4" w14:textId="77777777" w:rsidTr="00E85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vAlign w:val="center"/>
          </w:tcPr>
          <w:p w14:paraId="32E9B814" w14:textId="1B90C324" w:rsidR="00FF71BE" w:rsidRPr="00FF71BE" w:rsidRDefault="00FF71BE" w:rsidP="00FF71BE">
            <w:pPr>
              <w:spacing w:line="276" w:lineRule="auto"/>
              <w:jc w:val="center"/>
              <w:rPr>
                <w:b w:val="0"/>
                <w:bCs w:val="0"/>
                <w:snapToGrid w:val="0"/>
              </w:rPr>
            </w:pPr>
            <w:r w:rsidRPr="00FF71BE">
              <w:rPr>
                <w:b w:val="0"/>
                <w:bCs w:val="0"/>
                <w:color w:val="000000"/>
              </w:rPr>
              <w:t>December 23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B4793CF" w14:textId="245D4FCF" w:rsidR="00FF71BE" w:rsidRPr="00FF71BE" w:rsidRDefault="00FF71BE" w:rsidP="00FF71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 w:rsidRPr="00FF71BE">
              <w:rPr>
                <w:color w:val="000000"/>
              </w:rPr>
              <w:t>December 31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13FE3D0D" w14:textId="77777777" w:rsidR="00FF71BE" w:rsidRPr="0004375B" w:rsidRDefault="00FF71BE" w:rsidP="00FF71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 w:val="0"/>
              </w:rPr>
            </w:pPr>
            <w:r w:rsidRPr="007A0084">
              <w:rPr>
                <w:bCs/>
                <w:snapToGrid w:val="0"/>
                <w:sz w:val="22"/>
                <w:szCs w:val="22"/>
              </w:rPr>
              <w:t>$0.1458333</w:t>
            </w:r>
          </w:p>
        </w:tc>
      </w:tr>
      <w:tr w:rsidR="00607CBC" w:rsidRPr="009E6E13" w14:paraId="500EC77D" w14:textId="77777777" w:rsidTr="0083101E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4A349DA" w14:textId="77777777" w:rsidR="00607CBC" w:rsidRPr="0004375B" w:rsidRDefault="00607CBC" w:rsidP="0083101E">
            <w:pPr>
              <w:spacing w:line="276" w:lineRule="auto"/>
              <w:jc w:val="center"/>
              <w:rPr>
                <w:bCs w:val="0"/>
                <w:snapToGrid w:val="0"/>
              </w:rPr>
            </w:pPr>
          </w:p>
        </w:tc>
        <w:tc>
          <w:tcPr>
            <w:tcW w:w="2430" w:type="dxa"/>
          </w:tcPr>
          <w:p w14:paraId="0754D178" w14:textId="77777777" w:rsidR="00607CBC" w:rsidRPr="0004375B" w:rsidRDefault="00607CBC" w:rsidP="0083101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 w:val="0"/>
              </w:rPr>
            </w:pPr>
            <w:r w:rsidRPr="0004375B">
              <w:rPr>
                <w:b/>
                <w:bCs/>
                <w:snapToGrid w:val="0"/>
                <w:sz w:val="22"/>
                <w:szCs w:val="22"/>
              </w:rPr>
              <w:t>Total for the Quarter</w:t>
            </w:r>
            <w:r w:rsidRPr="0004375B">
              <w:rPr>
                <w:bCs/>
                <w:snapToGrid w:val="0"/>
                <w:sz w:val="22"/>
                <w:szCs w:val="22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double" w:sz="4" w:space="0" w:color="auto"/>
            </w:tcBorders>
          </w:tcPr>
          <w:p w14:paraId="5BF48E95" w14:textId="77777777" w:rsidR="00607CBC" w:rsidRPr="009E6E13" w:rsidRDefault="00607CBC" w:rsidP="0083101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$0.4374999</w:t>
            </w:r>
          </w:p>
        </w:tc>
      </w:tr>
    </w:tbl>
    <w:p w14:paraId="6207ECAF" w14:textId="77777777" w:rsidR="00607CBC" w:rsidRDefault="00607CBC" w:rsidP="00D50BB7">
      <w:pPr>
        <w:jc w:val="center"/>
        <w:rPr>
          <w:b/>
        </w:rPr>
      </w:pPr>
    </w:p>
    <w:p w14:paraId="650FF374" w14:textId="04385055" w:rsidR="00D50BB7" w:rsidRPr="00F87189" w:rsidRDefault="00D50BB7" w:rsidP="00D50BB7">
      <w:pPr>
        <w:rPr>
          <w:spacing w:val="-3"/>
        </w:rPr>
      </w:pPr>
      <w:r w:rsidRPr="00F87189">
        <w:rPr>
          <w:b/>
          <w:i/>
          <w:color w:val="0033CC"/>
          <w:u w:val="single"/>
        </w:rPr>
        <w:t xml:space="preserve">Series </w:t>
      </w:r>
      <w:r>
        <w:rPr>
          <w:b/>
          <w:i/>
          <w:color w:val="0033CC"/>
          <w:u w:val="single"/>
        </w:rPr>
        <w:t>E</w:t>
      </w:r>
      <w:r w:rsidRPr="00F87189">
        <w:rPr>
          <w:b/>
          <w:i/>
          <w:color w:val="0033CC"/>
          <w:u w:val="single"/>
        </w:rPr>
        <w:t xml:space="preserve"> Preferred Stock:</w:t>
      </w:r>
      <w:r w:rsidRPr="00F87189">
        <w:rPr>
          <w:b/>
          <w:i/>
          <w:color w:val="0033CC"/>
        </w:rPr>
        <w:t xml:space="preserve"> </w:t>
      </w:r>
      <w:r w:rsidRPr="00F87189">
        <w:t>$</w:t>
      </w:r>
      <w:r w:rsidRPr="000F5281">
        <w:t>0.</w:t>
      </w:r>
      <w:r>
        <w:t>138021</w:t>
      </w:r>
      <w:r w:rsidRPr="00F33BDF">
        <w:t xml:space="preserve"> cash</w:t>
      </w:r>
      <w:r>
        <w:t xml:space="preserve"> distribution </w:t>
      </w:r>
      <w:r w:rsidRPr="00F87189">
        <w:rPr>
          <w:spacing w:val="-3"/>
        </w:rPr>
        <w:t xml:space="preserve">per share of the Company’s </w:t>
      </w:r>
      <w:r>
        <w:rPr>
          <w:spacing w:val="-3"/>
        </w:rPr>
        <w:t>6.625</w:t>
      </w:r>
      <w:r w:rsidRPr="00F87189">
        <w:rPr>
          <w:spacing w:val="-3"/>
        </w:rPr>
        <w:t xml:space="preserve">% Series </w:t>
      </w:r>
      <w:r>
        <w:rPr>
          <w:spacing w:val="-3"/>
        </w:rPr>
        <w:t>E</w:t>
      </w:r>
      <w:r w:rsidRPr="00F87189">
        <w:rPr>
          <w:spacing w:val="-3"/>
        </w:rPr>
        <w:t xml:space="preserve"> Preferred Stock (“Series </w:t>
      </w:r>
      <w:r>
        <w:rPr>
          <w:spacing w:val="-3"/>
        </w:rPr>
        <w:t>E</w:t>
      </w:r>
      <w:r w:rsidRPr="00F87189">
        <w:rPr>
          <w:spacing w:val="-3"/>
        </w:rPr>
        <w:t xml:space="preserve"> Preferred Stock”) for each of</w:t>
      </w:r>
      <w:r w:rsidRPr="00F87189">
        <w:t xml:space="preserve"> </w:t>
      </w:r>
      <w:r w:rsidR="00FF71BE">
        <w:t>October, November and December 2020</w:t>
      </w:r>
      <w:r w:rsidRPr="00F87189">
        <w:t>,</w:t>
      </w:r>
      <w:r w:rsidRPr="00F87189">
        <w:rPr>
          <w:spacing w:val="-3"/>
        </w:rPr>
        <w:t xml:space="preserve"> payable per Table </w:t>
      </w:r>
      <w:r>
        <w:rPr>
          <w:spacing w:val="-3"/>
        </w:rPr>
        <w:t>4</w:t>
      </w:r>
      <w:r w:rsidRPr="00F87189">
        <w:rPr>
          <w:spacing w:val="-3"/>
        </w:rPr>
        <w:t xml:space="preserve"> below. The Series </w:t>
      </w:r>
      <w:r>
        <w:rPr>
          <w:spacing w:val="-3"/>
        </w:rPr>
        <w:t>E</w:t>
      </w:r>
      <w:r w:rsidRPr="00F87189">
        <w:rPr>
          <w:spacing w:val="-3"/>
        </w:rPr>
        <w:t xml:space="preserve"> Preferred Stock trades on </w:t>
      </w:r>
      <w:r>
        <w:rPr>
          <w:spacing w:val="-3"/>
        </w:rPr>
        <w:t>Nasdaq</w:t>
      </w:r>
      <w:r w:rsidRPr="00F87189">
        <w:rPr>
          <w:spacing w:val="-3"/>
        </w:rPr>
        <w:t xml:space="preserve"> under the symbol “GOOD</w:t>
      </w:r>
      <w:r>
        <w:rPr>
          <w:spacing w:val="-3"/>
        </w:rPr>
        <w:t>N</w:t>
      </w:r>
      <w:r w:rsidRPr="00F87189">
        <w:rPr>
          <w:spacing w:val="-3"/>
        </w:rPr>
        <w:t xml:space="preserve">.”  </w:t>
      </w:r>
      <w:r>
        <w:t>The Company has never skipped, reduced or deferred a monthly Series E Preferred Stock distribution.</w:t>
      </w:r>
    </w:p>
    <w:p w14:paraId="2FFB88FA" w14:textId="77777777" w:rsidR="00D50BB7" w:rsidRPr="00F87189" w:rsidRDefault="00D50BB7" w:rsidP="00D50BB7">
      <w:pPr>
        <w:ind w:left="720"/>
        <w:rPr>
          <w:spacing w:val="-3"/>
        </w:rPr>
      </w:pPr>
    </w:p>
    <w:p w14:paraId="0A369E92" w14:textId="77777777" w:rsidR="004A08CD" w:rsidRDefault="00D50BB7" w:rsidP="00D50BB7">
      <w:pPr>
        <w:jc w:val="center"/>
      </w:pPr>
      <w:r w:rsidRPr="00F87189">
        <w:t xml:space="preserve">Table </w:t>
      </w:r>
      <w:r>
        <w:t>4</w:t>
      </w:r>
      <w:r w:rsidRPr="00F87189">
        <w:t xml:space="preserve">: Summary of Series </w:t>
      </w:r>
      <w:r>
        <w:t>E</w:t>
      </w:r>
      <w:r w:rsidRPr="00F87189">
        <w:t xml:space="preserve"> Preferred Stock cash distributions</w:t>
      </w:r>
      <w:r w:rsidR="004A08CD">
        <w:t>:</w:t>
      </w:r>
    </w:p>
    <w:p w14:paraId="4FEEA59E" w14:textId="5BEF142C" w:rsidR="004A08CD" w:rsidRDefault="004A08CD" w:rsidP="00D50BB7">
      <w:pPr>
        <w:jc w:val="center"/>
        <w:rPr>
          <w:b/>
        </w:rPr>
      </w:pPr>
    </w:p>
    <w:tbl>
      <w:tblPr>
        <w:tblStyle w:val="PlainTable4"/>
        <w:tblW w:w="7560" w:type="dxa"/>
        <w:tblInd w:w="360" w:type="dxa"/>
        <w:tblLook w:val="04A0" w:firstRow="1" w:lastRow="0" w:firstColumn="1" w:lastColumn="0" w:noHBand="0" w:noVBand="1"/>
      </w:tblPr>
      <w:tblGrid>
        <w:gridCol w:w="2520"/>
        <w:gridCol w:w="2520"/>
        <w:gridCol w:w="2520"/>
      </w:tblGrid>
      <w:tr w:rsidR="004A08CD" w:rsidRPr="003F41D6" w14:paraId="0EF759C5" w14:textId="77777777" w:rsidTr="00102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74F53DD9" w14:textId="77777777" w:rsidR="004A08CD" w:rsidRPr="003F41D6" w:rsidRDefault="004A08CD" w:rsidP="00102EA8">
            <w:pPr>
              <w:jc w:val="center"/>
              <w:rPr>
                <w:b w:val="0"/>
                <w:bCs w:val="0"/>
                <w:snapToGrid w:val="0"/>
              </w:rPr>
            </w:pPr>
            <w:r w:rsidRPr="003F41D6">
              <w:rPr>
                <w:snapToGrid w:val="0"/>
                <w:sz w:val="22"/>
                <w:szCs w:val="22"/>
              </w:rPr>
              <w:t>Record Date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7F52B706" w14:textId="77777777" w:rsidR="004A08CD" w:rsidRPr="003F41D6" w:rsidRDefault="004A08CD" w:rsidP="00102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napToGrid w:val="0"/>
              </w:rPr>
            </w:pPr>
            <w:r w:rsidRPr="003F41D6">
              <w:rPr>
                <w:snapToGrid w:val="0"/>
                <w:sz w:val="22"/>
                <w:szCs w:val="22"/>
              </w:rPr>
              <w:t>Payment Date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23445180" w14:textId="77777777" w:rsidR="004A08CD" w:rsidRPr="003F41D6" w:rsidRDefault="004A08CD" w:rsidP="00102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napToGrid w:val="0"/>
              </w:rPr>
            </w:pPr>
            <w:r w:rsidRPr="003F41D6">
              <w:rPr>
                <w:snapToGrid w:val="0"/>
                <w:sz w:val="22"/>
                <w:szCs w:val="22"/>
              </w:rPr>
              <w:t>Cash Distribution</w:t>
            </w:r>
          </w:p>
        </w:tc>
      </w:tr>
      <w:tr w:rsidR="00FF71BE" w:rsidRPr="0004375B" w14:paraId="5FBB83EF" w14:textId="77777777" w:rsidTr="002C4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3B8BDF" w14:textId="740B4122" w:rsidR="00FF71BE" w:rsidRPr="00FF71BE" w:rsidRDefault="00FF71BE" w:rsidP="00FF71BE">
            <w:pPr>
              <w:spacing w:line="276" w:lineRule="auto"/>
              <w:jc w:val="center"/>
              <w:rPr>
                <w:b w:val="0"/>
                <w:bCs w:val="0"/>
                <w:snapToGrid w:val="0"/>
              </w:rPr>
            </w:pPr>
            <w:r w:rsidRPr="00FF71BE">
              <w:rPr>
                <w:b w:val="0"/>
                <w:bCs w:val="0"/>
                <w:color w:val="000000"/>
              </w:rPr>
              <w:t>October 23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71B16C" w14:textId="0B7F55AE" w:rsidR="00FF71BE" w:rsidRPr="00FF71BE" w:rsidRDefault="00FF71BE" w:rsidP="00FF71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 w:rsidRPr="00FF71BE">
              <w:rPr>
                <w:color w:val="000000"/>
              </w:rPr>
              <w:t>October 30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14:paraId="01B033AF" w14:textId="7EA4582E" w:rsidR="00FF71BE" w:rsidRPr="0004375B" w:rsidRDefault="00FF71BE" w:rsidP="00FF71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 w:val="0"/>
              </w:rPr>
            </w:pPr>
            <w:r w:rsidRPr="004A08CD">
              <w:rPr>
                <w:bCs/>
                <w:snapToGrid w:val="0"/>
                <w:sz w:val="22"/>
                <w:szCs w:val="22"/>
              </w:rPr>
              <w:t>$0.138021</w:t>
            </w:r>
          </w:p>
        </w:tc>
      </w:tr>
      <w:tr w:rsidR="00FF71BE" w:rsidRPr="0004375B" w14:paraId="2455F22D" w14:textId="77777777" w:rsidTr="002C4C1C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auto"/>
            <w:vAlign w:val="center"/>
          </w:tcPr>
          <w:p w14:paraId="37C1587A" w14:textId="2F1C4870" w:rsidR="00FF71BE" w:rsidRPr="00FF71BE" w:rsidRDefault="00FF71BE" w:rsidP="00FF71BE">
            <w:pPr>
              <w:spacing w:line="276" w:lineRule="auto"/>
              <w:jc w:val="center"/>
              <w:rPr>
                <w:b w:val="0"/>
                <w:bCs w:val="0"/>
                <w:snapToGrid w:val="0"/>
              </w:rPr>
            </w:pPr>
            <w:r w:rsidRPr="00FF71BE">
              <w:rPr>
                <w:b w:val="0"/>
                <w:bCs w:val="0"/>
                <w:color w:val="000000"/>
              </w:rPr>
              <w:t>November 20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F6C1A16" w14:textId="6CE0E1AB" w:rsidR="00FF71BE" w:rsidRPr="00FF71BE" w:rsidRDefault="00FF71BE" w:rsidP="00FF71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</w:rPr>
            </w:pPr>
            <w:r w:rsidRPr="00FF71BE">
              <w:rPr>
                <w:color w:val="000000"/>
              </w:rPr>
              <w:t>November 30</w:t>
            </w:r>
          </w:p>
        </w:tc>
        <w:tc>
          <w:tcPr>
            <w:tcW w:w="2520" w:type="dxa"/>
            <w:shd w:val="clear" w:color="auto" w:fill="auto"/>
          </w:tcPr>
          <w:p w14:paraId="413188B2" w14:textId="0F6265E4" w:rsidR="00FF71BE" w:rsidRPr="0004375B" w:rsidRDefault="00FF71BE" w:rsidP="00FF71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 w:val="0"/>
              </w:rPr>
            </w:pPr>
            <w:r w:rsidRPr="004A08CD">
              <w:rPr>
                <w:bCs/>
                <w:snapToGrid w:val="0"/>
                <w:sz w:val="22"/>
                <w:szCs w:val="22"/>
              </w:rPr>
              <w:t>$0.138021</w:t>
            </w:r>
          </w:p>
        </w:tc>
      </w:tr>
      <w:tr w:rsidR="00FF71BE" w:rsidRPr="0004375B" w14:paraId="4ADB2618" w14:textId="77777777" w:rsidTr="002C4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auto"/>
            <w:vAlign w:val="center"/>
          </w:tcPr>
          <w:p w14:paraId="10387634" w14:textId="119B386D" w:rsidR="00FF71BE" w:rsidRPr="00FF71BE" w:rsidRDefault="00FF71BE" w:rsidP="00FF71BE">
            <w:pPr>
              <w:spacing w:line="276" w:lineRule="auto"/>
              <w:jc w:val="center"/>
              <w:rPr>
                <w:b w:val="0"/>
                <w:bCs w:val="0"/>
                <w:snapToGrid w:val="0"/>
              </w:rPr>
            </w:pPr>
            <w:r w:rsidRPr="00FF71BE">
              <w:rPr>
                <w:b w:val="0"/>
                <w:bCs w:val="0"/>
                <w:color w:val="000000"/>
              </w:rPr>
              <w:t>December 23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11B51CD" w14:textId="770F08BC" w:rsidR="00FF71BE" w:rsidRPr="00FF71BE" w:rsidRDefault="00FF71BE" w:rsidP="00FF71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 w:rsidRPr="00FF71BE">
              <w:rPr>
                <w:color w:val="000000"/>
              </w:rPr>
              <w:t>December 31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701E060D" w14:textId="03D9F587" w:rsidR="00FF71BE" w:rsidRPr="0004375B" w:rsidRDefault="00FF71BE" w:rsidP="00FF71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 w:val="0"/>
              </w:rPr>
            </w:pPr>
            <w:r w:rsidRPr="004A08CD">
              <w:rPr>
                <w:bCs/>
                <w:snapToGrid w:val="0"/>
                <w:sz w:val="22"/>
                <w:szCs w:val="22"/>
              </w:rPr>
              <w:t>$0.138021</w:t>
            </w:r>
          </w:p>
        </w:tc>
      </w:tr>
      <w:tr w:rsidR="004A08CD" w:rsidRPr="009E6E13" w14:paraId="7CF397A5" w14:textId="77777777" w:rsidTr="00102EA8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54514CD8" w14:textId="77777777" w:rsidR="004A08CD" w:rsidRPr="0004375B" w:rsidRDefault="004A08CD" w:rsidP="00102EA8">
            <w:pPr>
              <w:spacing w:line="276" w:lineRule="auto"/>
              <w:jc w:val="center"/>
              <w:rPr>
                <w:bCs w:val="0"/>
                <w:snapToGrid w:val="0"/>
              </w:rPr>
            </w:pPr>
          </w:p>
        </w:tc>
        <w:tc>
          <w:tcPr>
            <w:tcW w:w="2520" w:type="dxa"/>
          </w:tcPr>
          <w:p w14:paraId="4DFDEA69" w14:textId="77777777" w:rsidR="004A08CD" w:rsidRPr="0004375B" w:rsidRDefault="004A08CD" w:rsidP="00102EA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 w:val="0"/>
              </w:rPr>
            </w:pPr>
            <w:r w:rsidRPr="0004375B">
              <w:rPr>
                <w:b/>
                <w:bCs/>
                <w:snapToGrid w:val="0"/>
                <w:sz w:val="22"/>
                <w:szCs w:val="22"/>
              </w:rPr>
              <w:t>Total for the Quarter</w:t>
            </w:r>
            <w:r w:rsidRPr="0004375B">
              <w:rPr>
                <w:bCs/>
                <w:snapToGrid w:val="0"/>
                <w:sz w:val="22"/>
                <w:szCs w:val="22"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bottom w:val="double" w:sz="4" w:space="0" w:color="auto"/>
            </w:tcBorders>
          </w:tcPr>
          <w:p w14:paraId="2116A639" w14:textId="2F81ACA3" w:rsidR="004A08CD" w:rsidRPr="009E6E13" w:rsidRDefault="004A08CD" w:rsidP="00102EA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napToGrid w:val="0"/>
                <w:sz w:val="22"/>
                <w:szCs w:val="22"/>
              </w:rPr>
            </w:pPr>
            <w:r w:rsidRPr="004A08CD">
              <w:rPr>
                <w:bCs/>
                <w:snapToGrid w:val="0"/>
                <w:sz w:val="22"/>
                <w:szCs w:val="22"/>
              </w:rPr>
              <w:t>$0.414063</w:t>
            </w:r>
          </w:p>
        </w:tc>
      </w:tr>
    </w:tbl>
    <w:p w14:paraId="7DE5D3A4" w14:textId="77777777" w:rsidR="004A08CD" w:rsidRDefault="004A08CD" w:rsidP="00D50BB7">
      <w:pPr>
        <w:jc w:val="center"/>
        <w:rPr>
          <w:b/>
        </w:rPr>
      </w:pPr>
    </w:p>
    <w:p w14:paraId="29A93447" w14:textId="4DC8EE86" w:rsidR="00406A99" w:rsidRPr="00F87189" w:rsidRDefault="00406A99" w:rsidP="00406A99">
      <w:pPr>
        <w:rPr>
          <w:spacing w:val="-3"/>
        </w:rPr>
      </w:pPr>
      <w:r w:rsidRPr="00F87189">
        <w:rPr>
          <w:b/>
          <w:i/>
          <w:color w:val="0033CC"/>
          <w:u w:val="single"/>
        </w:rPr>
        <w:t xml:space="preserve">Series </w:t>
      </w:r>
      <w:r>
        <w:rPr>
          <w:b/>
          <w:i/>
          <w:color w:val="0033CC"/>
          <w:u w:val="single"/>
        </w:rPr>
        <w:t>F</w:t>
      </w:r>
      <w:r w:rsidRPr="00F87189">
        <w:rPr>
          <w:b/>
          <w:i/>
          <w:color w:val="0033CC"/>
          <w:u w:val="single"/>
        </w:rPr>
        <w:t xml:space="preserve"> Preferred Stock:</w:t>
      </w:r>
      <w:r w:rsidRPr="00F87189">
        <w:rPr>
          <w:b/>
          <w:i/>
          <w:color w:val="0033CC"/>
        </w:rPr>
        <w:t xml:space="preserve"> </w:t>
      </w:r>
      <w:r w:rsidRPr="00F87189">
        <w:t>$</w:t>
      </w:r>
      <w:r w:rsidRPr="000F5281">
        <w:t>0.</w:t>
      </w:r>
      <w:r>
        <w:t>125</w:t>
      </w:r>
      <w:r w:rsidRPr="00F33BDF">
        <w:t xml:space="preserve"> cash</w:t>
      </w:r>
      <w:r>
        <w:t xml:space="preserve"> distribution </w:t>
      </w:r>
      <w:r w:rsidRPr="00F87189">
        <w:rPr>
          <w:spacing w:val="-3"/>
        </w:rPr>
        <w:t xml:space="preserve">per share of the Company’s </w:t>
      </w:r>
      <w:r>
        <w:rPr>
          <w:spacing w:val="-3"/>
        </w:rPr>
        <w:t>6.0</w:t>
      </w:r>
      <w:r w:rsidRPr="00F87189">
        <w:rPr>
          <w:spacing w:val="-3"/>
        </w:rPr>
        <w:t xml:space="preserve">% Series </w:t>
      </w:r>
      <w:r>
        <w:rPr>
          <w:spacing w:val="-3"/>
        </w:rPr>
        <w:t>F</w:t>
      </w:r>
      <w:r w:rsidRPr="00F87189">
        <w:rPr>
          <w:spacing w:val="-3"/>
        </w:rPr>
        <w:t xml:space="preserve"> Preferred Stock (“Series </w:t>
      </w:r>
      <w:r>
        <w:rPr>
          <w:spacing w:val="-3"/>
        </w:rPr>
        <w:t>F</w:t>
      </w:r>
      <w:r w:rsidRPr="00F87189">
        <w:rPr>
          <w:spacing w:val="-3"/>
        </w:rPr>
        <w:t xml:space="preserve"> Preferred Stock”) for each of</w:t>
      </w:r>
      <w:r w:rsidRPr="00F87189">
        <w:t xml:space="preserve"> </w:t>
      </w:r>
      <w:r w:rsidR="00FF71BE">
        <w:t>October, November and December 2020</w:t>
      </w:r>
      <w:r w:rsidRPr="00F87189">
        <w:t>,</w:t>
      </w:r>
      <w:r w:rsidRPr="00F87189">
        <w:rPr>
          <w:spacing w:val="-3"/>
        </w:rPr>
        <w:t xml:space="preserve"> payable per Table </w:t>
      </w:r>
      <w:r w:rsidR="00244981">
        <w:rPr>
          <w:spacing w:val="-3"/>
        </w:rPr>
        <w:t>5</w:t>
      </w:r>
      <w:r w:rsidRPr="00F87189">
        <w:rPr>
          <w:spacing w:val="-3"/>
        </w:rPr>
        <w:t xml:space="preserve"> below. The Series </w:t>
      </w:r>
      <w:r>
        <w:rPr>
          <w:spacing w:val="-3"/>
        </w:rPr>
        <w:t>F</w:t>
      </w:r>
      <w:r w:rsidRPr="00F87189">
        <w:rPr>
          <w:spacing w:val="-3"/>
        </w:rPr>
        <w:t xml:space="preserve"> Preferred Stock </w:t>
      </w:r>
      <w:r>
        <w:rPr>
          <w:spacing w:val="-3"/>
        </w:rPr>
        <w:t xml:space="preserve">is not listed on a national securities exchange.  </w:t>
      </w:r>
      <w:r>
        <w:t>The Company has never skipped, reduced or deferred a monthly Series F Preferred Stock distribution.</w:t>
      </w:r>
    </w:p>
    <w:p w14:paraId="5B475D5C" w14:textId="77777777" w:rsidR="00406A99" w:rsidRPr="00F87189" w:rsidRDefault="00406A99" w:rsidP="00406A99">
      <w:pPr>
        <w:ind w:left="720"/>
        <w:rPr>
          <w:spacing w:val="-3"/>
        </w:rPr>
      </w:pPr>
    </w:p>
    <w:p w14:paraId="5BD57CE5" w14:textId="77777777" w:rsidR="00406A99" w:rsidRDefault="00406A99" w:rsidP="00406A99">
      <w:pPr>
        <w:jc w:val="center"/>
        <w:rPr>
          <w:b/>
        </w:rPr>
      </w:pPr>
      <w:r w:rsidRPr="00F87189">
        <w:t xml:space="preserve">Table </w:t>
      </w:r>
      <w:r w:rsidR="00244981">
        <w:t>5</w:t>
      </w:r>
      <w:r w:rsidRPr="00F87189">
        <w:t xml:space="preserve">: Summary of Series </w:t>
      </w:r>
      <w:r w:rsidR="00244981">
        <w:t>F</w:t>
      </w:r>
      <w:r w:rsidRPr="00F87189">
        <w:t xml:space="preserve"> Preferred Stock cash distributions</w:t>
      </w:r>
      <w:r w:rsidRPr="00F87189">
        <w:rPr>
          <w:b/>
        </w:rPr>
        <w:t>:</w:t>
      </w:r>
    </w:p>
    <w:tbl>
      <w:tblPr>
        <w:tblStyle w:val="PlainTable4"/>
        <w:tblW w:w="7110" w:type="dxa"/>
        <w:tblInd w:w="990" w:type="dxa"/>
        <w:tblLook w:val="04A0" w:firstRow="1" w:lastRow="0" w:firstColumn="1" w:lastColumn="0" w:noHBand="0" w:noVBand="1"/>
      </w:tblPr>
      <w:tblGrid>
        <w:gridCol w:w="2610"/>
        <w:gridCol w:w="2430"/>
        <w:gridCol w:w="2070"/>
      </w:tblGrid>
      <w:tr w:rsidR="00406A99" w:rsidRPr="003F41D6" w14:paraId="297B6A51" w14:textId="77777777" w:rsidTr="008E6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28253B4E" w14:textId="77777777" w:rsidR="00406A99" w:rsidRPr="003F41D6" w:rsidRDefault="00406A99" w:rsidP="008E62D5">
            <w:pPr>
              <w:jc w:val="center"/>
              <w:rPr>
                <w:b w:val="0"/>
                <w:bCs w:val="0"/>
                <w:snapToGrid w:val="0"/>
              </w:rPr>
            </w:pPr>
            <w:r w:rsidRPr="003F41D6">
              <w:rPr>
                <w:snapToGrid w:val="0"/>
                <w:sz w:val="22"/>
                <w:szCs w:val="22"/>
              </w:rPr>
              <w:t>Record Date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3760D835" w14:textId="77777777" w:rsidR="00406A99" w:rsidRPr="003F41D6" w:rsidRDefault="00406A99" w:rsidP="008E62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napToGrid w:val="0"/>
              </w:rPr>
            </w:pPr>
            <w:r w:rsidRPr="003F41D6">
              <w:rPr>
                <w:snapToGrid w:val="0"/>
                <w:sz w:val="22"/>
                <w:szCs w:val="22"/>
              </w:rPr>
              <w:t>Payment Date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19533DED" w14:textId="77777777" w:rsidR="00406A99" w:rsidRPr="003F41D6" w:rsidRDefault="00406A99" w:rsidP="008E62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napToGrid w:val="0"/>
              </w:rPr>
            </w:pPr>
            <w:r w:rsidRPr="003F41D6">
              <w:rPr>
                <w:snapToGrid w:val="0"/>
                <w:sz w:val="22"/>
                <w:szCs w:val="22"/>
              </w:rPr>
              <w:t>Cash Distribution</w:t>
            </w:r>
          </w:p>
        </w:tc>
      </w:tr>
      <w:tr w:rsidR="00FF71BE" w:rsidRPr="0004375B" w14:paraId="2379898D" w14:textId="77777777" w:rsidTr="00BA2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AA6842" w14:textId="0F95B396" w:rsidR="00FF71BE" w:rsidRPr="00FF71BE" w:rsidRDefault="00FF71BE" w:rsidP="00FF71BE">
            <w:pPr>
              <w:spacing w:line="276" w:lineRule="auto"/>
              <w:jc w:val="center"/>
              <w:rPr>
                <w:b w:val="0"/>
                <w:bCs w:val="0"/>
                <w:snapToGrid w:val="0"/>
              </w:rPr>
            </w:pPr>
            <w:r w:rsidRPr="00FF71BE">
              <w:rPr>
                <w:b w:val="0"/>
                <w:bCs w:val="0"/>
                <w:color w:val="000000"/>
              </w:rPr>
              <w:t xml:space="preserve">October </w:t>
            </w:r>
            <w:r>
              <w:rPr>
                <w:b w:val="0"/>
                <w:bCs w:val="0"/>
                <w:color w:val="000000"/>
              </w:rPr>
              <w:t>27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6EAD13" w14:textId="4F7D7E45" w:rsidR="00FF71BE" w:rsidRPr="00FF71BE" w:rsidRDefault="00FF71BE" w:rsidP="00FF71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 w:rsidRPr="00FF71BE">
              <w:rPr>
                <w:color w:val="000000"/>
              </w:rPr>
              <w:t xml:space="preserve">November </w:t>
            </w:r>
            <w:r>
              <w:rPr>
                <w:color w:val="000000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auto"/>
          </w:tcPr>
          <w:p w14:paraId="32F2B0E8" w14:textId="77777777" w:rsidR="00FF71BE" w:rsidRPr="0004375B" w:rsidRDefault="00FF71BE" w:rsidP="00FF71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 w:val="0"/>
              </w:rPr>
            </w:pPr>
            <w:r w:rsidRPr="0004375B">
              <w:rPr>
                <w:bCs/>
                <w:snapToGrid w:val="0"/>
                <w:sz w:val="22"/>
                <w:szCs w:val="22"/>
              </w:rPr>
              <w:t>$0.</w:t>
            </w:r>
            <w:r>
              <w:rPr>
                <w:bCs/>
                <w:snapToGrid w:val="0"/>
                <w:sz w:val="22"/>
                <w:szCs w:val="22"/>
              </w:rPr>
              <w:t>125</w:t>
            </w:r>
          </w:p>
        </w:tc>
      </w:tr>
      <w:tr w:rsidR="00FF71BE" w:rsidRPr="0004375B" w14:paraId="25CC7D80" w14:textId="77777777" w:rsidTr="00BA29E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vAlign w:val="center"/>
          </w:tcPr>
          <w:p w14:paraId="089EB4D3" w14:textId="01C77832" w:rsidR="00FF71BE" w:rsidRPr="00FF71BE" w:rsidRDefault="00FF71BE" w:rsidP="00FF71BE">
            <w:pPr>
              <w:spacing w:line="276" w:lineRule="auto"/>
              <w:jc w:val="center"/>
              <w:rPr>
                <w:b w:val="0"/>
                <w:bCs w:val="0"/>
                <w:snapToGrid w:val="0"/>
              </w:rPr>
            </w:pPr>
            <w:r w:rsidRPr="00FF71BE">
              <w:rPr>
                <w:b w:val="0"/>
                <w:bCs w:val="0"/>
                <w:color w:val="000000"/>
              </w:rPr>
              <w:t>November 2</w:t>
            </w:r>
            <w:r>
              <w:rPr>
                <w:b w:val="0"/>
                <w:bCs w:val="0"/>
                <w:color w:val="000000"/>
              </w:rPr>
              <w:t>5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B8BCAE2" w14:textId="71B6CBBD" w:rsidR="00FF71BE" w:rsidRPr="00FF71BE" w:rsidRDefault="00FF71BE" w:rsidP="00FF71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napToGrid w:val="0"/>
              </w:rPr>
            </w:pPr>
            <w:r w:rsidRPr="00FF71BE">
              <w:rPr>
                <w:color w:val="000000"/>
              </w:rPr>
              <w:t xml:space="preserve">December </w:t>
            </w:r>
            <w:r>
              <w:rPr>
                <w:color w:val="000000"/>
              </w:rPr>
              <w:t>4</w:t>
            </w:r>
          </w:p>
        </w:tc>
        <w:tc>
          <w:tcPr>
            <w:tcW w:w="2070" w:type="dxa"/>
            <w:shd w:val="clear" w:color="auto" w:fill="auto"/>
          </w:tcPr>
          <w:p w14:paraId="4CF31DD6" w14:textId="77777777" w:rsidR="00FF71BE" w:rsidRPr="0004375B" w:rsidRDefault="00FF71BE" w:rsidP="00FF71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 w:val="0"/>
              </w:rPr>
            </w:pPr>
            <w:r>
              <w:rPr>
                <w:bCs/>
                <w:snapToGrid w:val="0"/>
                <w:sz w:val="22"/>
                <w:szCs w:val="22"/>
              </w:rPr>
              <w:t>$0.125</w:t>
            </w:r>
          </w:p>
        </w:tc>
      </w:tr>
      <w:tr w:rsidR="00FF71BE" w:rsidRPr="0004375B" w14:paraId="290B8C41" w14:textId="77777777" w:rsidTr="00BA2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auto"/>
            <w:vAlign w:val="center"/>
          </w:tcPr>
          <w:p w14:paraId="30F75A6A" w14:textId="5DD7DB15" w:rsidR="00FF71BE" w:rsidRPr="00FF71BE" w:rsidRDefault="00FF71BE" w:rsidP="00FF71BE">
            <w:pPr>
              <w:spacing w:line="276" w:lineRule="auto"/>
              <w:jc w:val="center"/>
              <w:rPr>
                <w:b w:val="0"/>
                <w:bCs w:val="0"/>
                <w:snapToGrid w:val="0"/>
              </w:rPr>
            </w:pPr>
            <w:r w:rsidRPr="00FF71BE">
              <w:rPr>
                <w:b w:val="0"/>
                <w:bCs w:val="0"/>
                <w:color w:val="000000"/>
              </w:rPr>
              <w:t xml:space="preserve">December </w:t>
            </w:r>
            <w:r>
              <w:rPr>
                <w:b w:val="0"/>
                <w:bCs w:val="0"/>
                <w:color w:val="000000"/>
              </w:rPr>
              <w:t>24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C544FDB" w14:textId="68B54882" w:rsidR="00FF71BE" w:rsidRPr="00FF71BE" w:rsidRDefault="00FF71BE" w:rsidP="00FF71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>
              <w:rPr>
                <w:color w:val="000000"/>
              </w:rPr>
              <w:t>January</w:t>
            </w:r>
            <w:r w:rsidRPr="00FF71B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698832A3" w14:textId="77777777" w:rsidR="00FF71BE" w:rsidRPr="0004375B" w:rsidRDefault="00FF71BE" w:rsidP="00FF71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 w:val="0"/>
              </w:rPr>
            </w:pPr>
            <w:r>
              <w:rPr>
                <w:bCs/>
                <w:snapToGrid w:val="0"/>
                <w:sz w:val="22"/>
                <w:szCs w:val="22"/>
              </w:rPr>
              <w:t>$0.125</w:t>
            </w:r>
          </w:p>
        </w:tc>
      </w:tr>
      <w:tr w:rsidR="00406A99" w:rsidRPr="009E6E13" w14:paraId="1BF9A026" w14:textId="77777777" w:rsidTr="008E62D5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B1068D0" w14:textId="77777777" w:rsidR="00406A99" w:rsidRPr="0004375B" w:rsidRDefault="00406A99" w:rsidP="008E62D5">
            <w:pPr>
              <w:spacing w:line="276" w:lineRule="auto"/>
              <w:jc w:val="center"/>
              <w:rPr>
                <w:bCs w:val="0"/>
                <w:snapToGrid w:val="0"/>
              </w:rPr>
            </w:pPr>
          </w:p>
        </w:tc>
        <w:tc>
          <w:tcPr>
            <w:tcW w:w="2430" w:type="dxa"/>
          </w:tcPr>
          <w:p w14:paraId="7F91CD2C" w14:textId="77777777" w:rsidR="00406A99" w:rsidRPr="0004375B" w:rsidRDefault="00406A99" w:rsidP="008E62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 w:val="0"/>
              </w:rPr>
            </w:pPr>
            <w:r w:rsidRPr="0004375B">
              <w:rPr>
                <w:b/>
                <w:bCs/>
                <w:snapToGrid w:val="0"/>
                <w:sz w:val="22"/>
                <w:szCs w:val="22"/>
              </w:rPr>
              <w:t>Total for the Quarter</w:t>
            </w:r>
            <w:r w:rsidRPr="0004375B">
              <w:rPr>
                <w:bCs/>
                <w:snapToGrid w:val="0"/>
                <w:sz w:val="22"/>
                <w:szCs w:val="22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double" w:sz="4" w:space="0" w:color="auto"/>
            </w:tcBorders>
          </w:tcPr>
          <w:p w14:paraId="17791A7B" w14:textId="77777777" w:rsidR="00406A99" w:rsidRPr="009E6E13" w:rsidRDefault="00406A99" w:rsidP="008E62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$0.375</w:t>
            </w:r>
          </w:p>
        </w:tc>
      </w:tr>
    </w:tbl>
    <w:p w14:paraId="5281A5E0" w14:textId="77777777" w:rsidR="00D50BB7" w:rsidRPr="00F87189" w:rsidRDefault="00D50BB7" w:rsidP="00D50BB7">
      <w:pPr>
        <w:pStyle w:val="NormalWeb"/>
        <w:jc w:val="both"/>
        <w:rPr>
          <w:rFonts w:ascii="Times New Roman" w:hAnsi="Times New Roman" w:cs="Times New Roman"/>
        </w:rPr>
      </w:pPr>
      <w:r w:rsidRPr="00F87189">
        <w:rPr>
          <w:rFonts w:ascii="Times New Roman" w:hAnsi="Times New Roman" w:cs="Times New Roman"/>
        </w:rPr>
        <w:t xml:space="preserve">The Company offers a dividend reinvestment plan (the “DRIP”) to its </w:t>
      </w:r>
      <w:r>
        <w:rPr>
          <w:rFonts w:ascii="Times New Roman" w:hAnsi="Times New Roman" w:cs="Times New Roman"/>
        </w:rPr>
        <w:t>common</w:t>
      </w:r>
      <w:r w:rsidRPr="00F87189">
        <w:rPr>
          <w:rFonts w:ascii="Times New Roman" w:hAnsi="Times New Roman" w:cs="Times New Roman"/>
        </w:rPr>
        <w:t xml:space="preserve"> stockholders</w:t>
      </w:r>
      <w:r w:rsidR="00406A99">
        <w:rPr>
          <w:rFonts w:ascii="Times New Roman" w:hAnsi="Times New Roman" w:cs="Times New Roman"/>
        </w:rPr>
        <w:t xml:space="preserve"> and Series F Preferred stockholders</w:t>
      </w:r>
      <w:r w:rsidRPr="00F87189">
        <w:rPr>
          <w:rFonts w:ascii="Times New Roman" w:hAnsi="Times New Roman" w:cs="Times New Roman"/>
        </w:rPr>
        <w:t xml:space="preserve">. For more information regarding the DRIP, please visit </w:t>
      </w:r>
      <w:hyperlink r:id="rId7" w:history="1">
        <w:r w:rsidRPr="00F87189">
          <w:rPr>
            <w:rStyle w:val="Hyperlink"/>
            <w:rFonts w:ascii="Times New Roman" w:hAnsi="Times New Roman"/>
          </w:rPr>
          <w:t>www.gladstonecommercial.com</w:t>
        </w:r>
      </w:hyperlink>
      <w:r w:rsidRPr="00F87189">
        <w:rPr>
          <w:rFonts w:ascii="Times New Roman" w:hAnsi="Times New Roman" w:cs="Times New Roman"/>
        </w:rPr>
        <w:t xml:space="preserve">. </w:t>
      </w:r>
    </w:p>
    <w:p w14:paraId="774A48D7" w14:textId="77777777" w:rsidR="00B86B1C" w:rsidRPr="00F87189" w:rsidRDefault="00B86B1C" w:rsidP="00B86B1C">
      <w:pPr>
        <w:rPr>
          <w:b/>
          <w:spacing w:val="-3"/>
          <w:u w:val="single"/>
        </w:rPr>
      </w:pPr>
      <w:r w:rsidRPr="00F87189">
        <w:rPr>
          <w:b/>
          <w:spacing w:val="-3"/>
          <w:u w:val="single"/>
        </w:rPr>
        <w:t>Earnings Announcement:</w:t>
      </w:r>
    </w:p>
    <w:p w14:paraId="77D95E35" w14:textId="77777777" w:rsidR="00B86B1C" w:rsidRPr="00F87189" w:rsidRDefault="00B86B1C" w:rsidP="00B86B1C">
      <w:pPr>
        <w:rPr>
          <w:spacing w:val="-3"/>
        </w:rPr>
      </w:pPr>
    </w:p>
    <w:p w14:paraId="69000C11" w14:textId="5F9C7E49" w:rsidR="00B86B1C" w:rsidRDefault="00B86B1C" w:rsidP="00B86B1C">
      <w:r w:rsidRPr="00F87189">
        <w:rPr>
          <w:spacing w:val="-3"/>
        </w:rPr>
        <w:lastRenderedPageBreak/>
        <w:t xml:space="preserve">The Company also </w:t>
      </w:r>
      <w:r w:rsidRPr="00F87189">
        <w:t>announced today that it plans to report earnings for the</w:t>
      </w:r>
      <w:r>
        <w:t xml:space="preserve"> </w:t>
      </w:r>
      <w:r w:rsidR="00FF71BE">
        <w:t>third quarter ended September 30, 2020</w:t>
      </w:r>
      <w:r w:rsidRPr="00F87189">
        <w:t xml:space="preserve">, after the stock market closes on </w:t>
      </w:r>
      <w:r w:rsidR="00FF71BE">
        <w:t>Thursday</w:t>
      </w:r>
      <w:r>
        <w:t xml:space="preserve">, </w:t>
      </w:r>
      <w:r w:rsidR="00FF71BE">
        <w:t>November 5</w:t>
      </w:r>
      <w:r w:rsidR="00950F8B">
        <w:t>, 2020</w:t>
      </w:r>
      <w:r w:rsidRPr="00F87189">
        <w:t xml:space="preserve">. </w:t>
      </w:r>
      <w:r w:rsidRPr="00F87189">
        <w:rPr>
          <w:bCs/>
        </w:rPr>
        <w:t>T</w:t>
      </w:r>
      <w:r w:rsidRPr="00F87189">
        <w:t>he Company will hold a conference call</w:t>
      </w:r>
      <w:r w:rsidR="00014AEE">
        <w:rPr>
          <w:rStyle w:val="prnewsspan"/>
        </w:rPr>
        <w:t xml:space="preserve"> </w:t>
      </w:r>
      <w:r w:rsidR="00FF71BE">
        <w:rPr>
          <w:rStyle w:val="prnewsspan"/>
        </w:rPr>
        <w:t>Frida</w:t>
      </w:r>
      <w:r w:rsidR="00014AEE">
        <w:rPr>
          <w:rStyle w:val="prnewsspan"/>
        </w:rPr>
        <w:t>y</w:t>
      </w:r>
      <w:r w:rsidR="00EC4B0A" w:rsidRPr="00DE63E8">
        <w:rPr>
          <w:rStyle w:val="prnewsspan"/>
        </w:rPr>
        <w:t xml:space="preserve">, </w:t>
      </w:r>
      <w:r w:rsidR="00FF71BE">
        <w:rPr>
          <w:rStyle w:val="prnewsspan"/>
        </w:rPr>
        <w:t>November 6</w:t>
      </w:r>
      <w:r w:rsidR="00950F8B">
        <w:rPr>
          <w:rStyle w:val="prnewsspan"/>
        </w:rPr>
        <w:t>, 2020</w:t>
      </w:r>
      <w:r w:rsidR="00EC4B0A" w:rsidRPr="00DE63E8">
        <w:rPr>
          <w:rStyle w:val="prnewsspan"/>
        </w:rPr>
        <w:t xml:space="preserve"> </w:t>
      </w:r>
      <w:r w:rsidRPr="00F87189">
        <w:t>at 8:30 a.m. E</w:t>
      </w:r>
      <w:r w:rsidR="00AF17B6">
        <w:t>S</w:t>
      </w:r>
      <w:r w:rsidRPr="00F87189">
        <w:t>T to discuss its earnings results.  Please cal</w:t>
      </w:r>
      <w:r w:rsidRPr="00896C72">
        <w:t xml:space="preserve">l </w:t>
      </w:r>
      <w:r w:rsidR="002D0ACA" w:rsidRPr="002D0ACA">
        <w:t>(</w:t>
      </w:r>
      <w:r w:rsidR="00FF71BE" w:rsidRPr="00FF71BE">
        <w:t>877</w:t>
      </w:r>
      <w:r w:rsidR="00FF71BE">
        <w:t xml:space="preserve">) </w:t>
      </w:r>
      <w:r w:rsidR="00FF71BE" w:rsidRPr="00FF71BE">
        <w:t>407-9045</w:t>
      </w:r>
      <w:r w:rsidR="00FF71BE">
        <w:t xml:space="preserve"> </w:t>
      </w:r>
      <w:r w:rsidR="00540230">
        <w:t xml:space="preserve">and enter conference number </w:t>
      </w:r>
      <w:r w:rsidR="00FF71BE" w:rsidRPr="00FF71BE">
        <w:t>13711039</w:t>
      </w:r>
      <w:r w:rsidR="00FF71BE">
        <w:t xml:space="preserve"> </w:t>
      </w:r>
      <w:r w:rsidRPr="00F87189">
        <w:t>to enter the conference call.  An operator will monitor the call and set a queue for questions.</w:t>
      </w:r>
    </w:p>
    <w:p w14:paraId="41DBC8E9" w14:textId="77777777" w:rsidR="00B86B1C" w:rsidRPr="00F87189" w:rsidRDefault="00B86B1C" w:rsidP="00B86B1C"/>
    <w:p w14:paraId="27B7593B" w14:textId="27E81AB5" w:rsidR="00B86B1C" w:rsidRPr="00F87189" w:rsidRDefault="00950F8B" w:rsidP="00B86B1C">
      <w:r w:rsidRPr="00E4544B">
        <w:t xml:space="preserve">A conference call replay will be available after the call and will be accessible through </w:t>
      </w:r>
      <w:r w:rsidR="00FF71BE">
        <w:t>November 1</w:t>
      </w:r>
      <w:r w:rsidR="00996359">
        <w:t>3</w:t>
      </w:r>
      <w:r>
        <w:t>, 2020</w:t>
      </w:r>
      <w:r w:rsidRPr="00E4544B">
        <w:t xml:space="preserve">.  To hear the replay, please dial </w:t>
      </w:r>
      <w:r w:rsidR="002D0ACA" w:rsidRPr="002D0ACA">
        <w:t>(</w:t>
      </w:r>
      <w:r w:rsidR="00FF71BE" w:rsidRPr="00FF71BE">
        <w:t>877</w:t>
      </w:r>
      <w:r w:rsidR="00FF71BE">
        <w:t xml:space="preserve">) </w:t>
      </w:r>
      <w:r w:rsidR="00FF71BE" w:rsidRPr="00FF71BE">
        <w:t xml:space="preserve">660-6853 </w:t>
      </w:r>
      <w:r w:rsidRPr="00E4544B">
        <w:t>and</w:t>
      </w:r>
      <w:r>
        <w:t xml:space="preserve"> use playback conference number </w:t>
      </w:r>
      <w:r w:rsidR="00FF71BE" w:rsidRPr="00FF71BE">
        <w:t>13711039</w:t>
      </w:r>
      <w:r w:rsidR="00B86B1C" w:rsidRPr="00B75475">
        <w:t>.</w:t>
      </w:r>
    </w:p>
    <w:p w14:paraId="3FE6E3F5" w14:textId="77777777" w:rsidR="00B86B1C" w:rsidRPr="00F87189" w:rsidRDefault="00B86B1C" w:rsidP="00B86B1C"/>
    <w:p w14:paraId="17C3F856" w14:textId="5017AC7B" w:rsidR="00B86B1C" w:rsidRPr="00F87189" w:rsidRDefault="00B86B1C" w:rsidP="00B86B1C">
      <w:r w:rsidRPr="00F87189">
        <w:t xml:space="preserve">The live audio broadcast of the Company’s conference call will be available online at </w:t>
      </w:r>
      <w:hyperlink r:id="rId8" w:history="1">
        <w:r w:rsidRPr="00F87189">
          <w:rPr>
            <w:rStyle w:val="Hyperlink"/>
          </w:rPr>
          <w:t>www.gladstonecommercial.com</w:t>
        </w:r>
      </w:hyperlink>
      <w:r w:rsidRPr="00F87189">
        <w:t xml:space="preserve">. The event will </w:t>
      </w:r>
      <w:r>
        <w:t xml:space="preserve">also </w:t>
      </w:r>
      <w:r w:rsidRPr="00F87189">
        <w:t xml:space="preserve">be archived and available for replay on the Company’s website. </w:t>
      </w:r>
    </w:p>
    <w:p w14:paraId="541AB5E9" w14:textId="77777777" w:rsidR="00B86B1C" w:rsidRDefault="00B86B1C" w:rsidP="00B86B1C"/>
    <w:p w14:paraId="1FC18E1A" w14:textId="77777777" w:rsidR="00B86B1C" w:rsidRDefault="00B86B1C" w:rsidP="00B86B1C">
      <w:r w:rsidRPr="00F87189">
        <w:t xml:space="preserve">If you have questions prior to or following the earnings release you may e-mail them to </w:t>
      </w:r>
      <w:hyperlink r:id="rId9" w:history="1">
        <w:r w:rsidRPr="00F87189">
          <w:rPr>
            <w:rStyle w:val="Hyperlink"/>
          </w:rPr>
          <w:t>info@gladstonecompanies.com</w:t>
        </w:r>
      </w:hyperlink>
      <w:r w:rsidRPr="00F87189">
        <w:t xml:space="preserve">. </w:t>
      </w:r>
    </w:p>
    <w:p w14:paraId="5F7548D8" w14:textId="77777777" w:rsidR="00B86B1C" w:rsidRPr="00F87189" w:rsidRDefault="00B86B1C" w:rsidP="00B86B1C"/>
    <w:p w14:paraId="317878A9" w14:textId="602D9245" w:rsidR="00B86B1C" w:rsidRPr="00F87189" w:rsidRDefault="00B32DF0" w:rsidP="00B86B1C">
      <w:hyperlink r:id="rId10" w:history="1">
        <w:r w:rsidR="00B86B1C" w:rsidRPr="00F87189">
          <w:rPr>
            <w:rStyle w:val="Hyperlink"/>
          </w:rPr>
          <w:t>Gladstone Commercial Corporation</w:t>
        </w:r>
      </w:hyperlink>
      <w:r w:rsidR="00B86B1C" w:rsidRPr="00F87189">
        <w:t xml:space="preserve"> is a real estate investment trust (“REIT”) </w:t>
      </w:r>
      <w:r w:rsidR="00B86B1C">
        <w:rPr>
          <w:color w:val="000000" w:themeColor="text1"/>
        </w:rPr>
        <w:t>focused on acquiring, owning and operating net leased industrial and office properties across the United States.</w:t>
      </w:r>
      <w:r w:rsidR="00B86B1C" w:rsidRPr="00F87189">
        <w:t xml:space="preserve"> </w:t>
      </w:r>
      <w:r w:rsidR="00FD1B80" w:rsidRPr="00FD1B80">
        <w:rPr>
          <w:rFonts w:cs="Arial"/>
        </w:rPr>
        <w:t xml:space="preserve">As of </w:t>
      </w:r>
      <w:r w:rsidR="00FF71BE">
        <w:rPr>
          <w:rFonts w:cs="Arial"/>
        </w:rPr>
        <w:t>June 30</w:t>
      </w:r>
      <w:r w:rsidR="00FD1B80" w:rsidRPr="00FD1B80">
        <w:rPr>
          <w:rFonts w:cs="Arial"/>
        </w:rPr>
        <w:t>, 2020, Gladstone Commercial’s real estate portfolio consisted of 122 properties located in 28 states, totaling approximately 15.1 million square feet</w:t>
      </w:r>
      <w:r w:rsidR="00B86B1C" w:rsidRPr="00B75475">
        <w:t>.</w:t>
      </w:r>
      <w:r w:rsidR="00B86B1C" w:rsidRPr="00F87189">
        <w:t xml:space="preserve">  Additional information can be found at </w:t>
      </w:r>
      <w:hyperlink r:id="rId11" w:history="1">
        <w:r w:rsidR="00B86B1C" w:rsidRPr="00F87189">
          <w:rPr>
            <w:rStyle w:val="Hyperlink"/>
          </w:rPr>
          <w:t>www.gladstonecompanies.com</w:t>
        </w:r>
      </w:hyperlink>
      <w:r w:rsidR="00B86B1C" w:rsidRPr="00F87189">
        <w:t>.</w:t>
      </w:r>
    </w:p>
    <w:p w14:paraId="75B9BE56" w14:textId="77777777" w:rsidR="00904F39" w:rsidRPr="007F020C" w:rsidRDefault="00904F39" w:rsidP="00904F39">
      <w:pPr>
        <w:rPr>
          <w:sz w:val="22"/>
          <w:szCs w:val="22"/>
        </w:rPr>
      </w:pPr>
    </w:p>
    <w:p w14:paraId="71C7EC5D" w14:textId="77777777" w:rsidR="00904F39" w:rsidRPr="007F020C" w:rsidRDefault="00904F39" w:rsidP="00904F39">
      <w:pPr>
        <w:rPr>
          <w:sz w:val="22"/>
          <w:szCs w:val="22"/>
        </w:rPr>
      </w:pPr>
    </w:p>
    <w:p w14:paraId="1DC3A732" w14:textId="77777777" w:rsidR="002D2AF6" w:rsidRDefault="002D2AF6" w:rsidP="00904F39"/>
    <w:sectPr w:rsidR="002D2AF6" w:rsidSect="002D2AF6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2EB5F" w14:textId="77777777" w:rsidR="0067622A" w:rsidRDefault="0067622A" w:rsidP="00904F39">
      <w:r>
        <w:separator/>
      </w:r>
    </w:p>
  </w:endnote>
  <w:endnote w:type="continuationSeparator" w:id="0">
    <w:p w14:paraId="786E0844" w14:textId="77777777" w:rsidR="0067622A" w:rsidRDefault="0067622A" w:rsidP="0090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1E2EE" w14:textId="77777777" w:rsidR="0067622A" w:rsidRDefault="0067622A" w:rsidP="00904F39">
      <w:r>
        <w:separator/>
      </w:r>
    </w:p>
  </w:footnote>
  <w:footnote w:type="continuationSeparator" w:id="0">
    <w:p w14:paraId="02169C9C" w14:textId="77777777" w:rsidR="0067622A" w:rsidRDefault="0067622A" w:rsidP="00904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DFD38" w14:textId="77777777" w:rsidR="00776578" w:rsidRDefault="00776578">
    <w:pPr>
      <w:pStyle w:val="Header"/>
    </w:pPr>
    <w:r>
      <w:rPr>
        <w:b/>
        <w:bCs/>
        <w:noProof/>
        <w:sz w:val="28"/>
      </w:rPr>
      <w:drawing>
        <wp:inline distT="0" distB="0" distL="0" distR="0" wp14:anchorId="3B3C34FE" wp14:editId="0FC9CDE4">
          <wp:extent cx="5943600" cy="3702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MERCIAL LOGO 201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70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6808B0" w14:textId="77777777" w:rsidR="00542370" w:rsidRPr="002D44FA" w:rsidRDefault="00542370" w:rsidP="002D44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F39"/>
    <w:rsid w:val="00000A2D"/>
    <w:rsid w:val="000128D3"/>
    <w:rsid w:val="00014AEE"/>
    <w:rsid w:val="00021232"/>
    <w:rsid w:val="0003508A"/>
    <w:rsid w:val="00046B91"/>
    <w:rsid w:val="00050C4F"/>
    <w:rsid w:val="00053BE7"/>
    <w:rsid w:val="000546A6"/>
    <w:rsid w:val="00055AE4"/>
    <w:rsid w:val="0006029B"/>
    <w:rsid w:val="00077510"/>
    <w:rsid w:val="000776D3"/>
    <w:rsid w:val="00083BBA"/>
    <w:rsid w:val="000866AC"/>
    <w:rsid w:val="000927E2"/>
    <w:rsid w:val="000B6133"/>
    <w:rsid w:val="000C74EF"/>
    <w:rsid w:val="000D22E1"/>
    <w:rsid w:val="000E5BF1"/>
    <w:rsid w:val="000F0271"/>
    <w:rsid w:val="000F4809"/>
    <w:rsid w:val="000F5281"/>
    <w:rsid w:val="00111AFF"/>
    <w:rsid w:val="00115D24"/>
    <w:rsid w:val="00131F41"/>
    <w:rsid w:val="00140CCF"/>
    <w:rsid w:val="001423B9"/>
    <w:rsid w:val="00145EB3"/>
    <w:rsid w:val="0015702E"/>
    <w:rsid w:val="00157533"/>
    <w:rsid w:val="00182A2D"/>
    <w:rsid w:val="00193464"/>
    <w:rsid w:val="001C0EC1"/>
    <w:rsid w:val="001C1E8D"/>
    <w:rsid w:val="001C2582"/>
    <w:rsid w:val="001C6C1D"/>
    <w:rsid w:val="001E0C45"/>
    <w:rsid w:val="001E4139"/>
    <w:rsid w:val="001E75CA"/>
    <w:rsid w:val="001F795F"/>
    <w:rsid w:val="00201048"/>
    <w:rsid w:val="002124A9"/>
    <w:rsid w:val="00226B96"/>
    <w:rsid w:val="00244981"/>
    <w:rsid w:val="002625F2"/>
    <w:rsid w:val="0028160D"/>
    <w:rsid w:val="00283149"/>
    <w:rsid w:val="00286506"/>
    <w:rsid w:val="002926BA"/>
    <w:rsid w:val="002A0694"/>
    <w:rsid w:val="002D0ACA"/>
    <w:rsid w:val="002D2AF6"/>
    <w:rsid w:val="002D44FA"/>
    <w:rsid w:val="002E0564"/>
    <w:rsid w:val="002E1E3C"/>
    <w:rsid w:val="002E5835"/>
    <w:rsid w:val="00303341"/>
    <w:rsid w:val="0031499C"/>
    <w:rsid w:val="00317B4E"/>
    <w:rsid w:val="0034306A"/>
    <w:rsid w:val="00383BEB"/>
    <w:rsid w:val="00383C5B"/>
    <w:rsid w:val="00383E82"/>
    <w:rsid w:val="00384706"/>
    <w:rsid w:val="0038772A"/>
    <w:rsid w:val="00390870"/>
    <w:rsid w:val="003A4E0F"/>
    <w:rsid w:val="003B4B58"/>
    <w:rsid w:val="003C142B"/>
    <w:rsid w:val="003C5D61"/>
    <w:rsid w:val="003E6E92"/>
    <w:rsid w:val="00406A99"/>
    <w:rsid w:val="00415006"/>
    <w:rsid w:val="00420AB1"/>
    <w:rsid w:val="00446489"/>
    <w:rsid w:val="0045284B"/>
    <w:rsid w:val="00453CEE"/>
    <w:rsid w:val="0045681E"/>
    <w:rsid w:val="0046657B"/>
    <w:rsid w:val="00470438"/>
    <w:rsid w:val="004826A8"/>
    <w:rsid w:val="004870E1"/>
    <w:rsid w:val="00495B36"/>
    <w:rsid w:val="004A016E"/>
    <w:rsid w:val="004A08CD"/>
    <w:rsid w:val="004B2E9D"/>
    <w:rsid w:val="004C04FD"/>
    <w:rsid w:val="004C7391"/>
    <w:rsid w:val="004D4FA7"/>
    <w:rsid w:val="004E37D3"/>
    <w:rsid w:val="004F1C88"/>
    <w:rsid w:val="005027FD"/>
    <w:rsid w:val="00540230"/>
    <w:rsid w:val="00542370"/>
    <w:rsid w:val="0054433D"/>
    <w:rsid w:val="00555C0A"/>
    <w:rsid w:val="00585F34"/>
    <w:rsid w:val="00595896"/>
    <w:rsid w:val="005A0C89"/>
    <w:rsid w:val="005B50EF"/>
    <w:rsid w:val="005D2A88"/>
    <w:rsid w:val="005F5458"/>
    <w:rsid w:val="00604C62"/>
    <w:rsid w:val="00607CBC"/>
    <w:rsid w:val="006438A9"/>
    <w:rsid w:val="00645C16"/>
    <w:rsid w:val="00657B8E"/>
    <w:rsid w:val="00662E29"/>
    <w:rsid w:val="0066404E"/>
    <w:rsid w:val="00671756"/>
    <w:rsid w:val="006749D3"/>
    <w:rsid w:val="00675646"/>
    <w:rsid w:val="0067622A"/>
    <w:rsid w:val="00696C45"/>
    <w:rsid w:val="006B01B3"/>
    <w:rsid w:val="006B6099"/>
    <w:rsid w:val="006C4C29"/>
    <w:rsid w:val="006E7867"/>
    <w:rsid w:val="00720C68"/>
    <w:rsid w:val="00721D63"/>
    <w:rsid w:val="00725F10"/>
    <w:rsid w:val="0074651E"/>
    <w:rsid w:val="00757DDA"/>
    <w:rsid w:val="00760CB3"/>
    <w:rsid w:val="00765F99"/>
    <w:rsid w:val="007664AB"/>
    <w:rsid w:val="00776578"/>
    <w:rsid w:val="0078664E"/>
    <w:rsid w:val="00793381"/>
    <w:rsid w:val="007A1200"/>
    <w:rsid w:val="007A453A"/>
    <w:rsid w:val="007A7A59"/>
    <w:rsid w:val="007B18D5"/>
    <w:rsid w:val="007C3136"/>
    <w:rsid w:val="007F38D0"/>
    <w:rsid w:val="00804883"/>
    <w:rsid w:val="008143F7"/>
    <w:rsid w:val="0085770D"/>
    <w:rsid w:val="0086364A"/>
    <w:rsid w:val="00872D5B"/>
    <w:rsid w:val="008823CA"/>
    <w:rsid w:val="00896C72"/>
    <w:rsid w:val="008A1B63"/>
    <w:rsid w:val="008B2460"/>
    <w:rsid w:val="008B2D8C"/>
    <w:rsid w:val="008B5FB2"/>
    <w:rsid w:val="008D77B5"/>
    <w:rsid w:val="008E011B"/>
    <w:rsid w:val="008E2442"/>
    <w:rsid w:val="008E2D57"/>
    <w:rsid w:val="008E76CD"/>
    <w:rsid w:val="00904F39"/>
    <w:rsid w:val="0090583A"/>
    <w:rsid w:val="009064ED"/>
    <w:rsid w:val="009074DA"/>
    <w:rsid w:val="00917278"/>
    <w:rsid w:val="009362EF"/>
    <w:rsid w:val="0094107A"/>
    <w:rsid w:val="00944C5E"/>
    <w:rsid w:val="00950F8B"/>
    <w:rsid w:val="009612BB"/>
    <w:rsid w:val="009842A6"/>
    <w:rsid w:val="00991E99"/>
    <w:rsid w:val="00996359"/>
    <w:rsid w:val="009A3066"/>
    <w:rsid w:val="009A60C9"/>
    <w:rsid w:val="009A6374"/>
    <w:rsid w:val="009B5D90"/>
    <w:rsid w:val="009B7A5D"/>
    <w:rsid w:val="009C740E"/>
    <w:rsid w:val="009D39B9"/>
    <w:rsid w:val="009E1E70"/>
    <w:rsid w:val="009F6704"/>
    <w:rsid w:val="00A06319"/>
    <w:rsid w:val="00A07C14"/>
    <w:rsid w:val="00A14903"/>
    <w:rsid w:val="00A1765D"/>
    <w:rsid w:val="00A22791"/>
    <w:rsid w:val="00A27ADF"/>
    <w:rsid w:val="00A31490"/>
    <w:rsid w:val="00A431CD"/>
    <w:rsid w:val="00A447E2"/>
    <w:rsid w:val="00A5128B"/>
    <w:rsid w:val="00A70676"/>
    <w:rsid w:val="00AB2D12"/>
    <w:rsid w:val="00AC1EA4"/>
    <w:rsid w:val="00AC5CA3"/>
    <w:rsid w:val="00AC7EC5"/>
    <w:rsid w:val="00AD407D"/>
    <w:rsid w:val="00AF17B6"/>
    <w:rsid w:val="00AF5032"/>
    <w:rsid w:val="00B121C9"/>
    <w:rsid w:val="00B32DF0"/>
    <w:rsid w:val="00B34DE7"/>
    <w:rsid w:val="00B75079"/>
    <w:rsid w:val="00B75475"/>
    <w:rsid w:val="00B86B1C"/>
    <w:rsid w:val="00B9248A"/>
    <w:rsid w:val="00B93F37"/>
    <w:rsid w:val="00BB5D9C"/>
    <w:rsid w:val="00BC22EE"/>
    <w:rsid w:val="00BC3184"/>
    <w:rsid w:val="00BD18CA"/>
    <w:rsid w:val="00BE72E5"/>
    <w:rsid w:val="00BF7429"/>
    <w:rsid w:val="00C156B0"/>
    <w:rsid w:val="00C20D73"/>
    <w:rsid w:val="00C30377"/>
    <w:rsid w:val="00C80531"/>
    <w:rsid w:val="00C83F4E"/>
    <w:rsid w:val="00C91532"/>
    <w:rsid w:val="00C94AAA"/>
    <w:rsid w:val="00CA5359"/>
    <w:rsid w:val="00CB140C"/>
    <w:rsid w:val="00CD2EDD"/>
    <w:rsid w:val="00CE78D5"/>
    <w:rsid w:val="00D1431E"/>
    <w:rsid w:val="00D3085C"/>
    <w:rsid w:val="00D34746"/>
    <w:rsid w:val="00D40572"/>
    <w:rsid w:val="00D42A52"/>
    <w:rsid w:val="00D50BB7"/>
    <w:rsid w:val="00D5476E"/>
    <w:rsid w:val="00D570FD"/>
    <w:rsid w:val="00D6567D"/>
    <w:rsid w:val="00D87F83"/>
    <w:rsid w:val="00DA1CC9"/>
    <w:rsid w:val="00DB79C3"/>
    <w:rsid w:val="00DE2810"/>
    <w:rsid w:val="00DF1DCB"/>
    <w:rsid w:val="00DF2666"/>
    <w:rsid w:val="00DF3C1D"/>
    <w:rsid w:val="00E07041"/>
    <w:rsid w:val="00E14097"/>
    <w:rsid w:val="00E3086E"/>
    <w:rsid w:val="00E32461"/>
    <w:rsid w:val="00E40708"/>
    <w:rsid w:val="00E56F24"/>
    <w:rsid w:val="00E57A8B"/>
    <w:rsid w:val="00E60B6A"/>
    <w:rsid w:val="00E73ED8"/>
    <w:rsid w:val="00E85AFE"/>
    <w:rsid w:val="00E94677"/>
    <w:rsid w:val="00E9590A"/>
    <w:rsid w:val="00EA1F15"/>
    <w:rsid w:val="00EA5950"/>
    <w:rsid w:val="00EB05AD"/>
    <w:rsid w:val="00EC287D"/>
    <w:rsid w:val="00EC4B0A"/>
    <w:rsid w:val="00EC7D8F"/>
    <w:rsid w:val="00ED6630"/>
    <w:rsid w:val="00EF30D3"/>
    <w:rsid w:val="00EF365F"/>
    <w:rsid w:val="00EF3E78"/>
    <w:rsid w:val="00F0465D"/>
    <w:rsid w:val="00F04BF0"/>
    <w:rsid w:val="00F10EA2"/>
    <w:rsid w:val="00F1444D"/>
    <w:rsid w:val="00F265BA"/>
    <w:rsid w:val="00F27A12"/>
    <w:rsid w:val="00F3025A"/>
    <w:rsid w:val="00F33704"/>
    <w:rsid w:val="00F33BDF"/>
    <w:rsid w:val="00F35447"/>
    <w:rsid w:val="00F45889"/>
    <w:rsid w:val="00F8399C"/>
    <w:rsid w:val="00F87189"/>
    <w:rsid w:val="00FA027C"/>
    <w:rsid w:val="00FA1820"/>
    <w:rsid w:val="00FD1B80"/>
    <w:rsid w:val="00FD54F5"/>
    <w:rsid w:val="00FD69E5"/>
    <w:rsid w:val="00FE08FB"/>
    <w:rsid w:val="00FF71BE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7FA592F"/>
  <w15:docId w15:val="{36D7CB4F-7A04-4784-AB79-B9E19625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F3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04F39"/>
  </w:style>
  <w:style w:type="paragraph" w:styleId="Footer">
    <w:name w:val="footer"/>
    <w:basedOn w:val="Normal"/>
    <w:link w:val="FooterChar"/>
    <w:uiPriority w:val="99"/>
    <w:unhideWhenUsed/>
    <w:rsid w:val="00904F3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04F39"/>
  </w:style>
  <w:style w:type="paragraph" w:styleId="BalloonText">
    <w:name w:val="Balloon Text"/>
    <w:basedOn w:val="Normal"/>
    <w:link w:val="BalloonTextChar"/>
    <w:uiPriority w:val="99"/>
    <w:semiHidden/>
    <w:unhideWhenUsed/>
    <w:rsid w:val="00904F39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F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04F39"/>
    <w:rPr>
      <w:color w:val="0000FF"/>
      <w:u w:val="single"/>
    </w:rPr>
  </w:style>
  <w:style w:type="paragraph" w:styleId="NormalWeb">
    <w:name w:val="Normal (Web)"/>
    <w:basedOn w:val="Normal"/>
    <w:uiPriority w:val="99"/>
    <w:rsid w:val="00904F3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llowedHyperlink">
    <w:name w:val="FollowedHyperlink"/>
    <w:basedOn w:val="DefaultParagraphFont"/>
    <w:uiPriority w:val="99"/>
    <w:semiHidden/>
    <w:unhideWhenUsed/>
    <w:rsid w:val="00EC287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3B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B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BE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B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BE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664AB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64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64AB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rsid w:val="003C14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99"/>
    <w:rsid w:val="001E75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prnewsspan">
    <w:name w:val="prnews_span"/>
    <w:basedOn w:val="DefaultParagraphFont"/>
    <w:rsid w:val="00EC4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adstonecommercia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ladstonecommercial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ladstonecommercial.com" TargetMode="External"/><Relationship Id="rId11" Type="http://schemas.openxmlformats.org/officeDocument/2006/relationships/hyperlink" Target="http://www.gladstonecompanies.co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gladstonecommercia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Danielle%20Jones\AppData\Local\Microsoft\Windows\Temporary%20Internet%20Files\Content.Outlook\25P38NBA\info@gladstonecompanies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Gladstone Management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 mclaughlin</dc:creator>
  <cp:lastModifiedBy>Erich Hellmold</cp:lastModifiedBy>
  <cp:revision>7</cp:revision>
  <cp:lastPrinted>2019-10-02T18:27:00Z</cp:lastPrinted>
  <dcterms:created xsi:type="dcterms:W3CDTF">2020-10-05T16:05:00Z</dcterms:created>
  <dcterms:modified xsi:type="dcterms:W3CDTF">2020-10-06T16:51:00Z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gFAAXJDLFUo5N7uXtq44z7N164e0cvpZQQybb/9gJYLC1YVnEU/aJMcVNy99NgNNqc+9ijadynMHQ2lv
UtG/QJkc+bIgTw/Z4SKbiHw9XLTnyH2rDNlNs45ZylmNFJdfxhfa16BojMOIvGNvUtG/QJkc+bIg
Tw/Z4SKbiHw9XLTnyH2rDNlNs45Zyn8VfTHzZjn3PrajB0IRkbx4zhIMQiT75T4i5w/LKoO0s+Zh
Te5aPEZYuHH6RCLs3</vt:lpwstr>
  </property>
  <property fmtid="{D5CDD505-2E9C-101B-9397-08002B2CF9AE}" pid="3" name="MAIL_MSG_ID2">
    <vt:lpwstr>Xuf7ay/555p5GJkyT781BjrzSiLULZ5r+Ytwdo0rtk3cQPM2N+hll/Oy/KW
lQYnG/z+JeHrmJa86+u0ey0X9aJHHT9ia2zbrQ==</vt:lpwstr>
  </property>
  <property fmtid="{D5CDD505-2E9C-101B-9397-08002B2CF9AE}" pid="4" name="RESPONSE_SENDER_NAME">
    <vt:lpwstr>sAAAE9kkUq3pEoJf3zqFXUR7iWe5HYhLJbk78CQQsNsj7VY=</vt:lpwstr>
  </property>
  <property fmtid="{D5CDD505-2E9C-101B-9397-08002B2CF9AE}" pid="5" name="EMAIL_OWNER_ADDRESS">
    <vt:lpwstr>MBAAug5tyHKiyJ+13nrofdlerB0Xf7bRHVjwW6/x+Y73a/fC4nmOLPVokJdtzHzFB65O2Afx6BxdMtU=</vt:lpwstr>
  </property>
</Properties>
</file>