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2B4" w14:textId="5C22F0B1" w:rsidR="006063F7" w:rsidRDefault="006063F7" w:rsidP="006063F7">
      <w:pPr>
        <w:jc w:val="center"/>
        <w:rPr>
          <w:rFonts w:ascii="Times New Roman" w:eastAsia="Times New Roman" w:hAnsi="Times New Roman" w:cs="Times New Roman"/>
          <w:b/>
          <w:sz w:val="24"/>
          <w:szCs w:val="24"/>
        </w:rPr>
      </w:pPr>
      <w:r w:rsidRPr="006063F7">
        <w:rPr>
          <w:rFonts w:ascii="Times New Roman" w:eastAsia="Times New Roman" w:hAnsi="Times New Roman" w:cs="Times New Roman"/>
          <w:b/>
          <w:sz w:val="24"/>
          <w:szCs w:val="24"/>
        </w:rPr>
        <w:t xml:space="preserve">Gladstone Commercial Corporation </w:t>
      </w:r>
      <w:r w:rsidR="00DC57D1">
        <w:rPr>
          <w:rFonts w:ascii="Times New Roman" w:eastAsia="Times New Roman" w:hAnsi="Times New Roman" w:cs="Times New Roman"/>
          <w:b/>
          <w:sz w:val="24"/>
          <w:szCs w:val="24"/>
        </w:rPr>
        <w:t>Announces Sale of Champaign, IL Office Buildings</w:t>
      </w:r>
    </w:p>
    <w:p w14:paraId="336FE805" w14:textId="77777777" w:rsidR="006063F7" w:rsidRDefault="006063F7" w:rsidP="006063F7">
      <w:pPr>
        <w:pBdr>
          <w:bottom w:val="single" w:sz="4" w:space="1" w:color="auto"/>
        </w:pBdr>
        <w:rPr>
          <w:b/>
          <w:bCs/>
        </w:rPr>
      </w:pPr>
    </w:p>
    <w:p w14:paraId="51FBDFB0" w14:textId="24A9156C" w:rsidR="00D16BAB" w:rsidRDefault="006063F7" w:rsidP="006E7518">
      <w:pPr>
        <w:pStyle w:val="ListBullet"/>
        <w:numPr>
          <w:ilvl w:val="0"/>
          <w:numId w:val="0"/>
        </w:numPr>
        <w:contextualSpacing w:val="0"/>
        <w:jc w:val="both"/>
        <w:rPr>
          <w:rFonts w:ascii="Times New Roman" w:hAnsi="Times New Roman" w:cs="Times New Roman"/>
        </w:rPr>
      </w:pPr>
      <w:r w:rsidRPr="00D00691">
        <w:rPr>
          <w:rFonts w:ascii="Times New Roman" w:hAnsi="Times New Roman" w:cs="Times New Roman"/>
        </w:rPr>
        <w:t>MCLEAN, VA</w:t>
      </w:r>
      <w:r w:rsidRPr="00C70D24">
        <w:rPr>
          <w:rFonts w:ascii="Times New Roman" w:hAnsi="Times New Roman" w:cs="Times New Roman"/>
        </w:rPr>
        <w:t xml:space="preserve">, </w:t>
      </w:r>
      <w:r w:rsidR="00C70D24" w:rsidRPr="00393296">
        <w:rPr>
          <w:rFonts w:ascii="Times New Roman" w:hAnsi="Times New Roman" w:cs="Times New Roman"/>
        </w:rPr>
        <w:t>October 29</w:t>
      </w:r>
      <w:r w:rsidR="006D08FB" w:rsidRPr="00C70D24">
        <w:rPr>
          <w:rFonts w:ascii="Times New Roman" w:hAnsi="Times New Roman" w:cs="Times New Roman"/>
        </w:rPr>
        <w:t>,</w:t>
      </w:r>
      <w:r w:rsidR="006D08FB" w:rsidRPr="003A39A4">
        <w:rPr>
          <w:rFonts w:ascii="Times New Roman" w:hAnsi="Times New Roman" w:cs="Times New Roman"/>
        </w:rPr>
        <w:t xml:space="preserve"> 2020</w:t>
      </w:r>
      <w:r w:rsidRPr="003A39A4">
        <w:rPr>
          <w:rFonts w:ascii="Times New Roman" w:hAnsi="Times New Roman" w:cs="Times New Roman"/>
        </w:rPr>
        <w:t xml:space="preserve"> </w:t>
      </w:r>
      <w:r w:rsidRPr="006D08FB">
        <w:rPr>
          <w:rFonts w:ascii="Times New Roman" w:hAnsi="Times New Roman" w:cs="Times New Roman"/>
        </w:rPr>
        <w:t>–</w:t>
      </w:r>
      <w:r w:rsidRPr="00D00691">
        <w:rPr>
          <w:rFonts w:ascii="Times New Roman" w:hAnsi="Times New Roman" w:cs="Times New Roman"/>
        </w:rPr>
        <w:t xml:space="preserve"> </w:t>
      </w:r>
      <w:hyperlink r:id="rId7" w:history="1">
        <w:r w:rsidRPr="00D00691">
          <w:rPr>
            <w:rStyle w:val="Hyperlink"/>
            <w:rFonts w:ascii="Times New Roman" w:hAnsi="Times New Roman" w:cs="Times New Roman"/>
          </w:rPr>
          <w:t>Gladstone Commercial Corporation</w:t>
        </w:r>
      </w:hyperlink>
      <w:r w:rsidR="00D00691" w:rsidRPr="00D00691">
        <w:rPr>
          <w:rFonts w:ascii="Times New Roman" w:hAnsi="Times New Roman" w:cs="Times New Roman"/>
        </w:rPr>
        <w:t xml:space="preserve"> (N</w:t>
      </w:r>
      <w:r w:rsidR="00C16FF2">
        <w:rPr>
          <w:rFonts w:ascii="Times New Roman" w:hAnsi="Times New Roman" w:cs="Times New Roman"/>
        </w:rPr>
        <w:t>asdaq</w:t>
      </w:r>
      <w:r w:rsidR="00D00691" w:rsidRPr="00D00691">
        <w:rPr>
          <w:rFonts w:ascii="Times New Roman" w:hAnsi="Times New Roman" w:cs="Times New Roman"/>
        </w:rPr>
        <w:t xml:space="preserve">: GOOD) (“Gladstone </w:t>
      </w:r>
      <w:r w:rsidRPr="00D00691">
        <w:rPr>
          <w:rFonts w:ascii="Times New Roman" w:hAnsi="Times New Roman" w:cs="Times New Roman"/>
        </w:rPr>
        <w:t>Commercial”) announced today th</w:t>
      </w:r>
      <w:r w:rsidR="00A42015">
        <w:rPr>
          <w:rFonts w:ascii="Times New Roman" w:hAnsi="Times New Roman" w:cs="Times New Roman"/>
        </w:rPr>
        <w:t>e</w:t>
      </w:r>
      <w:r w:rsidR="00451DC0">
        <w:rPr>
          <w:rFonts w:ascii="Times New Roman" w:hAnsi="Times New Roman" w:cs="Times New Roman"/>
        </w:rPr>
        <w:t xml:space="preserve"> </w:t>
      </w:r>
      <w:r w:rsidR="00DC57D1">
        <w:rPr>
          <w:rFonts w:ascii="Times New Roman" w:hAnsi="Times New Roman" w:cs="Times New Roman"/>
        </w:rPr>
        <w:t>s</w:t>
      </w:r>
      <w:r w:rsidR="00A42015">
        <w:rPr>
          <w:rFonts w:ascii="Times New Roman" w:hAnsi="Times New Roman" w:cs="Times New Roman"/>
        </w:rPr>
        <w:t>ale of</w:t>
      </w:r>
      <w:r w:rsidR="00DC57D1">
        <w:rPr>
          <w:rFonts w:ascii="Times New Roman" w:hAnsi="Times New Roman" w:cs="Times New Roman"/>
        </w:rPr>
        <w:t xml:space="preserve"> three</w:t>
      </w:r>
      <w:r w:rsidR="0053088C">
        <w:rPr>
          <w:rFonts w:ascii="Times New Roman" w:hAnsi="Times New Roman" w:cs="Times New Roman"/>
        </w:rPr>
        <w:t xml:space="preserve"> adjacent</w:t>
      </w:r>
      <w:r w:rsidR="00DC57D1">
        <w:rPr>
          <w:rFonts w:ascii="Times New Roman" w:hAnsi="Times New Roman" w:cs="Times New Roman"/>
        </w:rPr>
        <w:t xml:space="preserve"> single-story office buildings</w:t>
      </w:r>
      <w:r w:rsidR="00880106">
        <w:rPr>
          <w:rFonts w:ascii="Times New Roman" w:hAnsi="Times New Roman" w:cs="Times New Roman"/>
        </w:rPr>
        <w:t xml:space="preserve"> </w:t>
      </w:r>
      <w:r w:rsidR="00DC57D1">
        <w:rPr>
          <w:rFonts w:ascii="Times New Roman" w:hAnsi="Times New Roman" w:cs="Times New Roman"/>
        </w:rPr>
        <w:t xml:space="preserve">in Champaign, IL. </w:t>
      </w:r>
      <w:r w:rsidR="00B013EF">
        <w:rPr>
          <w:rFonts w:ascii="Times New Roman" w:hAnsi="Times New Roman" w:cs="Times New Roman"/>
        </w:rPr>
        <w:t xml:space="preserve"> </w:t>
      </w:r>
      <w:r w:rsidR="00880106">
        <w:rPr>
          <w:rFonts w:ascii="Times New Roman" w:hAnsi="Times New Roman" w:cs="Times New Roman"/>
        </w:rPr>
        <w:t xml:space="preserve">The buildings </w:t>
      </w:r>
      <w:r w:rsidR="00E95620">
        <w:rPr>
          <w:rFonts w:ascii="Times New Roman" w:hAnsi="Times New Roman" w:cs="Times New Roman"/>
        </w:rPr>
        <w:t>total</w:t>
      </w:r>
      <w:r w:rsidR="00880106">
        <w:rPr>
          <w:rFonts w:ascii="Times New Roman" w:hAnsi="Times New Roman" w:cs="Times New Roman"/>
        </w:rPr>
        <w:t xml:space="preserve"> 87,862 square feet and </w:t>
      </w:r>
      <w:r w:rsidR="00E95620">
        <w:rPr>
          <w:rFonts w:ascii="Times New Roman" w:hAnsi="Times New Roman" w:cs="Times New Roman"/>
        </w:rPr>
        <w:t xml:space="preserve">are leased </w:t>
      </w:r>
      <w:r w:rsidR="00880106">
        <w:rPr>
          <w:rFonts w:ascii="Times New Roman" w:hAnsi="Times New Roman" w:cs="Times New Roman"/>
        </w:rPr>
        <w:t xml:space="preserve">to a single tenant with approximately four years of lease term remaining. </w:t>
      </w:r>
      <w:r w:rsidR="00D16BAB">
        <w:rPr>
          <w:rFonts w:ascii="Times New Roman" w:hAnsi="Times New Roman" w:cs="Times New Roman"/>
        </w:rPr>
        <w:t xml:space="preserve"> Gladstone </w:t>
      </w:r>
      <w:r w:rsidR="008E33CF">
        <w:rPr>
          <w:rFonts w:ascii="Times New Roman" w:hAnsi="Times New Roman" w:cs="Times New Roman"/>
        </w:rPr>
        <w:t xml:space="preserve">Commercial </w:t>
      </w:r>
      <w:r w:rsidR="00D16BAB">
        <w:rPr>
          <w:rFonts w:ascii="Times New Roman" w:hAnsi="Times New Roman" w:cs="Times New Roman"/>
        </w:rPr>
        <w:t xml:space="preserve">purchased the properties in 2006 and had executed multiple lease renewals with </w:t>
      </w:r>
      <w:r w:rsidR="00E95620">
        <w:rPr>
          <w:rFonts w:ascii="Times New Roman" w:hAnsi="Times New Roman" w:cs="Times New Roman"/>
        </w:rPr>
        <w:t>the</w:t>
      </w:r>
      <w:r w:rsidR="00D16BAB">
        <w:rPr>
          <w:rFonts w:ascii="Times New Roman" w:hAnsi="Times New Roman" w:cs="Times New Roman"/>
        </w:rPr>
        <w:t xml:space="preserve"> tenant.</w:t>
      </w:r>
    </w:p>
    <w:p w14:paraId="6724DF7B" w14:textId="2FBBD96E" w:rsidR="00702299" w:rsidRDefault="00D16BAB" w:rsidP="006E7518">
      <w:pPr>
        <w:pStyle w:val="ListBullet"/>
        <w:numPr>
          <w:ilvl w:val="0"/>
          <w:numId w:val="0"/>
        </w:numPr>
        <w:jc w:val="both"/>
        <w:rPr>
          <w:rFonts w:ascii="Times New Roman" w:hAnsi="Times New Roman" w:cs="Times New Roman"/>
        </w:rPr>
      </w:pPr>
      <w:r>
        <w:rPr>
          <w:rFonts w:ascii="Times New Roman" w:hAnsi="Times New Roman" w:cs="Times New Roman"/>
        </w:rPr>
        <w:t xml:space="preserve">Gladstone </w:t>
      </w:r>
      <w:r w:rsidR="008E33CF">
        <w:rPr>
          <w:rFonts w:ascii="Times New Roman" w:hAnsi="Times New Roman" w:cs="Times New Roman"/>
        </w:rPr>
        <w:t xml:space="preserve">Commercial </w:t>
      </w:r>
      <w:r>
        <w:rPr>
          <w:rFonts w:ascii="Times New Roman" w:hAnsi="Times New Roman" w:cs="Times New Roman"/>
        </w:rPr>
        <w:t xml:space="preserve">realized net proceeds after expenses of </w:t>
      </w:r>
      <w:r w:rsidR="008002DA">
        <w:rPr>
          <w:rFonts w:ascii="Times New Roman" w:hAnsi="Times New Roman" w:cs="Times New Roman"/>
        </w:rPr>
        <w:t xml:space="preserve">approximately </w:t>
      </w:r>
      <w:r w:rsidRPr="008002DA">
        <w:rPr>
          <w:rFonts w:ascii="Times New Roman" w:hAnsi="Times New Roman" w:cs="Times New Roman"/>
        </w:rPr>
        <w:t>$</w:t>
      </w:r>
      <w:r w:rsidR="008002DA">
        <w:rPr>
          <w:rFonts w:ascii="Times New Roman" w:hAnsi="Times New Roman" w:cs="Times New Roman"/>
        </w:rPr>
        <w:t>13.2</w:t>
      </w:r>
      <w:r>
        <w:rPr>
          <w:rFonts w:ascii="Times New Roman" w:hAnsi="Times New Roman" w:cs="Times New Roman"/>
        </w:rPr>
        <w:t xml:space="preserve"> million and a gain of approximately </w:t>
      </w:r>
      <w:r w:rsidRPr="008002DA">
        <w:rPr>
          <w:rFonts w:ascii="Times New Roman" w:hAnsi="Times New Roman" w:cs="Times New Roman"/>
        </w:rPr>
        <w:t>$</w:t>
      </w:r>
      <w:r w:rsidR="008002DA">
        <w:rPr>
          <w:rFonts w:ascii="Times New Roman" w:hAnsi="Times New Roman" w:cs="Times New Roman"/>
        </w:rPr>
        <w:t>4.1</w:t>
      </w:r>
      <w:r>
        <w:rPr>
          <w:rFonts w:ascii="Times New Roman" w:hAnsi="Times New Roman" w:cs="Times New Roman"/>
        </w:rPr>
        <w:t xml:space="preserve"> million </w:t>
      </w:r>
      <w:r w:rsidR="008E33CF">
        <w:rPr>
          <w:rFonts w:ascii="Times New Roman" w:hAnsi="Times New Roman" w:cs="Times New Roman"/>
        </w:rPr>
        <w:t>upon the</w:t>
      </w:r>
      <w:r>
        <w:rPr>
          <w:rFonts w:ascii="Times New Roman" w:hAnsi="Times New Roman" w:cs="Times New Roman"/>
        </w:rPr>
        <w:t xml:space="preserve"> sale.  </w:t>
      </w:r>
      <w:r w:rsidR="00C70D24">
        <w:rPr>
          <w:rFonts w:ascii="Times New Roman" w:hAnsi="Times New Roman" w:cs="Times New Roman"/>
        </w:rPr>
        <w:t xml:space="preserve">Gladstone Commercial </w:t>
      </w:r>
      <w:r>
        <w:rPr>
          <w:rFonts w:ascii="Times New Roman" w:hAnsi="Times New Roman" w:cs="Times New Roman"/>
        </w:rPr>
        <w:t xml:space="preserve">owned the assets for approximately 14 years and realized a leveraged internal rate of return of approximately </w:t>
      </w:r>
      <w:r w:rsidR="008002DA">
        <w:rPr>
          <w:rFonts w:ascii="Times New Roman" w:hAnsi="Times New Roman" w:cs="Times New Roman"/>
        </w:rPr>
        <w:t>13.</w:t>
      </w:r>
      <w:r w:rsidR="0012309B">
        <w:rPr>
          <w:rFonts w:ascii="Times New Roman" w:hAnsi="Times New Roman" w:cs="Times New Roman"/>
        </w:rPr>
        <w:t>3</w:t>
      </w:r>
      <w:r w:rsidRPr="008002DA">
        <w:rPr>
          <w:rFonts w:ascii="Times New Roman" w:hAnsi="Times New Roman" w:cs="Times New Roman"/>
        </w:rPr>
        <w:t>%</w:t>
      </w:r>
      <w:r>
        <w:rPr>
          <w:rFonts w:ascii="Times New Roman" w:hAnsi="Times New Roman" w:cs="Times New Roman"/>
        </w:rPr>
        <w:t xml:space="preserve"> on its investment.</w:t>
      </w:r>
    </w:p>
    <w:p w14:paraId="32C0C2F4" w14:textId="19FAD643" w:rsidR="00A77A09" w:rsidRDefault="00C16FF2" w:rsidP="006E7518">
      <w:pPr>
        <w:jc w:val="both"/>
        <w:rPr>
          <w:rFonts w:ascii="Times New Roman" w:hAnsi="Times New Roman" w:cs="Times New Roman"/>
        </w:rPr>
      </w:pPr>
      <w:r>
        <w:rPr>
          <w:rFonts w:ascii="Times New Roman" w:hAnsi="Times New Roman" w:cs="Times New Roman"/>
        </w:rPr>
        <w:t>“</w:t>
      </w:r>
      <w:r w:rsidR="00880106">
        <w:rPr>
          <w:rFonts w:ascii="Times New Roman" w:hAnsi="Times New Roman" w:cs="Times New Roman"/>
        </w:rPr>
        <w:t xml:space="preserve">The transaction </w:t>
      </w:r>
      <w:r w:rsidR="00D16BAB">
        <w:rPr>
          <w:rFonts w:ascii="Times New Roman" w:hAnsi="Times New Roman" w:cs="Times New Roman"/>
        </w:rPr>
        <w:t xml:space="preserve">is consistent with our strategy of </w:t>
      </w:r>
      <w:r w:rsidR="00C5025E">
        <w:rPr>
          <w:rFonts w:ascii="Times New Roman" w:hAnsi="Times New Roman" w:cs="Times New Roman"/>
        </w:rPr>
        <w:t xml:space="preserve">exiting tertiary markets and reducing </w:t>
      </w:r>
      <w:r w:rsidR="0012309B">
        <w:rPr>
          <w:rFonts w:ascii="Times New Roman" w:hAnsi="Times New Roman" w:cs="Times New Roman"/>
        </w:rPr>
        <w:t xml:space="preserve">our overall </w:t>
      </w:r>
      <w:r w:rsidR="00C5025E">
        <w:rPr>
          <w:rFonts w:ascii="Times New Roman" w:hAnsi="Times New Roman" w:cs="Times New Roman"/>
        </w:rPr>
        <w:t>concentration in office properties</w:t>
      </w:r>
      <w:r w:rsidR="00451DC0">
        <w:rPr>
          <w:rFonts w:ascii="Times New Roman" w:hAnsi="Times New Roman" w:cs="Times New Roman"/>
        </w:rPr>
        <w:t xml:space="preserve">,” </w:t>
      </w:r>
      <w:r w:rsidR="00A77A09" w:rsidRPr="00A77A09">
        <w:rPr>
          <w:rFonts w:ascii="Times New Roman" w:hAnsi="Times New Roman" w:cs="Times New Roman"/>
        </w:rPr>
        <w:t>stated</w:t>
      </w:r>
      <w:r w:rsidR="004D60BD">
        <w:rPr>
          <w:rFonts w:ascii="Times New Roman" w:hAnsi="Times New Roman" w:cs="Times New Roman"/>
        </w:rPr>
        <w:t xml:space="preserve"> </w:t>
      </w:r>
      <w:r w:rsidR="00C75517">
        <w:rPr>
          <w:rFonts w:ascii="Times New Roman" w:hAnsi="Times New Roman" w:cs="Times New Roman"/>
        </w:rPr>
        <w:t>Matt Tucker</w:t>
      </w:r>
      <w:r w:rsidR="009A08A8">
        <w:rPr>
          <w:rFonts w:ascii="Times New Roman" w:hAnsi="Times New Roman" w:cs="Times New Roman"/>
        </w:rPr>
        <w:t xml:space="preserve">, </w:t>
      </w:r>
      <w:r w:rsidR="00C5025E">
        <w:rPr>
          <w:rFonts w:ascii="Times New Roman" w:hAnsi="Times New Roman" w:cs="Times New Roman"/>
        </w:rPr>
        <w:t xml:space="preserve">Executive Vice President </w:t>
      </w:r>
      <w:r w:rsidR="004D60BD">
        <w:rPr>
          <w:rFonts w:ascii="Times New Roman" w:hAnsi="Times New Roman" w:cs="Times New Roman"/>
        </w:rPr>
        <w:t xml:space="preserve">and </w:t>
      </w:r>
      <w:r w:rsidR="00393296">
        <w:rPr>
          <w:rFonts w:ascii="Times New Roman" w:hAnsi="Times New Roman" w:cs="Times New Roman"/>
        </w:rPr>
        <w:t>H</w:t>
      </w:r>
      <w:r w:rsidR="004D60BD">
        <w:rPr>
          <w:rFonts w:ascii="Times New Roman" w:hAnsi="Times New Roman" w:cs="Times New Roman"/>
        </w:rPr>
        <w:t xml:space="preserve">ead of the Northeast and Midwest Regions for </w:t>
      </w:r>
      <w:r w:rsidR="00A77A09" w:rsidRPr="00A77A09">
        <w:rPr>
          <w:rFonts w:ascii="Times New Roman" w:hAnsi="Times New Roman" w:cs="Times New Roman"/>
        </w:rPr>
        <w:t>Gladstone Commercial</w:t>
      </w:r>
      <w:r w:rsidR="00EA5876">
        <w:rPr>
          <w:rFonts w:ascii="Times New Roman" w:hAnsi="Times New Roman" w:cs="Times New Roman"/>
        </w:rPr>
        <w:t>.</w:t>
      </w:r>
      <w:r w:rsidR="00A77A09" w:rsidRPr="00A77A09">
        <w:rPr>
          <w:rFonts w:ascii="Times New Roman" w:hAnsi="Times New Roman" w:cs="Times New Roman"/>
        </w:rPr>
        <w:t xml:space="preserve"> </w:t>
      </w:r>
      <w:r>
        <w:rPr>
          <w:rFonts w:ascii="Times New Roman" w:hAnsi="Times New Roman" w:cs="Times New Roman"/>
        </w:rPr>
        <w:t>“</w:t>
      </w:r>
      <w:r w:rsidR="0053088C">
        <w:rPr>
          <w:rFonts w:ascii="Times New Roman" w:hAnsi="Times New Roman" w:cs="Times New Roman"/>
        </w:rPr>
        <w:t>We were able to successfully exit the buildings at a substantial gain</w:t>
      </w:r>
      <w:r w:rsidR="00E95620">
        <w:rPr>
          <w:rFonts w:ascii="Times New Roman" w:hAnsi="Times New Roman" w:cs="Times New Roman"/>
        </w:rPr>
        <w:t xml:space="preserve"> while realizing strong returns over the life of the investment.  This sale provides us the opportunity to </w:t>
      </w:r>
      <w:r w:rsidR="0053088C">
        <w:rPr>
          <w:rFonts w:ascii="Times New Roman" w:hAnsi="Times New Roman" w:cs="Times New Roman"/>
        </w:rPr>
        <w:t>re-deploy the proceeds into industrial product in target markets</w:t>
      </w:r>
      <w:r w:rsidR="00B7427C">
        <w:rPr>
          <w:rFonts w:ascii="Times New Roman" w:hAnsi="Times New Roman" w:cs="Times New Roman"/>
        </w:rPr>
        <w:t>.</w:t>
      </w:r>
      <w:r w:rsidR="00451DC0">
        <w:rPr>
          <w:rFonts w:ascii="Times New Roman" w:hAnsi="Times New Roman" w:cs="Times New Roman"/>
        </w:rPr>
        <w:t>”</w:t>
      </w:r>
    </w:p>
    <w:p w14:paraId="3502BB27" w14:textId="0AFA6115" w:rsidR="003F1842" w:rsidRDefault="003F1842" w:rsidP="006063F7">
      <w:pPr>
        <w:rPr>
          <w:rFonts w:ascii="Times New Roman" w:hAnsi="Times New Roman" w:cs="Times New Roman"/>
          <w:b/>
        </w:rPr>
      </w:pPr>
      <w:r>
        <w:rPr>
          <w:rFonts w:ascii="Times New Roman" w:hAnsi="Times New Roman" w:cs="Times New Roman"/>
          <w:b/>
        </w:rPr>
        <w:t>About Gladstone Commercial Corporation (N</w:t>
      </w:r>
      <w:r w:rsidR="00C16FF2">
        <w:rPr>
          <w:rFonts w:ascii="Times New Roman" w:hAnsi="Times New Roman" w:cs="Times New Roman"/>
          <w:b/>
        </w:rPr>
        <w:t>asdaq</w:t>
      </w:r>
      <w:r>
        <w:rPr>
          <w:rFonts w:ascii="Times New Roman" w:hAnsi="Times New Roman" w:cs="Times New Roman"/>
          <w:b/>
        </w:rPr>
        <w:t>: GOOD)</w:t>
      </w:r>
    </w:p>
    <w:p w14:paraId="44D2A940" w14:textId="038A2EF7" w:rsidR="003F1842" w:rsidRDefault="003F1842" w:rsidP="00277CDC">
      <w:pPr>
        <w:jc w:val="both"/>
        <w:rPr>
          <w:rFonts w:ascii="Times New Roman" w:hAnsi="Times New Roman" w:cs="Times New Roman"/>
        </w:rPr>
      </w:pPr>
      <w:r w:rsidRPr="003F1842">
        <w:rPr>
          <w:rFonts w:ascii="Times New Roman" w:hAnsi="Times New Roman" w:cs="Times New Roman"/>
        </w:rPr>
        <w:t xml:space="preserve">Gladstone Commercial is a real estate investment trust focused on acquiring, owning and operating net leased industrial and office properties across the United States. </w:t>
      </w:r>
      <w:r w:rsidR="00FB525F">
        <w:rPr>
          <w:rFonts w:ascii="Times New Roman" w:hAnsi="Times New Roman" w:cs="Times New Roman"/>
        </w:rPr>
        <w:t xml:space="preserve">As of </w:t>
      </w:r>
      <w:r w:rsidR="00DC3AF5">
        <w:rPr>
          <w:rFonts w:ascii="Times New Roman" w:hAnsi="Times New Roman" w:cs="Times New Roman"/>
        </w:rPr>
        <w:t>June 30</w:t>
      </w:r>
      <w:r w:rsidR="00FB525F">
        <w:rPr>
          <w:rFonts w:ascii="Times New Roman" w:hAnsi="Times New Roman" w:cs="Times New Roman"/>
        </w:rPr>
        <w:t>, 20</w:t>
      </w:r>
      <w:r w:rsidR="006C6C8F">
        <w:rPr>
          <w:rFonts w:ascii="Times New Roman" w:hAnsi="Times New Roman" w:cs="Times New Roman"/>
        </w:rPr>
        <w:t>20</w:t>
      </w:r>
      <w:r w:rsidR="00FB525F">
        <w:rPr>
          <w:rFonts w:ascii="Times New Roman" w:hAnsi="Times New Roman" w:cs="Times New Roman"/>
        </w:rPr>
        <w:t xml:space="preserve">, </w:t>
      </w:r>
      <w:r w:rsidRPr="003F1842">
        <w:rPr>
          <w:rFonts w:ascii="Times New Roman" w:hAnsi="Times New Roman" w:cs="Times New Roman"/>
        </w:rPr>
        <w:t>Gladstone Commercial’s rea</w:t>
      </w:r>
      <w:r w:rsidR="000952BB">
        <w:rPr>
          <w:rFonts w:ascii="Times New Roman" w:hAnsi="Times New Roman" w:cs="Times New Roman"/>
        </w:rPr>
        <w:t>l estate portfolio consist</w:t>
      </w:r>
      <w:r w:rsidR="00FB525F">
        <w:rPr>
          <w:rFonts w:ascii="Times New Roman" w:hAnsi="Times New Roman" w:cs="Times New Roman"/>
        </w:rPr>
        <w:t>ed</w:t>
      </w:r>
      <w:r w:rsidR="000952BB">
        <w:rPr>
          <w:rFonts w:ascii="Times New Roman" w:hAnsi="Times New Roman" w:cs="Times New Roman"/>
        </w:rPr>
        <w:t xml:space="preserve"> of 1</w:t>
      </w:r>
      <w:r w:rsidR="006C6C8F">
        <w:rPr>
          <w:rFonts w:ascii="Times New Roman" w:hAnsi="Times New Roman" w:cs="Times New Roman"/>
        </w:rPr>
        <w:t>22</w:t>
      </w:r>
      <w:r w:rsidRPr="003F1842">
        <w:rPr>
          <w:rFonts w:ascii="Times New Roman" w:hAnsi="Times New Roman" w:cs="Times New Roman"/>
        </w:rPr>
        <w:t xml:space="preserve"> properties located in 2</w:t>
      </w:r>
      <w:r w:rsidR="00FB525F">
        <w:rPr>
          <w:rFonts w:ascii="Times New Roman" w:hAnsi="Times New Roman" w:cs="Times New Roman"/>
        </w:rPr>
        <w:t>8</w:t>
      </w:r>
      <w:r w:rsidRPr="003F1842">
        <w:rPr>
          <w:rFonts w:ascii="Times New Roman" w:hAnsi="Times New Roman" w:cs="Times New Roman"/>
        </w:rPr>
        <w:t xml:space="preserve"> states, totaling approximately </w:t>
      </w:r>
      <w:r w:rsidR="000952BB">
        <w:rPr>
          <w:rFonts w:ascii="Times New Roman" w:hAnsi="Times New Roman" w:cs="Times New Roman"/>
        </w:rPr>
        <w:t>1</w:t>
      </w:r>
      <w:r w:rsidR="006C6C8F">
        <w:rPr>
          <w:rFonts w:ascii="Times New Roman" w:hAnsi="Times New Roman" w:cs="Times New Roman"/>
        </w:rPr>
        <w:t>5</w:t>
      </w:r>
      <w:r w:rsidR="000952BB">
        <w:rPr>
          <w:rFonts w:ascii="Times New Roman" w:hAnsi="Times New Roman" w:cs="Times New Roman"/>
        </w:rPr>
        <w:t>.</w:t>
      </w:r>
      <w:r w:rsidR="006C6C8F">
        <w:rPr>
          <w:rFonts w:ascii="Times New Roman" w:hAnsi="Times New Roman" w:cs="Times New Roman"/>
        </w:rPr>
        <w:t>1</w:t>
      </w:r>
      <w:r w:rsidRPr="003F1842">
        <w:rPr>
          <w:rFonts w:ascii="Times New Roman" w:hAnsi="Times New Roman" w:cs="Times New Roman"/>
        </w:rPr>
        <w:t xml:space="preserve"> million square fee</w:t>
      </w:r>
      <w:r w:rsidR="00FB525F">
        <w:rPr>
          <w:rFonts w:ascii="Times New Roman" w:hAnsi="Times New Roman" w:cs="Times New Roman"/>
        </w:rPr>
        <w:t>t</w:t>
      </w:r>
      <w:r w:rsidRPr="003F1842">
        <w:rPr>
          <w:rFonts w:ascii="Times New Roman" w:hAnsi="Times New Roman" w:cs="Times New Roman"/>
        </w:rPr>
        <w:t xml:space="preserve">. For additional information please visit </w:t>
      </w:r>
      <w:hyperlink r:id="rId8" w:history="1">
        <w:r w:rsidRPr="003F1842">
          <w:rPr>
            <w:rStyle w:val="Hyperlink"/>
            <w:rFonts w:ascii="Times New Roman" w:hAnsi="Times New Roman" w:cs="Times New Roman"/>
          </w:rPr>
          <w:t>www.gladstonecommercial.com</w:t>
        </w:r>
      </w:hyperlink>
    </w:p>
    <w:p w14:paraId="60B3CD2C" w14:textId="77777777" w:rsidR="003F1842" w:rsidRPr="003F1842" w:rsidRDefault="003F1842" w:rsidP="003F1842">
      <w:pPr>
        <w:spacing w:after="0" w:line="240" w:lineRule="auto"/>
        <w:rPr>
          <w:rFonts w:ascii="Times New Roman" w:eastAsia="Times New Roman" w:hAnsi="Times New Roman" w:cs="Times New Roman"/>
          <w:b/>
          <w:sz w:val="24"/>
          <w:szCs w:val="24"/>
        </w:rPr>
      </w:pPr>
      <w:r w:rsidRPr="003F1842">
        <w:rPr>
          <w:rFonts w:ascii="Times New Roman" w:eastAsia="Times New Roman" w:hAnsi="Times New Roman" w:cs="Times New Roman"/>
          <w:b/>
          <w:sz w:val="24"/>
          <w:szCs w:val="24"/>
        </w:rPr>
        <w:t>For Broker Submittals:</w:t>
      </w:r>
    </w:p>
    <w:p w14:paraId="6CD2F16A" w14:textId="77777777" w:rsidR="003F1842" w:rsidRPr="003F1842" w:rsidRDefault="003F1842" w:rsidP="003F1842">
      <w:pPr>
        <w:spacing w:after="0" w:line="240" w:lineRule="auto"/>
        <w:rPr>
          <w:rFonts w:ascii="Times New Roman" w:eastAsia="Times New Roman" w:hAnsi="Times New Roman" w:cs="Times New Roman"/>
          <w:sz w:val="1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630"/>
      </w:tblGrid>
      <w:tr w:rsidR="00D16BAB" w:rsidRPr="003F1842" w14:paraId="4FEAFB61" w14:textId="77777777" w:rsidTr="00D16BAB">
        <w:tc>
          <w:tcPr>
            <w:tcW w:w="4730" w:type="dxa"/>
          </w:tcPr>
          <w:p w14:paraId="738466F1" w14:textId="77777777" w:rsidR="00D16BAB" w:rsidRPr="003F1842" w:rsidRDefault="00D16BAB" w:rsidP="00D16BAB">
            <w:pPr>
              <w:rPr>
                <w:b/>
                <w:i/>
                <w:sz w:val="24"/>
                <w:szCs w:val="24"/>
              </w:rPr>
            </w:pPr>
            <w:r w:rsidRPr="003F1842">
              <w:rPr>
                <w:b/>
                <w:i/>
                <w:sz w:val="24"/>
                <w:szCs w:val="24"/>
              </w:rPr>
              <w:t>South/</w:t>
            </w:r>
            <w:r>
              <w:rPr>
                <w:b/>
                <w:i/>
                <w:sz w:val="24"/>
                <w:szCs w:val="24"/>
              </w:rPr>
              <w:t>Central</w:t>
            </w:r>
            <w:r w:rsidRPr="003F1842">
              <w:rPr>
                <w:b/>
                <w:i/>
                <w:sz w:val="24"/>
                <w:szCs w:val="24"/>
              </w:rPr>
              <w:t>:</w:t>
            </w:r>
          </w:p>
        </w:tc>
        <w:tc>
          <w:tcPr>
            <w:tcW w:w="4630" w:type="dxa"/>
          </w:tcPr>
          <w:p w14:paraId="396E1A12" w14:textId="4ABCDF42" w:rsidR="00D16BAB" w:rsidRPr="003F1842" w:rsidRDefault="00D16BAB" w:rsidP="00D16BAB">
            <w:pPr>
              <w:rPr>
                <w:b/>
                <w:i/>
                <w:sz w:val="24"/>
                <w:szCs w:val="24"/>
              </w:rPr>
            </w:pPr>
            <w:r w:rsidRPr="003F1842">
              <w:rPr>
                <w:b/>
                <w:i/>
                <w:sz w:val="24"/>
                <w:szCs w:val="24"/>
              </w:rPr>
              <w:t>Midwest/Northeast:</w:t>
            </w:r>
          </w:p>
        </w:tc>
      </w:tr>
      <w:tr w:rsidR="00D16BAB" w:rsidRPr="003F1842" w14:paraId="2E867363" w14:textId="77777777" w:rsidTr="00D16BAB">
        <w:tc>
          <w:tcPr>
            <w:tcW w:w="4730" w:type="dxa"/>
          </w:tcPr>
          <w:p w14:paraId="04BAA616" w14:textId="77777777" w:rsidR="00D16BAB" w:rsidRPr="003F1842" w:rsidRDefault="00D16BAB" w:rsidP="00D16BAB">
            <w:pPr>
              <w:rPr>
                <w:b/>
                <w:sz w:val="24"/>
                <w:szCs w:val="24"/>
              </w:rPr>
            </w:pPr>
            <w:r w:rsidRPr="003F1842">
              <w:rPr>
                <w:b/>
                <w:sz w:val="24"/>
                <w:szCs w:val="24"/>
              </w:rPr>
              <w:t xml:space="preserve">Buzz Cooper </w:t>
            </w:r>
          </w:p>
        </w:tc>
        <w:tc>
          <w:tcPr>
            <w:tcW w:w="4630" w:type="dxa"/>
          </w:tcPr>
          <w:p w14:paraId="07825869" w14:textId="5439AEC6" w:rsidR="00D16BAB" w:rsidRPr="003F1842" w:rsidRDefault="00D16BAB" w:rsidP="00D16BAB">
            <w:pPr>
              <w:rPr>
                <w:b/>
                <w:sz w:val="24"/>
                <w:szCs w:val="24"/>
              </w:rPr>
            </w:pPr>
            <w:r w:rsidRPr="003F1842">
              <w:rPr>
                <w:b/>
                <w:sz w:val="24"/>
                <w:szCs w:val="24"/>
              </w:rPr>
              <w:t>Matt Tucker</w:t>
            </w:r>
          </w:p>
        </w:tc>
      </w:tr>
      <w:tr w:rsidR="00D16BAB" w:rsidRPr="003F1842" w14:paraId="219BA9B1" w14:textId="77777777" w:rsidTr="00D16BAB">
        <w:tc>
          <w:tcPr>
            <w:tcW w:w="4730" w:type="dxa"/>
          </w:tcPr>
          <w:p w14:paraId="77055C20" w14:textId="647E89BF" w:rsidR="00D16BAB" w:rsidRPr="003F1842" w:rsidRDefault="00D16BAB" w:rsidP="00D16BAB">
            <w:pPr>
              <w:rPr>
                <w:sz w:val="24"/>
                <w:szCs w:val="24"/>
              </w:rPr>
            </w:pPr>
            <w:r>
              <w:rPr>
                <w:sz w:val="24"/>
                <w:szCs w:val="24"/>
              </w:rPr>
              <w:t>Executive Vice President</w:t>
            </w:r>
          </w:p>
        </w:tc>
        <w:tc>
          <w:tcPr>
            <w:tcW w:w="4630" w:type="dxa"/>
          </w:tcPr>
          <w:p w14:paraId="23AC3C8D" w14:textId="4606DA2F" w:rsidR="00D16BAB" w:rsidRPr="003F1842" w:rsidRDefault="00D16BAB" w:rsidP="00D16BAB">
            <w:pPr>
              <w:rPr>
                <w:sz w:val="24"/>
                <w:szCs w:val="24"/>
              </w:rPr>
            </w:pPr>
            <w:r>
              <w:rPr>
                <w:sz w:val="24"/>
                <w:szCs w:val="24"/>
              </w:rPr>
              <w:t>Executive Vice President</w:t>
            </w:r>
          </w:p>
        </w:tc>
      </w:tr>
      <w:tr w:rsidR="00D16BAB" w:rsidRPr="003F1842" w14:paraId="7711CF80" w14:textId="77777777" w:rsidTr="00D16BAB">
        <w:tc>
          <w:tcPr>
            <w:tcW w:w="4730" w:type="dxa"/>
          </w:tcPr>
          <w:p w14:paraId="6BC9B52D" w14:textId="77777777" w:rsidR="00D16BAB" w:rsidRPr="003F1842" w:rsidRDefault="00D16BAB" w:rsidP="00D16BAB">
            <w:pPr>
              <w:rPr>
                <w:sz w:val="24"/>
                <w:szCs w:val="24"/>
              </w:rPr>
            </w:pPr>
            <w:r w:rsidRPr="003F1842">
              <w:rPr>
                <w:sz w:val="24"/>
                <w:szCs w:val="24"/>
              </w:rPr>
              <w:t xml:space="preserve">(703) 287-5815 </w:t>
            </w:r>
          </w:p>
        </w:tc>
        <w:tc>
          <w:tcPr>
            <w:tcW w:w="4630" w:type="dxa"/>
          </w:tcPr>
          <w:p w14:paraId="3438834C" w14:textId="5ECF066E" w:rsidR="00D16BAB" w:rsidRPr="003F1842" w:rsidRDefault="00D16BAB" w:rsidP="00D16BAB">
            <w:pPr>
              <w:rPr>
                <w:sz w:val="24"/>
                <w:szCs w:val="24"/>
              </w:rPr>
            </w:pPr>
            <w:r w:rsidRPr="003F1842">
              <w:rPr>
                <w:sz w:val="24"/>
                <w:szCs w:val="24"/>
              </w:rPr>
              <w:t>(703) 287-5830</w:t>
            </w:r>
          </w:p>
        </w:tc>
      </w:tr>
      <w:tr w:rsidR="00D16BAB" w:rsidRPr="003F1842" w14:paraId="3C9C8C77" w14:textId="77777777" w:rsidTr="00D16BAB">
        <w:tc>
          <w:tcPr>
            <w:tcW w:w="4730" w:type="dxa"/>
          </w:tcPr>
          <w:p w14:paraId="015259FD" w14:textId="77777777" w:rsidR="00D16BAB" w:rsidRPr="003F1842" w:rsidRDefault="00600ABC" w:rsidP="00D16BAB">
            <w:pPr>
              <w:rPr>
                <w:sz w:val="24"/>
                <w:szCs w:val="24"/>
              </w:rPr>
            </w:pPr>
            <w:hyperlink r:id="rId9" w:history="1">
              <w:r w:rsidR="00D16BAB" w:rsidRPr="003F1842">
                <w:rPr>
                  <w:color w:val="0000FF"/>
                  <w:sz w:val="24"/>
                  <w:szCs w:val="24"/>
                  <w:u w:val="single"/>
                </w:rPr>
                <w:t>Buzz.Cooper@gladstonecompanies.com</w:t>
              </w:r>
            </w:hyperlink>
            <w:r w:rsidR="00D16BAB" w:rsidRPr="003F1842">
              <w:rPr>
                <w:sz w:val="24"/>
                <w:szCs w:val="24"/>
              </w:rPr>
              <w:t xml:space="preserve"> </w:t>
            </w:r>
          </w:p>
        </w:tc>
        <w:tc>
          <w:tcPr>
            <w:tcW w:w="4630" w:type="dxa"/>
          </w:tcPr>
          <w:p w14:paraId="4F52F562" w14:textId="11AD3E2C" w:rsidR="00D16BAB" w:rsidRPr="003F1842" w:rsidRDefault="00600ABC" w:rsidP="00D16BAB">
            <w:pPr>
              <w:rPr>
                <w:sz w:val="24"/>
                <w:szCs w:val="24"/>
              </w:rPr>
            </w:pPr>
            <w:hyperlink r:id="rId10" w:history="1">
              <w:r w:rsidR="00D16BAB" w:rsidRPr="003F1842">
                <w:rPr>
                  <w:color w:val="0000FF"/>
                  <w:sz w:val="24"/>
                  <w:szCs w:val="24"/>
                  <w:u w:val="single"/>
                </w:rPr>
                <w:t>Matt.Tucker@gladstonecompanies.com</w:t>
              </w:r>
            </w:hyperlink>
          </w:p>
        </w:tc>
      </w:tr>
      <w:tr w:rsidR="003F1842" w:rsidRPr="003F1842" w14:paraId="79A8F68D" w14:textId="77777777" w:rsidTr="00D16BAB">
        <w:tc>
          <w:tcPr>
            <w:tcW w:w="4730" w:type="dxa"/>
          </w:tcPr>
          <w:p w14:paraId="5CC58AB2" w14:textId="77777777" w:rsidR="003F1842" w:rsidRPr="003F1842" w:rsidRDefault="003F1842" w:rsidP="003F1842">
            <w:pPr>
              <w:rPr>
                <w:sz w:val="24"/>
                <w:szCs w:val="24"/>
              </w:rPr>
            </w:pPr>
          </w:p>
        </w:tc>
        <w:tc>
          <w:tcPr>
            <w:tcW w:w="4630" w:type="dxa"/>
          </w:tcPr>
          <w:p w14:paraId="2166A3DC" w14:textId="77777777" w:rsidR="003F1842" w:rsidRPr="003F1842" w:rsidRDefault="003F1842" w:rsidP="003F1842">
            <w:pPr>
              <w:rPr>
                <w:sz w:val="24"/>
                <w:szCs w:val="24"/>
              </w:rPr>
            </w:pPr>
          </w:p>
        </w:tc>
      </w:tr>
      <w:tr w:rsidR="00D16BAB" w:rsidRPr="003F1842" w14:paraId="52AAE19F" w14:textId="77777777" w:rsidTr="00D16BAB">
        <w:trPr>
          <w:gridAfter w:val="1"/>
          <w:wAfter w:w="4630" w:type="dxa"/>
        </w:trPr>
        <w:tc>
          <w:tcPr>
            <w:tcW w:w="4730" w:type="dxa"/>
          </w:tcPr>
          <w:p w14:paraId="620771F0" w14:textId="7878446E" w:rsidR="00D16BAB" w:rsidRPr="003F1842" w:rsidRDefault="00D16BAB" w:rsidP="00D16BAB">
            <w:pPr>
              <w:rPr>
                <w:b/>
                <w:i/>
                <w:sz w:val="24"/>
                <w:szCs w:val="24"/>
              </w:rPr>
            </w:pPr>
            <w:r>
              <w:rPr>
                <w:b/>
                <w:i/>
                <w:sz w:val="24"/>
                <w:szCs w:val="24"/>
              </w:rPr>
              <w:t>Southeast/West</w:t>
            </w:r>
            <w:r w:rsidRPr="003F1842">
              <w:rPr>
                <w:b/>
                <w:i/>
                <w:sz w:val="24"/>
                <w:szCs w:val="24"/>
              </w:rPr>
              <w:t>:</w:t>
            </w:r>
          </w:p>
        </w:tc>
      </w:tr>
      <w:tr w:rsidR="00D16BAB" w:rsidRPr="003F1842" w14:paraId="5B54E61F" w14:textId="77777777" w:rsidTr="00D16BAB">
        <w:trPr>
          <w:gridAfter w:val="1"/>
          <w:wAfter w:w="4630" w:type="dxa"/>
        </w:trPr>
        <w:tc>
          <w:tcPr>
            <w:tcW w:w="4730" w:type="dxa"/>
          </w:tcPr>
          <w:p w14:paraId="009E7E03" w14:textId="7225E92D" w:rsidR="00D16BAB" w:rsidRPr="003F1842" w:rsidRDefault="00D16BAB" w:rsidP="00D16BAB">
            <w:pPr>
              <w:rPr>
                <w:b/>
                <w:sz w:val="24"/>
                <w:szCs w:val="24"/>
              </w:rPr>
            </w:pPr>
            <w:r w:rsidRPr="003F1842">
              <w:rPr>
                <w:b/>
                <w:sz w:val="24"/>
                <w:szCs w:val="24"/>
              </w:rPr>
              <w:t>Brandon Flickinger</w:t>
            </w:r>
          </w:p>
        </w:tc>
      </w:tr>
      <w:tr w:rsidR="00D16BAB" w:rsidRPr="003F1842" w14:paraId="07B0D098" w14:textId="77777777" w:rsidTr="00D16BAB">
        <w:trPr>
          <w:gridAfter w:val="1"/>
          <w:wAfter w:w="4630" w:type="dxa"/>
        </w:trPr>
        <w:tc>
          <w:tcPr>
            <w:tcW w:w="4730" w:type="dxa"/>
          </w:tcPr>
          <w:p w14:paraId="630D1378" w14:textId="36C8771C" w:rsidR="00D16BAB" w:rsidRPr="003F1842" w:rsidRDefault="00D16BAB" w:rsidP="00D16BAB">
            <w:pPr>
              <w:rPr>
                <w:sz w:val="24"/>
                <w:szCs w:val="24"/>
              </w:rPr>
            </w:pPr>
            <w:r>
              <w:rPr>
                <w:sz w:val="24"/>
                <w:szCs w:val="24"/>
              </w:rPr>
              <w:t>Executive Vice President</w:t>
            </w:r>
          </w:p>
        </w:tc>
      </w:tr>
      <w:tr w:rsidR="00D16BAB" w:rsidRPr="003F1842" w14:paraId="7C84B79C" w14:textId="77777777" w:rsidTr="00D16BAB">
        <w:trPr>
          <w:gridAfter w:val="1"/>
          <w:wAfter w:w="4630" w:type="dxa"/>
        </w:trPr>
        <w:tc>
          <w:tcPr>
            <w:tcW w:w="4730" w:type="dxa"/>
          </w:tcPr>
          <w:p w14:paraId="253EFD36" w14:textId="0C83CBF6" w:rsidR="00D16BAB" w:rsidRPr="003F1842" w:rsidRDefault="00D16BAB" w:rsidP="00D16BAB">
            <w:pPr>
              <w:rPr>
                <w:sz w:val="24"/>
                <w:szCs w:val="24"/>
              </w:rPr>
            </w:pPr>
            <w:r w:rsidRPr="003F1842">
              <w:rPr>
                <w:sz w:val="24"/>
                <w:szCs w:val="24"/>
              </w:rPr>
              <w:t>(703) 287-5819</w:t>
            </w:r>
          </w:p>
        </w:tc>
      </w:tr>
      <w:tr w:rsidR="00D16BAB" w:rsidRPr="003F1842" w14:paraId="27D11CA8" w14:textId="77777777" w:rsidTr="00D16BAB">
        <w:trPr>
          <w:gridAfter w:val="1"/>
          <w:wAfter w:w="4630" w:type="dxa"/>
        </w:trPr>
        <w:tc>
          <w:tcPr>
            <w:tcW w:w="4730" w:type="dxa"/>
          </w:tcPr>
          <w:p w14:paraId="0A84E851" w14:textId="6ABA3C3A" w:rsidR="00D16BAB" w:rsidRPr="003F1842" w:rsidRDefault="00600ABC" w:rsidP="00D16BAB">
            <w:pPr>
              <w:rPr>
                <w:sz w:val="24"/>
                <w:szCs w:val="24"/>
              </w:rPr>
            </w:pPr>
            <w:hyperlink r:id="rId11" w:history="1">
              <w:r w:rsidR="00D16BAB" w:rsidRPr="003F1842">
                <w:rPr>
                  <w:color w:val="0000FF"/>
                  <w:sz w:val="24"/>
                  <w:szCs w:val="24"/>
                  <w:u w:val="single"/>
                </w:rPr>
                <w:t>Brandon.Flickinger@gladstonecompanies.com</w:t>
              </w:r>
            </w:hyperlink>
          </w:p>
        </w:tc>
      </w:tr>
      <w:tr w:rsidR="003F1842" w:rsidRPr="003F1842" w14:paraId="66DAE807" w14:textId="77777777" w:rsidTr="00D16BAB">
        <w:tc>
          <w:tcPr>
            <w:tcW w:w="4730" w:type="dxa"/>
          </w:tcPr>
          <w:p w14:paraId="1C451979" w14:textId="77777777" w:rsidR="003F1842" w:rsidRPr="003F1842" w:rsidRDefault="003F1842" w:rsidP="003F1842">
            <w:pPr>
              <w:rPr>
                <w:sz w:val="24"/>
                <w:szCs w:val="24"/>
              </w:rPr>
            </w:pPr>
          </w:p>
        </w:tc>
        <w:tc>
          <w:tcPr>
            <w:tcW w:w="4630" w:type="dxa"/>
          </w:tcPr>
          <w:p w14:paraId="21EEF287" w14:textId="77777777" w:rsidR="003F1842" w:rsidRPr="003F1842" w:rsidRDefault="003F1842" w:rsidP="003F1842">
            <w:pPr>
              <w:rPr>
                <w:sz w:val="24"/>
                <w:szCs w:val="24"/>
              </w:rPr>
            </w:pPr>
          </w:p>
        </w:tc>
      </w:tr>
    </w:tbl>
    <w:p w14:paraId="77043D37" w14:textId="77777777" w:rsidR="003F1842" w:rsidRPr="003F1842" w:rsidRDefault="003F1842" w:rsidP="003F1842">
      <w:pPr>
        <w:spacing w:after="0" w:line="240" w:lineRule="auto"/>
        <w:rPr>
          <w:rFonts w:ascii="Times New Roman" w:eastAsia="Times New Roman" w:hAnsi="Times New Roman" w:cs="Times New Roman"/>
          <w:b/>
          <w:sz w:val="24"/>
          <w:szCs w:val="24"/>
        </w:rPr>
      </w:pPr>
      <w:r w:rsidRPr="003F1842">
        <w:rPr>
          <w:rFonts w:ascii="Times New Roman" w:eastAsia="Times New Roman" w:hAnsi="Times New Roman" w:cs="Times New Roman"/>
          <w:b/>
          <w:sz w:val="24"/>
          <w:szCs w:val="24"/>
        </w:rPr>
        <w:t>Investor or Media Inquiries: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6"/>
        <w:gridCol w:w="4654"/>
      </w:tblGrid>
      <w:tr w:rsidR="003F1842" w:rsidRPr="003F1842" w14:paraId="4D4ABBBD" w14:textId="77777777" w:rsidTr="006C1473">
        <w:tc>
          <w:tcPr>
            <w:tcW w:w="4720" w:type="dxa"/>
          </w:tcPr>
          <w:p w14:paraId="78AD5DAA" w14:textId="77777777" w:rsidR="003F1842" w:rsidRPr="003F1842" w:rsidRDefault="003F1842" w:rsidP="003F1842">
            <w:pPr>
              <w:rPr>
                <w:b/>
                <w:sz w:val="24"/>
                <w:szCs w:val="24"/>
              </w:rPr>
            </w:pPr>
            <w:r w:rsidRPr="003F1842">
              <w:rPr>
                <w:b/>
                <w:sz w:val="24"/>
                <w:szCs w:val="24"/>
              </w:rPr>
              <w:t>Bob Cutlip</w:t>
            </w:r>
          </w:p>
        </w:tc>
        <w:tc>
          <w:tcPr>
            <w:tcW w:w="4730" w:type="dxa"/>
          </w:tcPr>
          <w:p w14:paraId="2DEF382C" w14:textId="77777777" w:rsidR="003F1842" w:rsidRPr="003F1842" w:rsidRDefault="003F1842" w:rsidP="003F1842">
            <w:pPr>
              <w:rPr>
                <w:sz w:val="24"/>
                <w:szCs w:val="24"/>
              </w:rPr>
            </w:pPr>
          </w:p>
        </w:tc>
      </w:tr>
      <w:tr w:rsidR="003F1842" w:rsidRPr="003F1842" w14:paraId="74450718" w14:textId="77777777" w:rsidTr="006C1473">
        <w:tc>
          <w:tcPr>
            <w:tcW w:w="9450" w:type="dxa"/>
            <w:gridSpan w:val="2"/>
          </w:tcPr>
          <w:p w14:paraId="47110DA3" w14:textId="77777777" w:rsidR="003F1842" w:rsidRPr="003F1842" w:rsidRDefault="003F1842" w:rsidP="003F1842">
            <w:pPr>
              <w:rPr>
                <w:sz w:val="24"/>
                <w:szCs w:val="24"/>
              </w:rPr>
            </w:pPr>
            <w:r w:rsidRPr="003F1842">
              <w:rPr>
                <w:sz w:val="24"/>
                <w:szCs w:val="24"/>
              </w:rPr>
              <w:t>President – Gladstone Commercial Corporation</w:t>
            </w:r>
          </w:p>
        </w:tc>
      </w:tr>
      <w:tr w:rsidR="003F1842" w:rsidRPr="003F1842" w14:paraId="6D209EEE" w14:textId="77777777" w:rsidTr="006C1473">
        <w:tc>
          <w:tcPr>
            <w:tcW w:w="4720" w:type="dxa"/>
          </w:tcPr>
          <w:p w14:paraId="172E1E9B" w14:textId="77777777" w:rsidR="003F1842" w:rsidRPr="003F1842" w:rsidRDefault="003F1842" w:rsidP="003F1842">
            <w:pPr>
              <w:rPr>
                <w:sz w:val="24"/>
                <w:szCs w:val="24"/>
              </w:rPr>
            </w:pPr>
            <w:r w:rsidRPr="003F1842">
              <w:rPr>
                <w:sz w:val="24"/>
                <w:szCs w:val="24"/>
              </w:rPr>
              <w:t>(703) 287-5878</w:t>
            </w:r>
          </w:p>
        </w:tc>
        <w:tc>
          <w:tcPr>
            <w:tcW w:w="4730" w:type="dxa"/>
          </w:tcPr>
          <w:p w14:paraId="5F58CF96" w14:textId="77777777" w:rsidR="003F1842" w:rsidRPr="003F1842" w:rsidRDefault="003F1842" w:rsidP="003F1842">
            <w:pPr>
              <w:rPr>
                <w:sz w:val="24"/>
                <w:szCs w:val="24"/>
              </w:rPr>
            </w:pPr>
          </w:p>
        </w:tc>
      </w:tr>
      <w:tr w:rsidR="003F1842" w:rsidRPr="003F1842" w14:paraId="7782D800" w14:textId="77777777" w:rsidTr="006C1473">
        <w:tc>
          <w:tcPr>
            <w:tcW w:w="4720" w:type="dxa"/>
          </w:tcPr>
          <w:p w14:paraId="177E10D1" w14:textId="77777777" w:rsidR="003F1842" w:rsidRPr="003F1842" w:rsidRDefault="00600ABC" w:rsidP="003F1842">
            <w:pPr>
              <w:rPr>
                <w:sz w:val="24"/>
                <w:szCs w:val="24"/>
              </w:rPr>
            </w:pPr>
            <w:hyperlink r:id="rId12" w:history="1">
              <w:r w:rsidR="003F1842" w:rsidRPr="003F1842">
                <w:rPr>
                  <w:color w:val="0000FF"/>
                  <w:sz w:val="24"/>
                  <w:szCs w:val="24"/>
                  <w:u w:val="single"/>
                </w:rPr>
                <w:t>Bob.Cutlip@gladstonecompanies.com</w:t>
              </w:r>
            </w:hyperlink>
          </w:p>
        </w:tc>
        <w:tc>
          <w:tcPr>
            <w:tcW w:w="4730" w:type="dxa"/>
          </w:tcPr>
          <w:p w14:paraId="5A57DB3F" w14:textId="77777777" w:rsidR="003F1842" w:rsidRPr="003F1842" w:rsidRDefault="003F1842" w:rsidP="003F1842">
            <w:pPr>
              <w:rPr>
                <w:sz w:val="24"/>
                <w:szCs w:val="24"/>
              </w:rPr>
            </w:pPr>
          </w:p>
        </w:tc>
      </w:tr>
    </w:tbl>
    <w:p w14:paraId="71A56937" w14:textId="77777777" w:rsidR="003F1842" w:rsidRDefault="003F1842" w:rsidP="006063F7">
      <w:pPr>
        <w:rPr>
          <w:rFonts w:ascii="Times New Roman" w:hAnsi="Times New Roman" w:cs="Times New Roman"/>
        </w:rPr>
      </w:pPr>
    </w:p>
    <w:p w14:paraId="464A7784" w14:textId="6CC13E9C" w:rsidR="008D4273" w:rsidRPr="008D4273" w:rsidRDefault="008D4273" w:rsidP="00277CDC">
      <w:pPr>
        <w:spacing w:after="0" w:line="240" w:lineRule="auto"/>
        <w:jc w:val="both"/>
        <w:rPr>
          <w:rFonts w:ascii="Times New Roman" w:eastAsia="Times New Roman" w:hAnsi="Times New Roman" w:cs="Times New Roman"/>
          <w:sz w:val="24"/>
          <w:szCs w:val="24"/>
        </w:rPr>
      </w:pPr>
      <w:r w:rsidRPr="008D4273">
        <w:rPr>
          <w:rFonts w:ascii="Times New Roman" w:eastAsia="Times New Roman" w:hAnsi="Times New Roman" w:cs="Times New Roman"/>
          <w:i/>
          <w:iCs/>
          <w:color w:val="777777"/>
          <w:sz w:val="24"/>
          <w:szCs w:val="24"/>
          <w:shd w:val="clear" w:color="auto" w:fill="FFFFFF"/>
        </w:rPr>
        <w:t xml:space="preserve">All statements contained in this press release, other than historical facts, may constitute "forward-looking statements" within the meaning of Section 27A of the Securities Act of 1933, as amended, </w:t>
      </w:r>
      <w:r w:rsidRPr="008D4273">
        <w:rPr>
          <w:rFonts w:ascii="Times New Roman" w:eastAsia="Times New Roman" w:hAnsi="Times New Roman" w:cs="Times New Roman"/>
          <w:i/>
          <w:iCs/>
          <w:color w:val="777777"/>
          <w:sz w:val="24"/>
          <w:szCs w:val="24"/>
          <w:shd w:val="clear" w:color="auto" w:fill="FFFFFF"/>
        </w:rPr>
        <w:lastRenderedPageBreak/>
        <w:t>and Section 21E of the Securities Exchange Act of 1934, as amended. Words such as "anticipates," "expects," "intends," "plans," "believes," "seeks," "estimates" and variations of these words and similar expressions are intended to identify forward-looking statements. Readers should not rely upon forward-looking statements because the matters they describe are subject to known and unknown risks and uncertainties that could cause the Company's business, financial condition, liquidity, results of operations, funds from operations or prospects to differ materially from those expressed in or implied by such statements. Such risks and uncertainties are disclosed under the caption "Risk Factors" of the Company's Annual Report on Form 10-K for the fiscal year ended </w:t>
      </w:r>
      <w:r w:rsidR="00B21C2A">
        <w:rPr>
          <w:rFonts w:ascii="Times New Roman" w:eastAsia="Calibri" w:hAnsi="Times New Roman" w:cs="Times New Roman"/>
          <w:i/>
          <w:iCs/>
          <w:color w:val="777777"/>
          <w:sz w:val="24"/>
          <w:szCs w:val="24"/>
          <w:shd w:val="clear" w:color="auto" w:fill="FFFFFF"/>
        </w:rPr>
        <w:t>December 31, 201</w:t>
      </w:r>
      <w:r w:rsidR="00FB525F">
        <w:rPr>
          <w:rFonts w:ascii="Times New Roman" w:eastAsia="Calibri" w:hAnsi="Times New Roman" w:cs="Times New Roman"/>
          <w:i/>
          <w:iCs/>
          <w:color w:val="777777"/>
          <w:sz w:val="24"/>
          <w:szCs w:val="24"/>
          <w:shd w:val="clear" w:color="auto" w:fill="FFFFFF"/>
        </w:rPr>
        <w:t>9</w:t>
      </w:r>
      <w:r w:rsidRPr="008D4273">
        <w:rPr>
          <w:rFonts w:ascii="Times New Roman" w:eastAsia="Times New Roman" w:hAnsi="Times New Roman" w:cs="Times New Roman"/>
          <w:i/>
          <w:iCs/>
          <w:color w:val="777777"/>
          <w:sz w:val="24"/>
          <w:szCs w:val="24"/>
          <w:shd w:val="clear" w:color="auto" w:fill="FFFFFF"/>
        </w:rPr>
        <w:t>, as filed with the SEC on </w:t>
      </w:r>
      <w:r w:rsidR="00B21C2A">
        <w:rPr>
          <w:rFonts w:ascii="Times New Roman" w:eastAsia="Calibri" w:hAnsi="Times New Roman" w:cs="Times New Roman"/>
          <w:i/>
          <w:iCs/>
          <w:color w:val="777777"/>
          <w:sz w:val="24"/>
          <w:szCs w:val="24"/>
          <w:shd w:val="clear" w:color="auto" w:fill="FFFFFF"/>
        </w:rPr>
        <w:t>February 1</w:t>
      </w:r>
      <w:r w:rsidR="00FB525F">
        <w:rPr>
          <w:rFonts w:ascii="Times New Roman" w:eastAsia="Calibri" w:hAnsi="Times New Roman" w:cs="Times New Roman"/>
          <w:i/>
          <w:iCs/>
          <w:color w:val="777777"/>
          <w:sz w:val="24"/>
          <w:szCs w:val="24"/>
          <w:shd w:val="clear" w:color="auto" w:fill="FFFFFF"/>
        </w:rPr>
        <w:t>2</w:t>
      </w:r>
      <w:r w:rsidR="00B21C2A">
        <w:rPr>
          <w:rFonts w:ascii="Times New Roman" w:eastAsia="Times New Roman" w:hAnsi="Times New Roman" w:cs="Times New Roman"/>
          <w:i/>
          <w:iCs/>
          <w:color w:val="777777"/>
          <w:sz w:val="24"/>
          <w:szCs w:val="24"/>
          <w:shd w:val="clear" w:color="auto" w:fill="FFFFFF"/>
        </w:rPr>
        <w:t>, 20</w:t>
      </w:r>
      <w:r w:rsidR="00FB525F">
        <w:rPr>
          <w:rFonts w:ascii="Times New Roman" w:eastAsia="Times New Roman" w:hAnsi="Times New Roman" w:cs="Times New Roman"/>
          <w:i/>
          <w:iCs/>
          <w:color w:val="777777"/>
          <w:sz w:val="24"/>
          <w:szCs w:val="24"/>
          <w:shd w:val="clear" w:color="auto" w:fill="FFFFFF"/>
        </w:rPr>
        <w:t>20</w:t>
      </w:r>
      <w:r w:rsidRPr="008D4273">
        <w:rPr>
          <w:rFonts w:ascii="Times New Roman" w:eastAsia="Times New Roman" w:hAnsi="Times New Roman" w:cs="Times New Roman"/>
          <w:i/>
          <w:iCs/>
          <w:color w:val="777777"/>
          <w:sz w:val="24"/>
          <w:szCs w:val="24"/>
          <w:shd w:val="clear" w:color="auto" w:fill="FFFFFF"/>
        </w:rPr>
        <w:t xml:space="preserve"> and certain other filings we make with the SEC.  The Company cautions readers not to place undue reliance on any such forward-looking statements which speak only as of the date made. The Company undertakes no obligation to publicly update or revise any forward-looking statements, whether as a result of new information, future events or otherwise</w:t>
      </w:r>
      <w:r w:rsidR="00FB525F">
        <w:rPr>
          <w:rFonts w:ascii="Times New Roman" w:eastAsia="Times New Roman" w:hAnsi="Times New Roman" w:cs="Times New Roman"/>
          <w:i/>
          <w:iCs/>
          <w:color w:val="777777"/>
          <w:sz w:val="24"/>
          <w:szCs w:val="24"/>
          <w:shd w:val="clear" w:color="auto" w:fill="FFFFFF"/>
        </w:rPr>
        <w:t xml:space="preserve"> except as required by law</w:t>
      </w:r>
      <w:r w:rsidRPr="008D4273">
        <w:rPr>
          <w:rFonts w:ascii="Times New Roman" w:eastAsia="Times New Roman" w:hAnsi="Times New Roman" w:cs="Times New Roman"/>
          <w:i/>
          <w:iCs/>
          <w:color w:val="777777"/>
          <w:sz w:val="24"/>
          <w:szCs w:val="24"/>
          <w:shd w:val="clear" w:color="auto" w:fill="FFFFFF"/>
        </w:rPr>
        <w:t>.</w:t>
      </w:r>
    </w:p>
    <w:p w14:paraId="31D7D5E6" w14:textId="77777777" w:rsidR="008D4273" w:rsidRPr="008D4273" w:rsidRDefault="008D4273" w:rsidP="008D4273">
      <w:pPr>
        <w:spacing w:after="0" w:line="240" w:lineRule="auto"/>
        <w:rPr>
          <w:rFonts w:ascii="Times New Roman" w:eastAsia="Times New Roman" w:hAnsi="Times New Roman" w:cs="Times New Roman"/>
          <w:sz w:val="24"/>
          <w:szCs w:val="24"/>
          <w:highlight w:val="yellow"/>
        </w:rPr>
      </w:pPr>
    </w:p>
    <w:p w14:paraId="4035B551" w14:textId="1F4A91DB" w:rsidR="008D4273" w:rsidRPr="008D4273" w:rsidRDefault="008D4273" w:rsidP="008D4273">
      <w:pPr>
        <w:spacing w:after="0" w:line="240" w:lineRule="auto"/>
        <w:rPr>
          <w:rFonts w:ascii="Times New Roman" w:eastAsia="Times New Roman" w:hAnsi="Times New Roman" w:cs="Times New Roman"/>
          <w:sz w:val="24"/>
          <w:szCs w:val="24"/>
        </w:rPr>
      </w:pPr>
      <w:r w:rsidRPr="008D4273">
        <w:rPr>
          <w:rFonts w:ascii="Times New Roman" w:eastAsia="Times New Roman" w:hAnsi="Times New Roman" w:cs="Times New Roman"/>
          <w:sz w:val="24"/>
          <w:szCs w:val="24"/>
        </w:rPr>
        <w:t xml:space="preserve">For Investor Relations inquiries related to any of the monthly dividend paying Gladstone funds, please visit </w:t>
      </w:r>
      <w:hyperlink r:id="rId13" w:history="1">
        <w:r w:rsidR="00C16FF2">
          <w:rPr>
            <w:rFonts w:ascii="Times New Roman" w:eastAsia="Times New Roman" w:hAnsi="Times New Roman" w:cs="Times New Roman"/>
            <w:color w:val="0000FF"/>
            <w:sz w:val="24"/>
            <w:szCs w:val="24"/>
            <w:u w:val="single"/>
          </w:rPr>
          <w:t>www.gladstonecompanies.com</w:t>
        </w:r>
      </w:hyperlink>
      <w:r w:rsidRPr="008D4273">
        <w:rPr>
          <w:rFonts w:ascii="Times New Roman" w:eastAsia="Times New Roman" w:hAnsi="Times New Roman" w:cs="Times New Roman"/>
          <w:sz w:val="24"/>
          <w:szCs w:val="24"/>
        </w:rPr>
        <w:t>.</w:t>
      </w:r>
    </w:p>
    <w:p w14:paraId="6779B951" w14:textId="77777777" w:rsidR="008D4273" w:rsidRPr="008D4273" w:rsidRDefault="008D4273" w:rsidP="008D4273">
      <w:pPr>
        <w:spacing w:after="0" w:line="240" w:lineRule="auto"/>
        <w:rPr>
          <w:rFonts w:ascii="Times New Roman" w:eastAsia="Times New Roman" w:hAnsi="Times New Roman" w:cs="Times New Roman"/>
          <w:sz w:val="24"/>
          <w:szCs w:val="24"/>
        </w:rPr>
      </w:pPr>
    </w:p>
    <w:p w14:paraId="43C750E9" w14:textId="77777777" w:rsidR="008D4273" w:rsidRPr="008D4273" w:rsidRDefault="008D4273" w:rsidP="008D4273">
      <w:pPr>
        <w:spacing w:after="0" w:line="240" w:lineRule="auto"/>
        <w:rPr>
          <w:rFonts w:ascii="Times New Roman" w:eastAsia="Times New Roman" w:hAnsi="Times New Roman" w:cs="Times New Roman"/>
          <w:sz w:val="24"/>
          <w:szCs w:val="24"/>
        </w:rPr>
      </w:pPr>
      <w:r w:rsidRPr="008D4273">
        <w:rPr>
          <w:rFonts w:ascii="Times New Roman" w:eastAsia="Times New Roman" w:hAnsi="Times New Roman" w:cs="Times New Roman"/>
          <w:sz w:val="24"/>
          <w:szCs w:val="24"/>
        </w:rPr>
        <w:t>SOURCE: Gladstone Commercial Corporation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tblGrid>
      <w:tr w:rsidR="00D16BAB" w:rsidRPr="003F1842" w14:paraId="3EC0265B" w14:textId="77777777" w:rsidTr="00580E32">
        <w:tc>
          <w:tcPr>
            <w:tcW w:w="4730" w:type="dxa"/>
          </w:tcPr>
          <w:p w14:paraId="6AC911E3" w14:textId="5E100411" w:rsidR="00D16BAB" w:rsidRPr="003F1842" w:rsidRDefault="00D16BAB" w:rsidP="00580E32">
            <w:pPr>
              <w:rPr>
                <w:b/>
                <w:i/>
                <w:sz w:val="24"/>
                <w:szCs w:val="24"/>
              </w:rPr>
            </w:pPr>
          </w:p>
        </w:tc>
      </w:tr>
      <w:tr w:rsidR="00D16BAB" w:rsidRPr="003F1842" w14:paraId="5B2E01BA" w14:textId="77777777" w:rsidTr="00580E32">
        <w:tc>
          <w:tcPr>
            <w:tcW w:w="4730" w:type="dxa"/>
          </w:tcPr>
          <w:p w14:paraId="6C8C3DDC" w14:textId="2778FB0F" w:rsidR="00D16BAB" w:rsidRPr="003F1842" w:rsidRDefault="00D16BAB" w:rsidP="00580E32">
            <w:pPr>
              <w:rPr>
                <w:b/>
                <w:sz w:val="24"/>
                <w:szCs w:val="24"/>
              </w:rPr>
            </w:pPr>
          </w:p>
        </w:tc>
      </w:tr>
      <w:tr w:rsidR="00D16BAB" w:rsidRPr="003F1842" w14:paraId="5521DECF" w14:textId="77777777" w:rsidTr="00580E32">
        <w:tc>
          <w:tcPr>
            <w:tcW w:w="4730" w:type="dxa"/>
          </w:tcPr>
          <w:p w14:paraId="0F05307D" w14:textId="40F517CC" w:rsidR="00D16BAB" w:rsidRPr="003F1842" w:rsidRDefault="00D16BAB" w:rsidP="00580E32">
            <w:pPr>
              <w:rPr>
                <w:sz w:val="24"/>
                <w:szCs w:val="24"/>
              </w:rPr>
            </w:pPr>
          </w:p>
        </w:tc>
      </w:tr>
      <w:tr w:rsidR="00D16BAB" w:rsidRPr="003F1842" w14:paraId="7B10BA36" w14:textId="77777777" w:rsidTr="00580E32">
        <w:tc>
          <w:tcPr>
            <w:tcW w:w="4730" w:type="dxa"/>
          </w:tcPr>
          <w:p w14:paraId="0F6D9C45" w14:textId="159EC71A" w:rsidR="00D16BAB" w:rsidRPr="003F1842" w:rsidRDefault="00D16BAB" w:rsidP="00580E32">
            <w:pPr>
              <w:rPr>
                <w:sz w:val="24"/>
                <w:szCs w:val="24"/>
              </w:rPr>
            </w:pPr>
          </w:p>
        </w:tc>
      </w:tr>
      <w:tr w:rsidR="00D16BAB" w:rsidRPr="003F1842" w14:paraId="50E7C3BA" w14:textId="77777777" w:rsidTr="00580E32">
        <w:tc>
          <w:tcPr>
            <w:tcW w:w="4730" w:type="dxa"/>
          </w:tcPr>
          <w:p w14:paraId="4BC49DD5" w14:textId="0748E9B2" w:rsidR="00D16BAB" w:rsidRPr="003F1842" w:rsidRDefault="00D16BAB" w:rsidP="00580E32">
            <w:pPr>
              <w:rPr>
                <w:sz w:val="24"/>
                <w:szCs w:val="24"/>
              </w:rPr>
            </w:pPr>
          </w:p>
        </w:tc>
      </w:tr>
    </w:tbl>
    <w:p w14:paraId="5077D77B" w14:textId="77777777" w:rsidR="008D4273" w:rsidRPr="003F1842" w:rsidRDefault="008D4273" w:rsidP="006063F7">
      <w:pPr>
        <w:rPr>
          <w:rFonts w:ascii="Times New Roman" w:hAnsi="Times New Roman" w:cs="Times New Roman"/>
        </w:rPr>
      </w:pPr>
    </w:p>
    <w:sectPr w:rsidR="008D4273" w:rsidRPr="003F184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401CD" w14:textId="77777777" w:rsidR="00600ABC" w:rsidRDefault="00600ABC" w:rsidP="006063F7">
      <w:pPr>
        <w:spacing w:after="0" w:line="240" w:lineRule="auto"/>
      </w:pPr>
      <w:r>
        <w:separator/>
      </w:r>
    </w:p>
  </w:endnote>
  <w:endnote w:type="continuationSeparator" w:id="0">
    <w:p w14:paraId="778B078E" w14:textId="77777777" w:rsidR="00600ABC" w:rsidRDefault="00600ABC" w:rsidP="00606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CA0D6" w14:textId="77777777" w:rsidR="00600ABC" w:rsidRDefault="00600ABC" w:rsidP="006063F7">
      <w:pPr>
        <w:spacing w:after="0" w:line="240" w:lineRule="auto"/>
      </w:pPr>
      <w:r>
        <w:separator/>
      </w:r>
    </w:p>
  </w:footnote>
  <w:footnote w:type="continuationSeparator" w:id="0">
    <w:p w14:paraId="30F39DE8" w14:textId="77777777" w:rsidR="00600ABC" w:rsidRDefault="00600ABC" w:rsidP="00606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3CFCF" w14:textId="77777777" w:rsidR="006063F7" w:rsidRPr="006063F7" w:rsidRDefault="006063F7" w:rsidP="006063F7">
    <w:pPr>
      <w:tabs>
        <w:tab w:val="center" w:pos="4320"/>
        <w:tab w:val="right" w:pos="8640"/>
      </w:tabs>
      <w:spacing w:after="0" w:line="240" w:lineRule="auto"/>
      <w:jc w:val="center"/>
      <w:rPr>
        <w:rFonts w:ascii="Times New Roman" w:eastAsia="Times New Roman" w:hAnsi="Times New Roman" w:cs="Times New Roman"/>
        <w:sz w:val="24"/>
        <w:szCs w:val="24"/>
      </w:rPr>
    </w:pPr>
    <w:r w:rsidRPr="006063F7">
      <w:rPr>
        <w:rFonts w:ascii="Times New Roman" w:eastAsia="Times New Roman" w:hAnsi="Times New Roman" w:cs="Times New Roman"/>
        <w:noProof/>
        <w:sz w:val="24"/>
        <w:szCs w:val="24"/>
      </w:rPr>
      <w:drawing>
        <wp:inline distT="0" distB="0" distL="0" distR="0" wp14:anchorId="088821E5" wp14:editId="6988F3F4">
          <wp:extent cx="4815840" cy="365760"/>
          <wp:effectExtent l="19050" t="0" r="3810" b="0"/>
          <wp:docPr id="3" name="Picture 3" descr="GladstoneCommerci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dstoneCommerciallogo.jpg"/>
                  <pic:cNvPicPr/>
                </pic:nvPicPr>
                <pic:blipFill>
                  <a:blip r:embed="rId1"/>
                  <a:stretch>
                    <a:fillRect/>
                  </a:stretch>
                </pic:blipFill>
                <pic:spPr>
                  <a:xfrm>
                    <a:off x="0" y="0"/>
                    <a:ext cx="4815840" cy="365760"/>
                  </a:xfrm>
                  <a:prstGeom prst="rect">
                    <a:avLst/>
                  </a:prstGeom>
                </pic:spPr>
              </pic:pic>
            </a:graphicData>
          </a:graphic>
        </wp:inline>
      </w:drawing>
    </w:r>
  </w:p>
  <w:p w14:paraId="59282837" w14:textId="77777777" w:rsidR="006063F7" w:rsidRDefault="00606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E3C320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F7"/>
    <w:rsid w:val="00010B0B"/>
    <w:rsid w:val="00051261"/>
    <w:rsid w:val="0006101A"/>
    <w:rsid w:val="00094ACC"/>
    <w:rsid w:val="000952BB"/>
    <w:rsid w:val="000A2683"/>
    <w:rsid w:val="000A7CE5"/>
    <w:rsid w:val="000E6A39"/>
    <w:rsid w:val="000F7FDA"/>
    <w:rsid w:val="00106893"/>
    <w:rsid w:val="0012309B"/>
    <w:rsid w:val="00131D21"/>
    <w:rsid w:val="00147836"/>
    <w:rsid w:val="0019286E"/>
    <w:rsid w:val="001C415E"/>
    <w:rsid w:val="001E2B5C"/>
    <w:rsid w:val="002622F7"/>
    <w:rsid w:val="002646B9"/>
    <w:rsid w:val="00277CDC"/>
    <w:rsid w:val="00285AC7"/>
    <w:rsid w:val="00291DA8"/>
    <w:rsid w:val="002A598E"/>
    <w:rsid w:val="00302574"/>
    <w:rsid w:val="003341BC"/>
    <w:rsid w:val="00357BE1"/>
    <w:rsid w:val="0036307D"/>
    <w:rsid w:val="00393296"/>
    <w:rsid w:val="003A39A4"/>
    <w:rsid w:val="003B3F8F"/>
    <w:rsid w:val="003C2A99"/>
    <w:rsid w:val="003F1842"/>
    <w:rsid w:val="004377DB"/>
    <w:rsid w:val="00451DC0"/>
    <w:rsid w:val="00477097"/>
    <w:rsid w:val="00496B07"/>
    <w:rsid w:val="004C4B92"/>
    <w:rsid w:val="004D0976"/>
    <w:rsid w:val="004D2088"/>
    <w:rsid w:val="004D60BD"/>
    <w:rsid w:val="004E75B6"/>
    <w:rsid w:val="0053088C"/>
    <w:rsid w:val="00543BC9"/>
    <w:rsid w:val="00582EF2"/>
    <w:rsid w:val="0059378F"/>
    <w:rsid w:val="005A5C18"/>
    <w:rsid w:val="005B4806"/>
    <w:rsid w:val="005E0BBA"/>
    <w:rsid w:val="00600ABC"/>
    <w:rsid w:val="00600ACD"/>
    <w:rsid w:val="006063F7"/>
    <w:rsid w:val="006115D2"/>
    <w:rsid w:val="00641595"/>
    <w:rsid w:val="006548BA"/>
    <w:rsid w:val="00654AD4"/>
    <w:rsid w:val="0065574E"/>
    <w:rsid w:val="00667DC1"/>
    <w:rsid w:val="006C6495"/>
    <w:rsid w:val="006C6C8F"/>
    <w:rsid w:val="006D08FB"/>
    <w:rsid w:val="006E7518"/>
    <w:rsid w:val="00702299"/>
    <w:rsid w:val="00702F0A"/>
    <w:rsid w:val="00786875"/>
    <w:rsid w:val="007B5F97"/>
    <w:rsid w:val="008002DA"/>
    <w:rsid w:val="0085518E"/>
    <w:rsid w:val="00867C97"/>
    <w:rsid w:val="00880106"/>
    <w:rsid w:val="008D2C04"/>
    <w:rsid w:val="008D4273"/>
    <w:rsid w:val="008D5BC5"/>
    <w:rsid w:val="008E33CF"/>
    <w:rsid w:val="008F6F88"/>
    <w:rsid w:val="00923C64"/>
    <w:rsid w:val="0094297A"/>
    <w:rsid w:val="00964A38"/>
    <w:rsid w:val="009A08A8"/>
    <w:rsid w:val="009B7A07"/>
    <w:rsid w:val="009C512E"/>
    <w:rsid w:val="00A31C68"/>
    <w:rsid w:val="00A42015"/>
    <w:rsid w:val="00A719FA"/>
    <w:rsid w:val="00A77A09"/>
    <w:rsid w:val="00AA377A"/>
    <w:rsid w:val="00AB5093"/>
    <w:rsid w:val="00AE4E25"/>
    <w:rsid w:val="00AF402B"/>
    <w:rsid w:val="00B013EF"/>
    <w:rsid w:val="00B11A8D"/>
    <w:rsid w:val="00B21C2A"/>
    <w:rsid w:val="00B34B7D"/>
    <w:rsid w:val="00B5696F"/>
    <w:rsid w:val="00B71F1B"/>
    <w:rsid w:val="00B7427C"/>
    <w:rsid w:val="00BA5BEF"/>
    <w:rsid w:val="00C037CF"/>
    <w:rsid w:val="00C046A3"/>
    <w:rsid w:val="00C16FF2"/>
    <w:rsid w:val="00C30ACC"/>
    <w:rsid w:val="00C5025E"/>
    <w:rsid w:val="00C70D24"/>
    <w:rsid w:val="00C745F4"/>
    <w:rsid w:val="00C75517"/>
    <w:rsid w:val="00C871EF"/>
    <w:rsid w:val="00C955C2"/>
    <w:rsid w:val="00D00691"/>
    <w:rsid w:val="00D119DF"/>
    <w:rsid w:val="00D16BAB"/>
    <w:rsid w:val="00D256B7"/>
    <w:rsid w:val="00D30CA8"/>
    <w:rsid w:val="00DC3AF5"/>
    <w:rsid w:val="00DC57D1"/>
    <w:rsid w:val="00DF5D69"/>
    <w:rsid w:val="00E07F65"/>
    <w:rsid w:val="00E95620"/>
    <w:rsid w:val="00EA5876"/>
    <w:rsid w:val="00EB39AE"/>
    <w:rsid w:val="00EF6342"/>
    <w:rsid w:val="00FA61B4"/>
    <w:rsid w:val="00FB525F"/>
    <w:rsid w:val="00FC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6926"/>
  <w15:chartTrackingRefBased/>
  <w15:docId w15:val="{55B05A92-2D14-4DFB-B428-191176AE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3F7"/>
  </w:style>
  <w:style w:type="paragraph" w:styleId="Footer">
    <w:name w:val="footer"/>
    <w:basedOn w:val="Normal"/>
    <w:link w:val="FooterChar"/>
    <w:uiPriority w:val="99"/>
    <w:unhideWhenUsed/>
    <w:rsid w:val="00606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3F7"/>
  </w:style>
  <w:style w:type="character" w:styleId="Hyperlink">
    <w:name w:val="Hyperlink"/>
    <w:basedOn w:val="DefaultParagraphFont"/>
    <w:rsid w:val="006063F7"/>
    <w:rPr>
      <w:color w:val="0000FF"/>
      <w:u w:val="single"/>
    </w:rPr>
  </w:style>
  <w:style w:type="paragraph" w:customStyle="1" w:styleId="ARIALSECTIONTEXT">
    <w:name w:val="ARIAL SECTION TEXT"/>
    <w:basedOn w:val="Normal"/>
    <w:link w:val="ARIALSECTIONTEXTChar"/>
    <w:rsid w:val="006063F7"/>
    <w:pPr>
      <w:spacing w:after="0" w:line="240" w:lineRule="auto"/>
      <w:ind w:left="720"/>
    </w:pPr>
    <w:rPr>
      <w:rFonts w:ascii="Arial" w:eastAsia="Times New Roman" w:hAnsi="Arial" w:cs="Arial"/>
      <w:sz w:val="24"/>
      <w:szCs w:val="24"/>
    </w:rPr>
  </w:style>
  <w:style w:type="character" w:customStyle="1" w:styleId="ARIALSECTIONTEXTChar">
    <w:name w:val="ARIAL SECTION TEXT Char"/>
    <w:basedOn w:val="DefaultParagraphFont"/>
    <w:link w:val="ARIALSECTIONTEXT"/>
    <w:rsid w:val="006063F7"/>
    <w:rPr>
      <w:rFonts w:ascii="Arial" w:eastAsia="Times New Roman" w:hAnsi="Arial" w:cs="Arial"/>
      <w:sz w:val="24"/>
      <w:szCs w:val="24"/>
    </w:rPr>
  </w:style>
  <w:style w:type="table" w:styleId="TableGrid">
    <w:name w:val="Table Grid"/>
    <w:basedOn w:val="TableNormal"/>
    <w:rsid w:val="003F18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EB39AE"/>
    <w:pPr>
      <w:numPr>
        <w:numId w:val="1"/>
      </w:numPr>
      <w:contextualSpacing/>
    </w:pPr>
  </w:style>
  <w:style w:type="paragraph" w:styleId="BalloonText">
    <w:name w:val="Balloon Text"/>
    <w:basedOn w:val="Normal"/>
    <w:link w:val="BalloonTextChar"/>
    <w:uiPriority w:val="99"/>
    <w:semiHidden/>
    <w:unhideWhenUsed/>
    <w:rsid w:val="00C04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A3"/>
    <w:rPr>
      <w:rFonts w:ascii="Segoe UI" w:hAnsi="Segoe UI" w:cs="Segoe UI"/>
      <w:sz w:val="18"/>
      <w:szCs w:val="18"/>
    </w:rPr>
  </w:style>
  <w:style w:type="character" w:styleId="CommentReference">
    <w:name w:val="annotation reference"/>
    <w:basedOn w:val="DefaultParagraphFont"/>
    <w:uiPriority w:val="99"/>
    <w:semiHidden/>
    <w:unhideWhenUsed/>
    <w:rsid w:val="00C16FF2"/>
    <w:rPr>
      <w:sz w:val="16"/>
      <w:szCs w:val="16"/>
    </w:rPr>
  </w:style>
  <w:style w:type="paragraph" w:styleId="CommentText">
    <w:name w:val="annotation text"/>
    <w:basedOn w:val="Normal"/>
    <w:link w:val="CommentTextChar"/>
    <w:uiPriority w:val="99"/>
    <w:semiHidden/>
    <w:unhideWhenUsed/>
    <w:rsid w:val="00C16FF2"/>
    <w:pPr>
      <w:spacing w:line="240" w:lineRule="auto"/>
    </w:pPr>
    <w:rPr>
      <w:sz w:val="20"/>
      <w:szCs w:val="20"/>
    </w:rPr>
  </w:style>
  <w:style w:type="character" w:customStyle="1" w:styleId="CommentTextChar">
    <w:name w:val="Comment Text Char"/>
    <w:basedOn w:val="DefaultParagraphFont"/>
    <w:link w:val="CommentText"/>
    <w:uiPriority w:val="99"/>
    <w:semiHidden/>
    <w:rsid w:val="00C16FF2"/>
    <w:rPr>
      <w:sz w:val="20"/>
      <w:szCs w:val="20"/>
    </w:rPr>
  </w:style>
  <w:style w:type="paragraph" w:styleId="CommentSubject">
    <w:name w:val="annotation subject"/>
    <w:basedOn w:val="CommentText"/>
    <w:next w:val="CommentText"/>
    <w:link w:val="CommentSubjectChar"/>
    <w:uiPriority w:val="99"/>
    <w:semiHidden/>
    <w:unhideWhenUsed/>
    <w:rsid w:val="00C16FF2"/>
    <w:rPr>
      <w:b/>
      <w:bCs/>
    </w:rPr>
  </w:style>
  <w:style w:type="character" w:customStyle="1" w:styleId="CommentSubjectChar">
    <w:name w:val="Comment Subject Char"/>
    <w:basedOn w:val="CommentTextChar"/>
    <w:link w:val="CommentSubject"/>
    <w:uiPriority w:val="99"/>
    <w:semiHidden/>
    <w:rsid w:val="00C16F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dstonecommercial.com" TargetMode="External"/><Relationship Id="rId13" Type="http://schemas.openxmlformats.org/officeDocument/2006/relationships/hyperlink" Target="http://www.gladstonecompanies.com/" TargetMode="External"/><Relationship Id="rId3" Type="http://schemas.openxmlformats.org/officeDocument/2006/relationships/settings" Target="settings.xml"/><Relationship Id="rId7" Type="http://schemas.openxmlformats.org/officeDocument/2006/relationships/hyperlink" Target="http://www.gladstonecommercial.com/" TargetMode="External"/><Relationship Id="rId12" Type="http://schemas.openxmlformats.org/officeDocument/2006/relationships/hyperlink" Target="mailto:Bob.Cutlip@gladstonecompanie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ndon.Flickinger@gladstonecompanie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tt.Tucker@gladstonecompanies.com" TargetMode="External"/><Relationship Id="rId4" Type="http://schemas.openxmlformats.org/officeDocument/2006/relationships/webSettings" Target="webSettings.xml"/><Relationship Id="rId9" Type="http://schemas.openxmlformats.org/officeDocument/2006/relationships/hyperlink" Target="mailto:Buzz.Cooper@gladstonecompanies.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Dobbins</dc:creator>
  <cp:keywords/>
  <dc:description/>
  <cp:lastModifiedBy>Michael LiCalsi</cp:lastModifiedBy>
  <cp:revision>2</cp:revision>
  <cp:lastPrinted>2020-10-29T14:03:00Z</cp:lastPrinted>
  <dcterms:created xsi:type="dcterms:W3CDTF">2020-10-29T15:23:00Z</dcterms:created>
  <dcterms:modified xsi:type="dcterms:W3CDTF">2020-10-29T15:23:00Z</dcterms:modified>
</cp:coreProperties>
</file>