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9C37" w14:textId="77777777" w:rsidR="00A77B3E" w:rsidRDefault="008A7CB9">
      <w:pPr>
        <w:spacing w:line="248" w:lineRule="auto"/>
        <w:jc w:val="center"/>
        <w:rPr>
          <w:rFonts w:ascii="Arial" w:eastAsia="Arial" w:hAnsi="Arial" w:cs="Arial"/>
          <w:sz w:val="18"/>
        </w:rPr>
      </w:pPr>
      <w:bookmarkStart w:id="0" w:name="Section1"/>
      <w:bookmarkEnd w:id="0"/>
      <w:r>
        <w:rPr>
          <w:noProof/>
        </w:rPr>
        <w:drawing>
          <wp:inline distT="0" distB="0" distL="0" distR="0" wp14:anchorId="79540C8D" wp14:editId="2872776F">
            <wp:extent cx="1463040" cy="100584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63040" cy="1005840"/>
                    </a:xfrm>
                    <a:prstGeom prst="rect">
                      <a:avLst/>
                    </a:prstGeom>
                    <a:noFill/>
                    <a:ln>
                      <a:noFill/>
                    </a:ln>
                  </pic:spPr>
                </pic:pic>
              </a:graphicData>
            </a:graphic>
          </wp:inline>
        </w:drawing>
      </w:r>
    </w:p>
    <w:p w14:paraId="7289B355" w14:textId="77777777" w:rsidR="00A77B3E" w:rsidRDefault="00A77B3E">
      <w:pPr>
        <w:spacing w:before="1" w:line="248" w:lineRule="auto"/>
        <w:rPr>
          <w:rFonts w:ascii="Arial" w:eastAsia="Arial" w:hAnsi="Arial" w:cs="Arial"/>
          <w:sz w:val="18"/>
        </w:rPr>
      </w:pPr>
    </w:p>
    <w:p w14:paraId="27B1BD6A" w14:textId="77777777" w:rsidR="00A77B3E" w:rsidRDefault="00A77B3E">
      <w:pPr>
        <w:spacing w:before="1" w:line="248" w:lineRule="auto"/>
        <w:rPr>
          <w:rFonts w:ascii="Arial" w:eastAsia="Arial" w:hAnsi="Arial" w:cs="Arial"/>
          <w:sz w:val="18"/>
        </w:rPr>
      </w:pPr>
    </w:p>
    <w:p w14:paraId="68BC56F5" w14:textId="77777777" w:rsidR="00A77B3E" w:rsidRDefault="008A7CB9">
      <w:pPr>
        <w:spacing w:before="91" w:line="244" w:lineRule="auto"/>
        <w:ind w:left="156" w:right="350"/>
        <w:jc w:val="center"/>
        <w:outlineLvl w:val="0"/>
        <w:rPr>
          <w:rFonts w:ascii="Arial" w:eastAsia="Arial" w:hAnsi="Arial" w:cs="Arial"/>
          <w:sz w:val="22"/>
        </w:rPr>
      </w:pPr>
      <w:r>
        <w:rPr>
          <w:rFonts w:ascii="Arial" w:eastAsia="Arial" w:hAnsi="Arial" w:cs="Arial"/>
          <w:b/>
          <w:sz w:val="32"/>
        </w:rPr>
        <w:t>KushCo Holdings Reports Fiscal Fourth Quarter and Full Year 2020 Results</w:t>
      </w:r>
    </w:p>
    <w:p w14:paraId="1C60F1D6" w14:textId="77777777" w:rsidR="00A77B3E" w:rsidRDefault="008A7CB9">
      <w:pPr>
        <w:spacing w:before="259" w:line="248" w:lineRule="auto"/>
        <w:jc w:val="center"/>
        <w:rPr>
          <w:rFonts w:ascii="Arial" w:eastAsia="Arial" w:hAnsi="Arial" w:cs="Arial"/>
          <w:b/>
          <w:i/>
          <w:sz w:val="18"/>
        </w:rPr>
      </w:pPr>
      <w:r>
        <w:rPr>
          <w:rFonts w:ascii="Arial" w:eastAsia="Arial" w:hAnsi="Arial" w:cs="Arial"/>
          <w:b/>
          <w:i/>
        </w:rPr>
        <w:t xml:space="preserve">Company Achieves Positive Adjusted EBITDA and Cash Flow </w:t>
      </w:r>
      <w:proofErr w:type="gramStart"/>
      <w:r>
        <w:rPr>
          <w:rFonts w:ascii="Arial" w:eastAsia="Arial" w:hAnsi="Arial" w:cs="Arial"/>
          <w:b/>
          <w:i/>
        </w:rPr>
        <w:t>From</w:t>
      </w:r>
      <w:proofErr w:type="gramEnd"/>
      <w:r>
        <w:rPr>
          <w:rFonts w:ascii="Arial" w:eastAsia="Arial" w:hAnsi="Arial" w:cs="Arial"/>
          <w:b/>
          <w:i/>
        </w:rPr>
        <w:t xml:space="preserve"> Operations in Fiscal Fourth Quarter 2020 For First Time in More Than Three Years</w:t>
      </w:r>
    </w:p>
    <w:p w14:paraId="4E2A69BF" w14:textId="77777777" w:rsidR="00A77B3E" w:rsidRDefault="00A77B3E">
      <w:pPr>
        <w:spacing w:line="248" w:lineRule="auto"/>
        <w:jc w:val="center"/>
        <w:rPr>
          <w:rFonts w:ascii="Arial" w:eastAsia="Arial" w:hAnsi="Arial" w:cs="Arial"/>
          <w:sz w:val="22"/>
          <w:shd w:val="clear" w:color="auto" w:fill="FFFF00"/>
        </w:rPr>
      </w:pPr>
    </w:p>
    <w:p w14:paraId="4C279768" w14:textId="77777777" w:rsidR="00A77B3E" w:rsidRDefault="008A7CB9">
      <w:pPr>
        <w:spacing w:line="248" w:lineRule="auto"/>
        <w:ind w:left="1"/>
        <w:jc w:val="center"/>
        <w:rPr>
          <w:rFonts w:ascii="Arial" w:eastAsia="Arial" w:hAnsi="Arial" w:cs="Arial"/>
          <w:b/>
          <w:i/>
        </w:rPr>
      </w:pPr>
      <w:r>
        <w:rPr>
          <w:rFonts w:ascii="Arial" w:eastAsia="Arial" w:hAnsi="Arial" w:cs="Arial"/>
          <w:b/>
          <w:i/>
        </w:rPr>
        <w:t>Company Issues Fiscal 2021 Net Revenue Guidance of Between $120 Million and $150 Million, and Adjusted EBITDA Guidance of Between $5 Million and $7 Million</w:t>
      </w:r>
    </w:p>
    <w:p w14:paraId="25E85483" w14:textId="77777777" w:rsidR="00A77B3E" w:rsidRDefault="00A77B3E">
      <w:pPr>
        <w:spacing w:line="248" w:lineRule="auto"/>
        <w:jc w:val="center"/>
        <w:rPr>
          <w:rFonts w:ascii="Arial" w:eastAsia="Arial" w:hAnsi="Arial" w:cs="Arial"/>
          <w:sz w:val="22"/>
        </w:rPr>
      </w:pPr>
    </w:p>
    <w:p w14:paraId="5CFEF65C" w14:textId="77777777" w:rsidR="00A77B3E" w:rsidRDefault="008A7CB9">
      <w:pPr>
        <w:spacing w:line="248" w:lineRule="auto"/>
        <w:rPr>
          <w:rFonts w:ascii="Arial" w:eastAsia="Arial" w:hAnsi="Arial" w:cs="Arial"/>
        </w:rPr>
      </w:pPr>
      <w:r>
        <w:rPr>
          <w:rFonts w:ascii="Arial" w:eastAsia="Arial" w:hAnsi="Arial" w:cs="Arial"/>
          <w:b/>
          <w:sz w:val="20"/>
        </w:rPr>
        <w:t xml:space="preserve">CYPRESS, Calif., — October 29, 2020 — </w:t>
      </w:r>
      <w:r>
        <w:rPr>
          <w:rFonts w:ascii="Arial" w:eastAsia="Arial" w:hAnsi="Arial" w:cs="Arial"/>
          <w:sz w:val="20"/>
        </w:rPr>
        <w:t>KushCo Holdings, Inc. (OTCQX: KSHB) ("KushCo" or the "Company"), a premier provider of ancillary products and services to the legal cannabis and CBD industries, today reported financial results for its fiscal fourth quarter and full year ended August 31, 2020.</w:t>
      </w:r>
    </w:p>
    <w:p w14:paraId="3C3E2048" w14:textId="77777777" w:rsidR="00A77B3E" w:rsidRDefault="00A77B3E">
      <w:pPr>
        <w:spacing w:before="10" w:line="248" w:lineRule="auto"/>
        <w:rPr>
          <w:rFonts w:ascii="Arial" w:eastAsia="Arial" w:hAnsi="Arial" w:cs="Arial"/>
          <w:sz w:val="18"/>
        </w:rPr>
      </w:pPr>
    </w:p>
    <w:p w14:paraId="36694379" w14:textId="77777777" w:rsidR="00A77B3E" w:rsidRDefault="008A7CB9">
      <w:pPr>
        <w:spacing w:line="248" w:lineRule="auto"/>
        <w:rPr>
          <w:rFonts w:ascii="Arial" w:eastAsia="Arial" w:hAnsi="Arial" w:cs="Arial"/>
          <w:b/>
          <w:sz w:val="18"/>
        </w:rPr>
      </w:pPr>
      <w:r>
        <w:rPr>
          <w:rFonts w:ascii="Arial" w:eastAsia="Arial" w:hAnsi="Arial" w:cs="Arial"/>
          <w:b/>
          <w:sz w:val="20"/>
        </w:rPr>
        <w:t>Recent Operational and Financial Highlights</w:t>
      </w:r>
    </w:p>
    <w:p w14:paraId="7F4E4036" w14:textId="77777777" w:rsidR="00A77B3E" w:rsidRDefault="00A77B3E">
      <w:pPr>
        <w:spacing w:before="6" w:line="248" w:lineRule="auto"/>
        <w:rPr>
          <w:rFonts w:ascii="Arial" w:eastAsia="Arial" w:hAnsi="Arial" w:cs="Arial"/>
          <w:sz w:val="18"/>
        </w:rPr>
      </w:pPr>
    </w:p>
    <w:p w14:paraId="78024DDA" w14:textId="3206B6C5" w:rsidR="00A77B3E" w:rsidRDefault="008A7CB9" w:rsidP="008A7CB9">
      <w:pPr>
        <w:numPr>
          <w:ilvl w:val="0"/>
          <w:numId w:val="2"/>
        </w:numPr>
        <w:spacing w:line="248" w:lineRule="auto"/>
        <w:ind w:left="516"/>
        <w:rPr>
          <w:rFonts w:ascii="Arial" w:eastAsia="Arial" w:hAnsi="Arial" w:cs="Arial"/>
          <w:sz w:val="20"/>
        </w:rPr>
      </w:pPr>
      <w:r>
        <w:rPr>
          <w:rFonts w:ascii="Arial" w:eastAsia="Arial" w:hAnsi="Arial" w:cs="Arial"/>
          <w:sz w:val="20"/>
        </w:rPr>
        <w:t xml:space="preserve">Substantially completed comprehensive strategic plan (the "2020 Plan") to align with leading operators and right-size the business, which led to sales, general and administrative (SG&amp;A) expenses decreasing </w:t>
      </w:r>
      <w:r w:rsidR="00657404">
        <w:rPr>
          <w:rFonts w:ascii="Arial" w:eastAsia="Arial" w:hAnsi="Arial" w:cs="Arial"/>
          <w:sz w:val="20"/>
        </w:rPr>
        <w:t xml:space="preserve">by </w:t>
      </w:r>
      <w:r>
        <w:rPr>
          <w:rFonts w:ascii="Arial" w:eastAsia="Arial" w:hAnsi="Arial" w:cs="Arial"/>
          <w:sz w:val="20"/>
        </w:rPr>
        <w:t xml:space="preserve">more than 50% from fiscal Q1 2020 to fiscal Q4 2020.  </w:t>
      </w:r>
    </w:p>
    <w:p w14:paraId="0B719651" w14:textId="77777777" w:rsidR="00A77B3E" w:rsidRDefault="00A77B3E">
      <w:pPr>
        <w:spacing w:line="248" w:lineRule="auto"/>
        <w:ind w:left="-204"/>
        <w:rPr>
          <w:rFonts w:ascii="Arial" w:eastAsia="Arial" w:hAnsi="Arial" w:cs="Arial"/>
          <w:sz w:val="22"/>
        </w:rPr>
      </w:pPr>
    </w:p>
    <w:p w14:paraId="1FA0471E" w14:textId="77777777" w:rsidR="00A77B3E" w:rsidRDefault="008A7CB9" w:rsidP="008A7CB9">
      <w:pPr>
        <w:numPr>
          <w:ilvl w:val="0"/>
          <w:numId w:val="2"/>
        </w:numPr>
        <w:spacing w:line="248" w:lineRule="auto"/>
        <w:ind w:left="516"/>
        <w:rPr>
          <w:rFonts w:ascii="Arial" w:eastAsia="Arial" w:hAnsi="Arial" w:cs="Arial"/>
          <w:sz w:val="18"/>
        </w:rPr>
      </w:pPr>
      <w:r>
        <w:rPr>
          <w:rFonts w:ascii="Arial" w:eastAsia="Arial" w:hAnsi="Arial" w:cs="Arial"/>
          <w:sz w:val="20"/>
        </w:rPr>
        <w:t>Achieved positive adjusted EBITDA and cash flow from operations in fiscal Q4 2020 for the first time in more than three years.</w:t>
      </w:r>
    </w:p>
    <w:p w14:paraId="62D50B62" w14:textId="77777777" w:rsidR="00A77B3E" w:rsidRDefault="00A77B3E">
      <w:pPr>
        <w:spacing w:line="248" w:lineRule="auto"/>
        <w:ind w:left="-204"/>
        <w:rPr>
          <w:rFonts w:ascii="Arial" w:eastAsia="Arial" w:hAnsi="Arial" w:cs="Arial"/>
          <w:sz w:val="22"/>
        </w:rPr>
      </w:pPr>
    </w:p>
    <w:p w14:paraId="2222A55D" w14:textId="26C7D0C8" w:rsidR="00A77B3E" w:rsidRDefault="008A7CB9" w:rsidP="008A7CB9">
      <w:pPr>
        <w:numPr>
          <w:ilvl w:val="0"/>
          <w:numId w:val="2"/>
        </w:numPr>
        <w:spacing w:line="248" w:lineRule="auto"/>
        <w:ind w:left="516"/>
        <w:rPr>
          <w:rFonts w:ascii="Arial" w:eastAsia="Arial" w:hAnsi="Arial" w:cs="Arial"/>
          <w:sz w:val="20"/>
        </w:rPr>
      </w:pPr>
      <w:r>
        <w:rPr>
          <w:rFonts w:ascii="Arial" w:eastAsia="Arial" w:hAnsi="Arial" w:cs="Arial"/>
          <w:sz w:val="20"/>
        </w:rPr>
        <w:t xml:space="preserve">Secured </w:t>
      </w:r>
      <w:r w:rsidR="00015460">
        <w:rPr>
          <w:rFonts w:ascii="Arial" w:eastAsia="Arial" w:hAnsi="Arial" w:cs="Arial"/>
          <w:sz w:val="20"/>
        </w:rPr>
        <w:t xml:space="preserve">a </w:t>
      </w:r>
      <w:r>
        <w:rPr>
          <w:rFonts w:ascii="Arial" w:eastAsia="Arial" w:hAnsi="Arial" w:cs="Arial"/>
          <w:sz w:val="20"/>
        </w:rPr>
        <w:t xml:space="preserve">new </w:t>
      </w:r>
      <w:r w:rsidR="00015460">
        <w:rPr>
          <w:rFonts w:ascii="Arial" w:eastAsia="Arial" w:hAnsi="Arial" w:cs="Arial"/>
          <w:sz w:val="20"/>
        </w:rPr>
        <w:t xml:space="preserve">leading private </w:t>
      </w:r>
      <w:r>
        <w:rPr>
          <w:rFonts w:ascii="Arial" w:eastAsia="Arial" w:hAnsi="Arial" w:cs="Arial"/>
          <w:sz w:val="20"/>
        </w:rPr>
        <w:t xml:space="preserve">multi-state-operator ("MSO") </w:t>
      </w:r>
      <w:r w:rsidR="00015460">
        <w:rPr>
          <w:rFonts w:ascii="Arial" w:eastAsia="Arial" w:hAnsi="Arial" w:cs="Arial"/>
          <w:sz w:val="20"/>
        </w:rPr>
        <w:t xml:space="preserve">customer </w:t>
      </w:r>
      <w:r>
        <w:rPr>
          <w:rFonts w:ascii="Arial" w:eastAsia="Arial" w:hAnsi="Arial" w:cs="Arial"/>
          <w:sz w:val="20"/>
        </w:rPr>
        <w:t xml:space="preserve">and </w:t>
      </w:r>
      <w:r w:rsidR="00015460">
        <w:rPr>
          <w:rFonts w:ascii="Arial" w:eastAsia="Arial" w:hAnsi="Arial" w:cs="Arial"/>
          <w:sz w:val="20"/>
        </w:rPr>
        <w:t xml:space="preserve">a </w:t>
      </w:r>
      <w:r>
        <w:rPr>
          <w:rFonts w:ascii="Arial" w:eastAsia="Arial" w:hAnsi="Arial" w:cs="Arial"/>
          <w:sz w:val="20"/>
        </w:rPr>
        <w:t xml:space="preserve">top 5 vape brand in the U.S. </w:t>
      </w:r>
    </w:p>
    <w:p w14:paraId="262EB6CE" w14:textId="77777777" w:rsidR="00A77B3E" w:rsidRDefault="00A77B3E">
      <w:pPr>
        <w:spacing w:line="248" w:lineRule="auto"/>
        <w:ind w:left="-204"/>
        <w:rPr>
          <w:rFonts w:ascii="Arial" w:eastAsia="Arial" w:hAnsi="Arial" w:cs="Arial"/>
          <w:sz w:val="22"/>
        </w:rPr>
      </w:pPr>
    </w:p>
    <w:p w14:paraId="6927C464" w14:textId="77777777" w:rsidR="00A77B3E" w:rsidRDefault="008A7CB9" w:rsidP="008A7CB9">
      <w:pPr>
        <w:numPr>
          <w:ilvl w:val="0"/>
          <w:numId w:val="3"/>
        </w:numPr>
        <w:spacing w:line="248" w:lineRule="auto"/>
        <w:ind w:left="516"/>
        <w:rPr>
          <w:rFonts w:ascii="Arial" w:eastAsia="Arial" w:hAnsi="Arial" w:cs="Arial"/>
          <w:sz w:val="20"/>
        </w:rPr>
      </w:pPr>
      <w:r>
        <w:rPr>
          <w:rFonts w:ascii="Arial" w:eastAsia="Arial" w:hAnsi="Arial" w:cs="Arial"/>
          <w:sz w:val="20"/>
        </w:rPr>
        <w:t>Secured several new supply agreements for the Company's new stainless steel tanks.</w:t>
      </w:r>
    </w:p>
    <w:p w14:paraId="35A61C13" w14:textId="77777777" w:rsidR="00A77B3E" w:rsidRDefault="00A77B3E">
      <w:pPr>
        <w:spacing w:line="248" w:lineRule="auto"/>
        <w:ind w:left="-204"/>
        <w:rPr>
          <w:rFonts w:ascii="Arial" w:eastAsia="Arial" w:hAnsi="Arial" w:cs="Arial"/>
          <w:sz w:val="22"/>
        </w:rPr>
      </w:pPr>
    </w:p>
    <w:p w14:paraId="408FE662" w14:textId="02F10B48" w:rsidR="00A77B3E" w:rsidRDefault="008A7CB9" w:rsidP="008A7CB9">
      <w:pPr>
        <w:numPr>
          <w:ilvl w:val="0"/>
          <w:numId w:val="3"/>
        </w:numPr>
        <w:spacing w:line="248" w:lineRule="auto"/>
        <w:ind w:left="516"/>
        <w:rPr>
          <w:rFonts w:ascii="Arial" w:eastAsia="Arial" w:hAnsi="Arial" w:cs="Arial"/>
          <w:sz w:val="20"/>
        </w:rPr>
      </w:pPr>
      <w:r>
        <w:rPr>
          <w:rFonts w:ascii="Arial" w:eastAsia="Arial" w:hAnsi="Arial" w:cs="Arial"/>
          <w:sz w:val="20"/>
        </w:rPr>
        <w:t>Partnered with the Weldon Project's "Project Mission Green" to fight social injustice and provide relief for victims of the War on Drugs.</w:t>
      </w:r>
    </w:p>
    <w:p w14:paraId="6B862380" w14:textId="77777777" w:rsidR="00A77B3E" w:rsidRDefault="00A77B3E">
      <w:pPr>
        <w:spacing w:line="248" w:lineRule="auto"/>
        <w:ind w:left="156"/>
        <w:rPr>
          <w:rFonts w:ascii="Arial" w:eastAsia="Arial" w:hAnsi="Arial" w:cs="Arial"/>
          <w:b/>
          <w:sz w:val="18"/>
          <w:shd w:val="clear" w:color="auto" w:fill="FFFF00"/>
        </w:rPr>
      </w:pPr>
    </w:p>
    <w:p w14:paraId="140CE6E7" w14:textId="77777777" w:rsidR="00A77B3E" w:rsidRDefault="008A7CB9">
      <w:pPr>
        <w:spacing w:line="248" w:lineRule="auto"/>
        <w:rPr>
          <w:rFonts w:ascii="Arial" w:eastAsia="Arial" w:hAnsi="Arial" w:cs="Arial"/>
          <w:b/>
          <w:sz w:val="18"/>
        </w:rPr>
      </w:pPr>
      <w:r>
        <w:rPr>
          <w:rFonts w:ascii="Arial" w:eastAsia="Arial" w:hAnsi="Arial" w:cs="Arial"/>
          <w:b/>
          <w:sz w:val="20"/>
        </w:rPr>
        <w:t>Fiscal Fourth Quarter and Full Year 2020 Financial Summary</w:t>
      </w:r>
    </w:p>
    <w:p w14:paraId="4E02FA11" w14:textId="77777777" w:rsidR="00A77B3E" w:rsidRDefault="00A77B3E">
      <w:pPr>
        <w:spacing w:line="248" w:lineRule="auto"/>
        <w:ind w:left="1"/>
        <w:rPr>
          <w:rFonts w:ascii="Arial" w:eastAsia="Arial" w:hAnsi="Arial" w:cs="Arial"/>
          <w:b/>
          <w:sz w:val="20"/>
        </w:rPr>
      </w:pPr>
    </w:p>
    <w:p w14:paraId="63404952" w14:textId="77777777" w:rsidR="00A77B3E" w:rsidRDefault="008A7CB9">
      <w:pPr>
        <w:spacing w:line="248" w:lineRule="auto"/>
        <w:ind w:left="1"/>
        <w:rPr>
          <w:rFonts w:ascii="Arial" w:eastAsia="Arial" w:hAnsi="Arial" w:cs="Arial"/>
          <w:b/>
          <w:sz w:val="20"/>
          <w:u w:val="single"/>
        </w:rPr>
      </w:pPr>
      <w:r>
        <w:rPr>
          <w:rFonts w:ascii="Arial" w:eastAsia="Arial" w:hAnsi="Arial" w:cs="Arial"/>
          <w:b/>
          <w:sz w:val="20"/>
          <w:u w:val="single"/>
        </w:rPr>
        <w:t>Fourth Quarter</w:t>
      </w:r>
    </w:p>
    <w:p w14:paraId="3449C540" w14:textId="77777777" w:rsidR="00A77B3E" w:rsidRDefault="00A77B3E">
      <w:pPr>
        <w:spacing w:before="6" w:line="248" w:lineRule="auto"/>
        <w:rPr>
          <w:rFonts w:ascii="Arial" w:eastAsia="Arial" w:hAnsi="Arial" w:cs="Arial"/>
          <w:sz w:val="18"/>
        </w:rPr>
      </w:pPr>
    </w:p>
    <w:p w14:paraId="0D2108C3" w14:textId="750F9FE8" w:rsidR="00A77B3E" w:rsidRDefault="008A7CB9" w:rsidP="008A7CB9">
      <w:pPr>
        <w:numPr>
          <w:ilvl w:val="0"/>
          <w:numId w:val="4"/>
        </w:numPr>
        <w:spacing w:line="238" w:lineRule="auto"/>
        <w:ind w:left="516"/>
        <w:rPr>
          <w:rFonts w:ascii="Arial" w:eastAsia="Arial" w:hAnsi="Arial" w:cs="Arial"/>
          <w:sz w:val="20"/>
        </w:rPr>
      </w:pPr>
      <w:r>
        <w:rPr>
          <w:rFonts w:ascii="Arial" w:eastAsia="Arial" w:hAnsi="Arial" w:cs="Arial"/>
          <w:sz w:val="20"/>
        </w:rPr>
        <w:t xml:space="preserve">Net revenue decreased 44% from the prior year period to $26.5 million, primarily as a result of the Company </w:t>
      </w:r>
      <w:r w:rsidR="00F04A8D">
        <w:rPr>
          <w:rFonts w:ascii="Arial" w:eastAsia="Arial" w:hAnsi="Arial" w:cs="Arial"/>
          <w:sz w:val="20"/>
        </w:rPr>
        <w:t xml:space="preserve">implementing </w:t>
      </w:r>
      <w:r>
        <w:rPr>
          <w:rFonts w:ascii="Arial" w:eastAsia="Arial" w:hAnsi="Arial" w:cs="Arial"/>
          <w:sz w:val="20"/>
        </w:rPr>
        <w:t>its 2020 Plan, which has resulted in tighter credit terms being extended to smaller and less creditworthy customers. On a sequential basis, net revenue increased 19%, driven by an increase in sales to the Company's top customers, which includes leading MSOs, licensed producers ("LPs"), and brands.</w:t>
      </w:r>
    </w:p>
    <w:p w14:paraId="4759D284" w14:textId="77777777" w:rsidR="00A77B3E" w:rsidRDefault="00A77B3E">
      <w:pPr>
        <w:spacing w:line="248" w:lineRule="auto"/>
        <w:ind w:left="516"/>
        <w:rPr>
          <w:rFonts w:ascii="Arial" w:eastAsia="Arial" w:hAnsi="Arial" w:cs="Arial"/>
          <w:sz w:val="18"/>
          <w:shd w:val="clear" w:color="auto" w:fill="FFFF00"/>
        </w:rPr>
      </w:pPr>
    </w:p>
    <w:p w14:paraId="5BEDFC33" w14:textId="17621A0F" w:rsidR="00A77B3E" w:rsidRDefault="008A7CB9" w:rsidP="008A7CB9">
      <w:pPr>
        <w:numPr>
          <w:ilvl w:val="0"/>
          <w:numId w:val="4"/>
        </w:numPr>
        <w:spacing w:line="248" w:lineRule="auto"/>
        <w:ind w:left="516"/>
        <w:rPr>
          <w:sz w:val="20"/>
        </w:rPr>
      </w:pPr>
      <w:r>
        <w:rPr>
          <w:rFonts w:ascii="Arial" w:eastAsia="Arial" w:hAnsi="Arial" w:cs="Arial"/>
          <w:sz w:val="20"/>
        </w:rPr>
        <w:t>On a GAAP basis, gross profit was 26%, compared to 20% in the prior year period. The increase in GAAP gross profit was driven by higher product margins</w:t>
      </w:r>
      <w:r w:rsidR="00A03837">
        <w:rPr>
          <w:rFonts w:ascii="Arial" w:eastAsia="Arial" w:hAnsi="Arial" w:cs="Arial"/>
          <w:sz w:val="20"/>
        </w:rPr>
        <w:t xml:space="preserve"> </w:t>
      </w:r>
      <w:r>
        <w:rPr>
          <w:rFonts w:ascii="Arial" w:eastAsia="Arial" w:hAnsi="Arial" w:cs="Arial"/>
          <w:sz w:val="20"/>
        </w:rPr>
        <w:t xml:space="preserve">and </w:t>
      </w:r>
      <w:r w:rsidR="00A03837">
        <w:rPr>
          <w:rFonts w:ascii="Arial" w:eastAsia="Arial" w:hAnsi="Arial" w:cs="Arial"/>
          <w:sz w:val="20"/>
        </w:rPr>
        <w:t>an increase in shipping revenue</w:t>
      </w:r>
      <w:r>
        <w:rPr>
          <w:rFonts w:ascii="Arial" w:eastAsia="Arial" w:hAnsi="Arial" w:cs="Arial"/>
          <w:sz w:val="20"/>
        </w:rPr>
        <w:t xml:space="preserve">. </w:t>
      </w:r>
    </w:p>
    <w:p w14:paraId="53F12018" w14:textId="77777777" w:rsidR="00A77B3E" w:rsidRDefault="00A77B3E">
      <w:pPr>
        <w:spacing w:line="248" w:lineRule="auto"/>
        <w:ind w:left="516"/>
        <w:jc w:val="both"/>
        <w:rPr>
          <w:rFonts w:ascii="Arial" w:eastAsia="Arial" w:hAnsi="Arial" w:cs="Arial"/>
          <w:sz w:val="18"/>
          <w:shd w:val="clear" w:color="auto" w:fill="FFFF00"/>
        </w:rPr>
      </w:pPr>
    </w:p>
    <w:p w14:paraId="64692450" w14:textId="77777777" w:rsidR="00A77B3E" w:rsidRDefault="008A7CB9" w:rsidP="008A7CB9">
      <w:pPr>
        <w:numPr>
          <w:ilvl w:val="0"/>
          <w:numId w:val="4"/>
        </w:numPr>
        <w:spacing w:before="10" w:line="248" w:lineRule="auto"/>
        <w:ind w:left="516" w:right="72"/>
        <w:jc w:val="both"/>
        <w:rPr>
          <w:sz w:val="20"/>
        </w:rPr>
      </w:pPr>
      <w:r>
        <w:rPr>
          <w:rFonts w:ascii="Arial" w:eastAsia="Arial" w:hAnsi="Arial" w:cs="Arial"/>
          <w:sz w:val="20"/>
        </w:rPr>
        <w:t xml:space="preserve">On a Non-GAAP basis, excluding the impact of certain non-recurring items, gross profit was approximately 29% (see note below regarding "About Non-GAAP Financial Measures" for further discussion of this and other non-GAAP measures included in this earnings release), compared to 20% in the prior year period. </w:t>
      </w:r>
    </w:p>
    <w:p w14:paraId="30A30AF9" w14:textId="77777777" w:rsidR="00A77B3E" w:rsidRDefault="00A77B3E">
      <w:pPr>
        <w:spacing w:line="248" w:lineRule="auto"/>
        <w:rPr>
          <w:rFonts w:ascii="Arial" w:eastAsia="Arial" w:hAnsi="Arial" w:cs="Arial"/>
          <w:sz w:val="22"/>
        </w:rPr>
      </w:pPr>
    </w:p>
    <w:p w14:paraId="79E8BA3C" w14:textId="73767AE5" w:rsidR="00A77B3E" w:rsidRDefault="008A7CB9" w:rsidP="008A7CB9">
      <w:pPr>
        <w:numPr>
          <w:ilvl w:val="0"/>
          <w:numId w:val="4"/>
        </w:numPr>
        <w:spacing w:line="213" w:lineRule="auto"/>
        <w:ind w:left="516"/>
        <w:jc w:val="both"/>
        <w:rPr>
          <w:rFonts w:ascii="Arial" w:eastAsia="Arial" w:hAnsi="Arial" w:cs="Arial"/>
        </w:rPr>
      </w:pPr>
      <w:r>
        <w:rPr>
          <w:rFonts w:ascii="Arial" w:eastAsia="Arial" w:hAnsi="Arial" w:cs="Arial"/>
          <w:sz w:val="20"/>
        </w:rPr>
        <w:t xml:space="preserve">SG&amp;A expenses were approximately $10.3 million, compared to $20.8 million in the prior year period and $12.7 million in the prior quarter. The decrease was driven by reductions in headcount, executive salaries, consulting spend, rent expense, and travel and entertainment expenses, as a result of the COVID-19 pandemic and the Company's </w:t>
      </w:r>
      <w:r w:rsidR="00B65B00">
        <w:rPr>
          <w:rFonts w:ascii="Arial" w:eastAsia="Arial" w:hAnsi="Arial" w:cs="Arial"/>
          <w:sz w:val="20"/>
        </w:rPr>
        <w:t xml:space="preserve">implementation </w:t>
      </w:r>
      <w:r>
        <w:rPr>
          <w:rFonts w:ascii="Arial" w:eastAsia="Arial" w:hAnsi="Arial" w:cs="Arial"/>
          <w:sz w:val="20"/>
        </w:rPr>
        <w:t>of the 2020 Plan.</w:t>
      </w:r>
    </w:p>
    <w:p w14:paraId="703D9072" w14:textId="77777777" w:rsidR="00A77B3E" w:rsidRDefault="00A77B3E">
      <w:pPr>
        <w:spacing w:line="248" w:lineRule="auto"/>
        <w:rPr>
          <w:rFonts w:ascii="Arial" w:eastAsia="Arial" w:hAnsi="Arial" w:cs="Arial"/>
          <w:sz w:val="22"/>
          <w:shd w:val="clear" w:color="auto" w:fill="FFFF00"/>
        </w:rPr>
      </w:pPr>
    </w:p>
    <w:p w14:paraId="04DB60FA" w14:textId="23558786" w:rsidR="00A77B3E" w:rsidRDefault="008A7CB9" w:rsidP="008A7CB9">
      <w:pPr>
        <w:numPr>
          <w:ilvl w:val="0"/>
          <w:numId w:val="4"/>
        </w:numPr>
        <w:spacing w:before="2" w:line="248" w:lineRule="auto"/>
        <w:ind w:left="516" w:right="72"/>
        <w:jc w:val="both"/>
        <w:rPr>
          <w:sz w:val="20"/>
        </w:rPr>
      </w:pPr>
      <w:r>
        <w:rPr>
          <w:rFonts w:ascii="Arial" w:eastAsia="Arial" w:hAnsi="Arial" w:cs="Arial"/>
          <w:sz w:val="20"/>
        </w:rPr>
        <w:lastRenderedPageBreak/>
        <w:t>On a Non-GAAP basis, Cash SG&amp;A expenses (which exclude non-cash expenses, such as bad debt expense, stock-based compensation, depreciation, and amortization) were approximately $7.3 million, compared to $15.</w:t>
      </w:r>
      <w:r w:rsidR="00826E41">
        <w:rPr>
          <w:rFonts w:ascii="Arial" w:eastAsia="Arial" w:hAnsi="Arial" w:cs="Arial"/>
          <w:sz w:val="20"/>
        </w:rPr>
        <w:t>1</w:t>
      </w:r>
      <w:r>
        <w:rPr>
          <w:rFonts w:ascii="Arial" w:eastAsia="Arial" w:hAnsi="Arial" w:cs="Arial"/>
          <w:sz w:val="20"/>
        </w:rPr>
        <w:t xml:space="preserve"> million in the prior year period and $7.7 million in the prior quarter. </w:t>
      </w:r>
    </w:p>
    <w:p w14:paraId="6F23F829" w14:textId="77777777" w:rsidR="00A77B3E" w:rsidRDefault="00A77B3E">
      <w:pPr>
        <w:spacing w:line="248" w:lineRule="auto"/>
        <w:rPr>
          <w:rFonts w:ascii="Arial" w:eastAsia="Arial" w:hAnsi="Arial" w:cs="Arial"/>
          <w:sz w:val="22"/>
          <w:shd w:val="clear" w:color="auto" w:fill="FFFF00"/>
        </w:rPr>
      </w:pPr>
    </w:p>
    <w:p w14:paraId="51F43694" w14:textId="77777777" w:rsidR="00A77B3E" w:rsidRDefault="008A7CB9" w:rsidP="008A7CB9">
      <w:pPr>
        <w:numPr>
          <w:ilvl w:val="0"/>
          <w:numId w:val="4"/>
        </w:numPr>
        <w:spacing w:before="2" w:line="248" w:lineRule="auto"/>
        <w:ind w:left="516" w:right="72"/>
        <w:jc w:val="both"/>
        <w:rPr>
          <w:sz w:val="20"/>
        </w:rPr>
      </w:pPr>
      <w:r>
        <w:rPr>
          <w:rFonts w:ascii="Arial" w:eastAsia="Arial" w:hAnsi="Arial" w:cs="Arial"/>
          <w:sz w:val="20"/>
        </w:rPr>
        <w:t xml:space="preserve">On a GAAP basis, net loss was approximately $7.3 million, compared to approximately $11.5 million in the prior year period. Basic loss per share was $0.06 compared to $0.13 in the prior year period. </w:t>
      </w:r>
    </w:p>
    <w:p w14:paraId="20DEA502" w14:textId="77777777" w:rsidR="00A77B3E" w:rsidRDefault="00A77B3E">
      <w:pPr>
        <w:spacing w:before="2" w:line="248" w:lineRule="auto"/>
        <w:ind w:left="516" w:right="72"/>
        <w:jc w:val="both"/>
        <w:rPr>
          <w:rFonts w:ascii="Arial" w:eastAsia="Arial" w:hAnsi="Arial" w:cs="Arial"/>
          <w:sz w:val="18"/>
          <w:shd w:val="clear" w:color="auto" w:fill="FFFF00"/>
        </w:rPr>
      </w:pPr>
    </w:p>
    <w:p w14:paraId="186CFE05" w14:textId="77777777" w:rsidR="00A77B3E" w:rsidRDefault="008A7CB9" w:rsidP="008A7CB9">
      <w:pPr>
        <w:numPr>
          <w:ilvl w:val="0"/>
          <w:numId w:val="4"/>
        </w:numPr>
        <w:spacing w:line="238" w:lineRule="auto"/>
        <w:ind w:left="516"/>
        <w:rPr>
          <w:rFonts w:ascii="Arial" w:eastAsia="Arial" w:hAnsi="Arial" w:cs="Arial"/>
          <w:sz w:val="20"/>
        </w:rPr>
      </w:pPr>
      <w:r>
        <w:rPr>
          <w:rFonts w:ascii="Arial" w:eastAsia="Arial" w:hAnsi="Arial" w:cs="Arial"/>
          <w:sz w:val="20"/>
        </w:rPr>
        <w:t>On a Non-GAAP basis, excluding the impact of certain non-recurring charges and gains such as the Company’s restructuring costs, net loss for the quarter was $1.4 million, or $0.01 per share, compared to a net loss of $7.2 million, or $0.08 per basic share, in the prior year period.</w:t>
      </w:r>
    </w:p>
    <w:p w14:paraId="2859B373" w14:textId="77777777" w:rsidR="00A77B3E" w:rsidRDefault="00A77B3E">
      <w:pPr>
        <w:spacing w:line="248" w:lineRule="auto"/>
        <w:rPr>
          <w:rFonts w:ascii="Arial" w:eastAsia="Arial" w:hAnsi="Arial" w:cs="Arial"/>
          <w:sz w:val="22"/>
        </w:rPr>
      </w:pPr>
    </w:p>
    <w:p w14:paraId="14460E02" w14:textId="4136D238" w:rsidR="00A77B3E" w:rsidRDefault="008A7CB9" w:rsidP="008A7CB9">
      <w:pPr>
        <w:numPr>
          <w:ilvl w:val="0"/>
          <w:numId w:val="4"/>
        </w:numPr>
        <w:spacing w:before="2" w:line="248" w:lineRule="auto"/>
        <w:ind w:left="516" w:right="72"/>
        <w:jc w:val="both"/>
        <w:rPr>
          <w:sz w:val="20"/>
        </w:rPr>
      </w:pPr>
      <w:r>
        <w:rPr>
          <w:rFonts w:ascii="Arial" w:eastAsia="Arial" w:hAnsi="Arial" w:cs="Arial"/>
          <w:sz w:val="20"/>
        </w:rPr>
        <w:t>Adjusted EBITDA totaled $1.0 million compared to approximately ($5.2) million in the prior year period and approximately ($2.</w:t>
      </w:r>
      <w:r w:rsidR="00B54F7A">
        <w:rPr>
          <w:rFonts w:ascii="Arial" w:eastAsia="Arial" w:hAnsi="Arial" w:cs="Arial"/>
          <w:sz w:val="20"/>
        </w:rPr>
        <w:t>7</w:t>
      </w:r>
      <w:r>
        <w:rPr>
          <w:rFonts w:ascii="Arial" w:eastAsia="Arial" w:hAnsi="Arial" w:cs="Arial"/>
          <w:sz w:val="20"/>
        </w:rPr>
        <w:t xml:space="preserve">) million in the prior quarter. The improvement in adjusted EBITDA was driven by the </w:t>
      </w:r>
      <w:proofErr w:type="gramStart"/>
      <w:r>
        <w:rPr>
          <w:rFonts w:ascii="Arial" w:eastAsia="Arial" w:hAnsi="Arial" w:cs="Arial"/>
          <w:sz w:val="20"/>
        </w:rPr>
        <w:t>aforementioned improvement</w:t>
      </w:r>
      <w:proofErr w:type="gramEnd"/>
      <w:r>
        <w:rPr>
          <w:rFonts w:ascii="Arial" w:eastAsia="Arial" w:hAnsi="Arial" w:cs="Arial"/>
          <w:sz w:val="20"/>
        </w:rPr>
        <w:t xml:space="preserve"> in margins and cost reductions.</w:t>
      </w:r>
    </w:p>
    <w:p w14:paraId="5E94244A" w14:textId="77777777" w:rsidR="00A77B3E" w:rsidRDefault="00A77B3E">
      <w:pPr>
        <w:spacing w:line="248" w:lineRule="auto"/>
        <w:rPr>
          <w:rFonts w:ascii="Arial" w:eastAsia="Arial" w:hAnsi="Arial" w:cs="Arial"/>
          <w:sz w:val="22"/>
          <w:shd w:val="clear" w:color="auto" w:fill="FFFF00"/>
        </w:rPr>
      </w:pPr>
    </w:p>
    <w:p w14:paraId="7441023F" w14:textId="77777777" w:rsidR="00A77B3E" w:rsidRDefault="008A7CB9" w:rsidP="008A7CB9">
      <w:pPr>
        <w:numPr>
          <w:ilvl w:val="0"/>
          <w:numId w:val="4"/>
        </w:numPr>
        <w:spacing w:before="2" w:line="248" w:lineRule="auto"/>
        <w:ind w:left="516" w:right="72"/>
        <w:jc w:val="both"/>
        <w:rPr>
          <w:sz w:val="20"/>
        </w:rPr>
      </w:pPr>
      <w:r>
        <w:rPr>
          <w:rFonts w:ascii="Arial" w:eastAsia="Arial" w:hAnsi="Arial" w:cs="Arial"/>
          <w:sz w:val="20"/>
        </w:rPr>
        <w:t>Cash was approximately $10.5 million as of August 31, 2020, compared to approximately $11.1 million as of May 31, 2020 and $3.9 million as of August 31, 2019. The Company did not draw any borrowings from its revolving credit line during the quarter.</w:t>
      </w:r>
    </w:p>
    <w:p w14:paraId="7D002325" w14:textId="77777777" w:rsidR="00A77B3E" w:rsidRDefault="00A77B3E">
      <w:pPr>
        <w:spacing w:line="248" w:lineRule="auto"/>
        <w:ind w:left="-204" w:right="72"/>
        <w:jc w:val="both"/>
        <w:rPr>
          <w:rFonts w:ascii="Arial" w:eastAsia="Arial" w:hAnsi="Arial" w:cs="Arial"/>
          <w:sz w:val="22"/>
        </w:rPr>
      </w:pPr>
    </w:p>
    <w:p w14:paraId="095130D0" w14:textId="77777777" w:rsidR="00A77B3E" w:rsidRDefault="008A7CB9">
      <w:pPr>
        <w:spacing w:line="248" w:lineRule="auto"/>
        <w:ind w:left="-204" w:right="72"/>
        <w:jc w:val="both"/>
        <w:rPr>
          <w:rFonts w:ascii="Arial" w:eastAsia="Arial" w:hAnsi="Arial" w:cs="Arial"/>
          <w:b/>
          <w:sz w:val="20"/>
          <w:u w:val="single"/>
        </w:rPr>
      </w:pPr>
      <w:r>
        <w:rPr>
          <w:rFonts w:ascii="Arial" w:eastAsia="Arial" w:hAnsi="Arial" w:cs="Arial"/>
          <w:b/>
          <w:sz w:val="20"/>
          <w:u w:val="single"/>
        </w:rPr>
        <w:t>Full Year</w:t>
      </w:r>
    </w:p>
    <w:p w14:paraId="0ACA6479" w14:textId="77777777" w:rsidR="00A77B3E" w:rsidRDefault="00A77B3E">
      <w:pPr>
        <w:spacing w:line="248" w:lineRule="auto"/>
        <w:ind w:right="72"/>
        <w:jc w:val="both"/>
        <w:rPr>
          <w:rFonts w:ascii="Arial" w:eastAsia="Arial" w:hAnsi="Arial" w:cs="Arial"/>
          <w:sz w:val="22"/>
        </w:rPr>
      </w:pPr>
    </w:p>
    <w:p w14:paraId="117D1F52" w14:textId="233CDB8D" w:rsidR="00A77B3E" w:rsidRDefault="008A7CB9" w:rsidP="008A7CB9">
      <w:pPr>
        <w:numPr>
          <w:ilvl w:val="0"/>
          <w:numId w:val="5"/>
        </w:numPr>
        <w:spacing w:before="2" w:line="248" w:lineRule="auto"/>
        <w:ind w:left="516" w:right="72"/>
        <w:jc w:val="both"/>
        <w:rPr>
          <w:sz w:val="20"/>
        </w:rPr>
      </w:pPr>
      <w:r>
        <w:rPr>
          <w:rFonts w:ascii="Arial" w:eastAsia="Arial" w:hAnsi="Arial" w:cs="Arial"/>
          <w:sz w:val="20"/>
        </w:rPr>
        <w:t xml:space="preserve">Net revenue decreased 24% from the prior year to $113.8 million, primarily as a result of the Company’s </w:t>
      </w:r>
      <w:r w:rsidR="001C2B2A">
        <w:rPr>
          <w:rFonts w:ascii="Arial" w:eastAsia="Arial" w:hAnsi="Arial" w:cs="Arial"/>
          <w:sz w:val="20"/>
        </w:rPr>
        <w:t xml:space="preserve">implementation </w:t>
      </w:r>
      <w:r>
        <w:rPr>
          <w:rFonts w:ascii="Arial" w:eastAsia="Arial" w:hAnsi="Arial" w:cs="Arial"/>
          <w:sz w:val="20"/>
        </w:rPr>
        <w:t>of the 2020 Plan, which has resulted in tighter credit terms being extended to smaller and less creditworthy customers. The decrease was also driven by lower sales from vape and natural products due to the illicit market vape crisis, as well as travel and regulatory restrictions in the markets that the Company operates in due to the COVID-19 pandemic.</w:t>
      </w:r>
    </w:p>
    <w:p w14:paraId="08274A75" w14:textId="77777777" w:rsidR="00A77B3E" w:rsidRDefault="00A77B3E">
      <w:pPr>
        <w:spacing w:line="248" w:lineRule="auto"/>
        <w:ind w:left="516"/>
        <w:rPr>
          <w:rFonts w:ascii="Arial" w:eastAsia="Arial" w:hAnsi="Arial" w:cs="Arial"/>
          <w:sz w:val="18"/>
          <w:shd w:val="clear" w:color="auto" w:fill="FFFF00"/>
        </w:rPr>
      </w:pPr>
    </w:p>
    <w:p w14:paraId="666030C9" w14:textId="7A213308" w:rsidR="00A77B3E" w:rsidRDefault="008A7CB9" w:rsidP="008A7CB9">
      <w:pPr>
        <w:numPr>
          <w:ilvl w:val="0"/>
          <w:numId w:val="5"/>
        </w:numPr>
        <w:spacing w:line="248" w:lineRule="auto"/>
        <w:ind w:left="516"/>
        <w:rPr>
          <w:sz w:val="20"/>
        </w:rPr>
      </w:pPr>
      <w:r>
        <w:rPr>
          <w:rFonts w:ascii="Arial" w:eastAsia="Arial" w:hAnsi="Arial" w:cs="Arial"/>
          <w:sz w:val="20"/>
        </w:rPr>
        <w:t xml:space="preserve">On a GAAP basis, gross profit was 7%, compared to </w:t>
      </w:r>
      <w:r w:rsidR="00B40BE2">
        <w:rPr>
          <w:rFonts w:ascii="Arial" w:eastAsia="Arial" w:hAnsi="Arial" w:cs="Arial"/>
          <w:sz w:val="20"/>
        </w:rPr>
        <w:t>16</w:t>
      </w:r>
      <w:r>
        <w:rPr>
          <w:rFonts w:ascii="Arial" w:eastAsia="Arial" w:hAnsi="Arial" w:cs="Arial"/>
          <w:sz w:val="20"/>
        </w:rPr>
        <w:t xml:space="preserve">% in the prior year. The decrease in GAAP gross profit was driven by </w:t>
      </w:r>
      <w:r w:rsidR="00BA0664">
        <w:rPr>
          <w:rFonts w:ascii="Arial" w:eastAsia="Arial" w:hAnsi="Arial" w:cs="Arial"/>
          <w:sz w:val="20"/>
        </w:rPr>
        <w:t xml:space="preserve">various </w:t>
      </w:r>
      <w:r>
        <w:rPr>
          <w:rFonts w:ascii="Arial" w:eastAsia="Arial" w:hAnsi="Arial" w:cs="Arial"/>
          <w:sz w:val="20"/>
        </w:rPr>
        <w:t xml:space="preserve">restructuring activities the Company implemented to execute its 2020 Plan, which led to excess and obsolete inventory write-downs and purchase order cancellation charges that the Company believes are non-recurring in nature. </w:t>
      </w:r>
    </w:p>
    <w:p w14:paraId="133C7766" w14:textId="77777777" w:rsidR="00A77B3E" w:rsidRDefault="00A77B3E">
      <w:pPr>
        <w:spacing w:line="248" w:lineRule="auto"/>
        <w:ind w:left="516"/>
        <w:jc w:val="both"/>
        <w:rPr>
          <w:rFonts w:ascii="Arial" w:eastAsia="Arial" w:hAnsi="Arial" w:cs="Arial"/>
          <w:sz w:val="18"/>
          <w:shd w:val="clear" w:color="auto" w:fill="FFFF00"/>
        </w:rPr>
      </w:pPr>
    </w:p>
    <w:p w14:paraId="11BD3882" w14:textId="66AFB22A" w:rsidR="00A77B3E" w:rsidRDefault="008A7CB9" w:rsidP="008A7CB9">
      <w:pPr>
        <w:numPr>
          <w:ilvl w:val="0"/>
          <w:numId w:val="5"/>
        </w:numPr>
        <w:spacing w:before="10" w:line="248" w:lineRule="auto"/>
        <w:ind w:left="516" w:right="72"/>
        <w:jc w:val="both"/>
        <w:rPr>
          <w:sz w:val="20"/>
        </w:rPr>
      </w:pPr>
      <w:r>
        <w:rPr>
          <w:rFonts w:ascii="Arial" w:eastAsia="Arial" w:hAnsi="Arial" w:cs="Arial"/>
          <w:sz w:val="20"/>
        </w:rPr>
        <w:t xml:space="preserve">On a Non-GAAP basis, excluding the impact of certain non-recurring items, gross profit was approximately 25%, compared to 21% in the prior year. </w:t>
      </w:r>
    </w:p>
    <w:p w14:paraId="232D8C66" w14:textId="77777777" w:rsidR="00A77B3E" w:rsidRDefault="00A77B3E">
      <w:pPr>
        <w:spacing w:line="248" w:lineRule="auto"/>
        <w:rPr>
          <w:rFonts w:ascii="Arial" w:eastAsia="Arial" w:hAnsi="Arial" w:cs="Arial"/>
          <w:sz w:val="22"/>
        </w:rPr>
      </w:pPr>
    </w:p>
    <w:p w14:paraId="256FEF3C" w14:textId="77777777" w:rsidR="00A77B3E" w:rsidRDefault="008A7CB9" w:rsidP="008A7CB9">
      <w:pPr>
        <w:numPr>
          <w:ilvl w:val="0"/>
          <w:numId w:val="5"/>
        </w:numPr>
        <w:spacing w:line="213" w:lineRule="auto"/>
        <w:ind w:left="516"/>
        <w:jc w:val="both"/>
        <w:rPr>
          <w:rFonts w:ascii="Arial" w:eastAsia="Arial" w:hAnsi="Arial" w:cs="Arial"/>
        </w:rPr>
      </w:pPr>
      <w:r>
        <w:rPr>
          <w:rFonts w:ascii="Arial" w:eastAsia="Arial" w:hAnsi="Arial" w:cs="Arial"/>
          <w:sz w:val="20"/>
        </w:rPr>
        <w:t xml:space="preserve">SG&amp;A expenses were approximately $71.3 million, compared to $72.8 million in the prior year. The decrease was driven by the </w:t>
      </w:r>
      <w:proofErr w:type="gramStart"/>
      <w:r>
        <w:rPr>
          <w:rFonts w:ascii="Arial" w:eastAsia="Arial" w:hAnsi="Arial" w:cs="Arial"/>
          <w:sz w:val="20"/>
        </w:rPr>
        <w:t>aforementioned cost</w:t>
      </w:r>
      <w:proofErr w:type="gramEnd"/>
      <w:r>
        <w:rPr>
          <w:rFonts w:ascii="Arial" w:eastAsia="Arial" w:hAnsi="Arial" w:cs="Arial"/>
          <w:sz w:val="20"/>
        </w:rPr>
        <w:t xml:space="preserve"> reductions.</w:t>
      </w:r>
    </w:p>
    <w:p w14:paraId="5239A3E4" w14:textId="77777777" w:rsidR="00A77B3E" w:rsidRDefault="00A77B3E">
      <w:pPr>
        <w:spacing w:line="248" w:lineRule="auto"/>
        <w:rPr>
          <w:rFonts w:ascii="Arial" w:eastAsia="Arial" w:hAnsi="Arial" w:cs="Arial"/>
          <w:sz w:val="22"/>
          <w:shd w:val="clear" w:color="auto" w:fill="FFFF00"/>
        </w:rPr>
      </w:pPr>
    </w:p>
    <w:p w14:paraId="08514C88" w14:textId="6FF36051" w:rsidR="00A77B3E" w:rsidRPr="00193268" w:rsidRDefault="008A7CB9" w:rsidP="00193268">
      <w:pPr>
        <w:numPr>
          <w:ilvl w:val="0"/>
          <w:numId w:val="5"/>
        </w:numPr>
        <w:spacing w:line="213" w:lineRule="auto"/>
        <w:ind w:left="516"/>
        <w:jc w:val="both"/>
        <w:rPr>
          <w:rFonts w:ascii="Arial" w:eastAsia="Arial" w:hAnsi="Arial" w:cs="Arial"/>
          <w:sz w:val="20"/>
        </w:rPr>
      </w:pPr>
      <w:r>
        <w:rPr>
          <w:rFonts w:ascii="Arial" w:eastAsia="Arial" w:hAnsi="Arial" w:cs="Arial"/>
          <w:sz w:val="20"/>
        </w:rPr>
        <w:t>On a Non-GAAP basis, Cash SG&amp;A expenses were approximately $</w:t>
      </w:r>
      <w:r w:rsidR="00B40BE2" w:rsidRPr="00193268">
        <w:rPr>
          <w:rFonts w:ascii="Arial" w:eastAsia="Arial" w:hAnsi="Arial" w:cs="Arial"/>
          <w:sz w:val="20"/>
        </w:rPr>
        <w:t>4</w:t>
      </w:r>
      <w:r w:rsidR="00826E41">
        <w:rPr>
          <w:rFonts w:ascii="Arial" w:eastAsia="Arial" w:hAnsi="Arial" w:cs="Arial"/>
          <w:sz w:val="20"/>
        </w:rPr>
        <w:t>2.7</w:t>
      </w:r>
      <w:r w:rsidRPr="00193268">
        <w:rPr>
          <w:rFonts w:ascii="Arial" w:eastAsia="Arial" w:hAnsi="Arial" w:cs="Arial"/>
          <w:sz w:val="20"/>
        </w:rPr>
        <w:t xml:space="preserve"> million, compared to $</w:t>
      </w:r>
      <w:r w:rsidR="00B40BE2" w:rsidRPr="00193268">
        <w:rPr>
          <w:rFonts w:ascii="Arial" w:eastAsia="Arial" w:hAnsi="Arial" w:cs="Arial"/>
          <w:sz w:val="20"/>
        </w:rPr>
        <w:t>54.</w:t>
      </w:r>
      <w:r w:rsidR="00826E41">
        <w:rPr>
          <w:rFonts w:ascii="Arial" w:eastAsia="Arial" w:hAnsi="Arial" w:cs="Arial"/>
          <w:sz w:val="20"/>
        </w:rPr>
        <w:t>6</w:t>
      </w:r>
      <w:r w:rsidRPr="00193268">
        <w:rPr>
          <w:rFonts w:ascii="Arial" w:eastAsia="Arial" w:hAnsi="Arial" w:cs="Arial"/>
          <w:sz w:val="20"/>
        </w:rPr>
        <w:t xml:space="preserve"> million in the prior year. </w:t>
      </w:r>
    </w:p>
    <w:p w14:paraId="31F1A3B2" w14:textId="77777777" w:rsidR="00A77B3E" w:rsidRDefault="00A77B3E">
      <w:pPr>
        <w:spacing w:line="248" w:lineRule="auto"/>
        <w:rPr>
          <w:rFonts w:ascii="Arial" w:eastAsia="Arial" w:hAnsi="Arial" w:cs="Arial"/>
          <w:sz w:val="22"/>
          <w:shd w:val="clear" w:color="auto" w:fill="FFFF00"/>
        </w:rPr>
      </w:pPr>
    </w:p>
    <w:p w14:paraId="1E21B68A" w14:textId="5FDFA6B8" w:rsidR="00A77B3E" w:rsidRDefault="008A7CB9" w:rsidP="008A7CB9">
      <w:pPr>
        <w:numPr>
          <w:ilvl w:val="0"/>
          <w:numId w:val="5"/>
        </w:numPr>
        <w:spacing w:before="2" w:line="248" w:lineRule="auto"/>
        <w:ind w:left="516" w:right="72"/>
        <w:jc w:val="both"/>
        <w:rPr>
          <w:sz w:val="20"/>
        </w:rPr>
      </w:pPr>
      <w:r>
        <w:rPr>
          <w:rFonts w:ascii="Arial" w:eastAsia="Arial" w:hAnsi="Arial" w:cs="Arial"/>
          <w:sz w:val="20"/>
        </w:rPr>
        <w:t>On a GAAP basis, net loss was approximately $77.7 million, compared to approximately $39.6 million in the prior year. Basic loss per share was $0.68 compared to $0.47 in the prior year. Net loss and net loss per share for fiscal 2020 were impacted by several restructuring charges and one-time expenses the Company recognized as part of the 2020 Plan. These expenses include severance and asset impairment charges associated with the Company’s reductions in force as well as completed and planned closures of its warehouse facilities to consolidate its warehouse footprint.</w:t>
      </w:r>
    </w:p>
    <w:p w14:paraId="0E647B91" w14:textId="77777777" w:rsidR="00A77B3E" w:rsidRDefault="00A77B3E">
      <w:pPr>
        <w:spacing w:before="2" w:line="248" w:lineRule="auto"/>
        <w:ind w:left="516" w:right="72"/>
        <w:jc w:val="both"/>
        <w:rPr>
          <w:rFonts w:ascii="Arial" w:eastAsia="Arial" w:hAnsi="Arial" w:cs="Arial"/>
          <w:sz w:val="18"/>
          <w:shd w:val="clear" w:color="auto" w:fill="FFFF00"/>
        </w:rPr>
      </w:pPr>
    </w:p>
    <w:p w14:paraId="3FE51C54" w14:textId="77777777" w:rsidR="00A77B3E" w:rsidRDefault="008A7CB9" w:rsidP="008A7CB9">
      <w:pPr>
        <w:numPr>
          <w:ilvl w:val="0"/>
          <w:numId w:val="5"/>
        </w:numPr>
        <w:spacing w:line="238" w:lineRule="auto"/>
        <w:ind w:left="516"/>
        <w:rPr>
          <w:rFonts w:ascii="Arial" w:eastAsia="Arial" w:hAnsi="Arial" w:cs="Arial"/>
          <w:sz w:val="20"/>
        </w:rPr>
      </w:pPr>
      <w:r>
        <w:rPr>
          <w:rFonts w:ascii="Arial" w:eastAsia="Arial" w:hAnsi="Arial" w:cs="Arial"/>
          <w:sz w:val="20"/>
        </w:rPr>
        <w:t>On a Non-GAAP basis, excluding the impact of certain non-recurring charges and gains such as the Company’s restructuring costs, net loss for the year was $33.6 million, or $0.29 per share, compared to a net loss of $29.8 million, or $0.35 per basic share, in the prior year.</w:t>
      </w:r>
    </w:p>
    <w:p w14:paraId="537C9443" w14:textId="77777777" w:rsidR="00A77B3E" w:rsidRDefault="00A77B3E">
      <w:pPr>
        <w:spacing w:line="248" w:lineRule="auto"/>
        <w:rPr>
          <w:rFonts w:ascii="Arial" w:eastAsia="Arial" w:hAnsi="Arial" w:cs="Arial"/>
          <w:sz w:val="22"/>
        </w:rPr>
      </w:pPr>
    </w:p>
    <w:p w14:paraId="6D50AEB2" w14:textId="77777777" w:rsidR="00A77B3E" w:rsidRDefault="008A7CB9" w:rsidP="008A7CB9">
      <w:pPr>
        <w:numPr>
          <w:ilvl w:val="0"/>
          <w:numId w:val="5"/>
        </w:numPr>
        <w:spacing w:before="2" w:line="248" w:lineRule="auto"/>
        <w:ind w:left="516" w:right="72"/>
        <w:jc w:val="both"/>
        <w:rPr>
          <w:sz w:val="20"/>
        </w:rPr>
      </w:pPr>
      <w:r>
        <w:rPr>
          <w:rFonts w:ascii="Arial" w:eastAsia="Arial" w:hAnsi="Arial" w:cs="Arial"/>
          <w:sz w:val="20"/>
        </w:rPr>
        <w:t xml:space="preserve">Adjusted EBITDA totaled ($23.3) million compared to approximately ($24.7) million in the prior year. The improvement was driven by the </w:t>
      </w:r>
      <w:proofErr w:type="gramStart"/>
      <w:r>
        <w:rPr>
          <w:rFonts w:ascii="Arial" w:eastAsia="Arial" w:hAnsi="Arial" w:cs="Arial"/>
          <w:sz w:val="20"/>
        </w:rPr>
        <w:t>aforementioned improvement</w:t>
      </w:r>
      <w:proofErr w:type="gramEnd"/>
      <w:r>
        <w:rPr>
          <w:rFonts w:ascii="Arial" w:eastAsia="Arial" w:hAnsi="Arial" w:cs="Arial"/>
          <w:sz w:val="20"/>
        </w:rPr>
        <w:t xml:space="preserve"> in margins and cost reductions.</w:t>
      </w:r>
    </w:p>
    <w:p w14:paraId="4B4AD322" w14:textId="77777777" w:rsidR="00A77B3E" w:rsidRDefault="00A77B3E">
      <w:pPr>
        <w:spacing w:line="248" w:lineRule="auto"/>
        <w:rPr>
          <w:sz w:val="20"/>
          <w:shd w:val="clear" w:color="auto" w:fill="FFFF00"/>
        </w:rPr>
      </w:pPr>
    </w:p>
    <w:p w14:paraId="10928B8F" w14:textId="77777777" w:rsidR="00A77B3E" w:rsidRDefault="008A7CB9">
      <w:pPr>
        <w:spacing w:line="248" w:lineRule="auto"/>
        <w:jc w:val="both"/>
        <w:rPr>
          <w:rFonts w:ascii="Arial" w:eastAsia="Arial" w:hAnsi="Arial" w:cs="Arial"/>
          <w:sz w:val="22"/>
        </w:rPr>
      </w:pPr>
      <w:r>
        <w:rPr>
          <w:rFonts w:ascii="Arial" w:eastAsia="Arial" w:hAnsi="Arial" w:cs="Arial"/>
          <w:b/>
          <w:sz w:val="20"/>
        </w:rPr>
        <w:t>Management Commentary</w:t>
      </w:r>
    </w:p>
    <w:p w14:paraId="61009602" w14:textId="77777777" w:rsidR="00A77B3E" w:rsidRDefault="00A77B3E">
      <w:pPr>
        <w:spacing w:line="248" w:lineRule="auto"/>
        <w:ind w:right="282"/>
        <w:rPr>
          <w:rFonts w:ascii="Arial" w:eastAsia="Arial" w:hAnsi="Arial" w:cs="Arial"/>
          <w:sz w:val="18"/>
          <w:shd w:val="clear" w:color="auto" w:fill="FFFF00"/>
        </w:rPr>
      </w:pPr>
    </w:p>
    <w:p w14:paraId="6E87B93E" w14:textId="220BD416" w:rsidR="00A77B3E" w:rsidRDefault="008A7CB9">
      <w:pPr>
        <w:spacing w:line="221" w:lineRule="auto"/>
        <w:rPr>
          <w:rFonts w:ascii="Arial" w:eastAsia="Arial" w:hAnsi="Arial" w:cs="Arial"/>
          <w:sz w:val="20"/>
        </w:rPr>
      </w:pPr>
      <w:r>
        <w:rPr>
          <w:rFonts w:ascii="Arial" w:eastAsia="Arial" w:hAnsi="Arial" w:cs="Arial"/>
          <w:sz w:val="20"/>
        </w:rPr>
        <w:t xml:space="preserve">Nick Kovacevich, KushCo’s Co-founder, Chairman and Chief Executive Officer, commented: “After a challenging start to the fiscal year—beginning with the illicit market vape crisis and, shortly thereafter, the onset of the COVID-19 pandemic— fiscal Q4 2020 was </w:t>
      </w:r>
      <w:r w:rsidR="00BB0153">
        <w:rPr>
          <w:rFonts w:ascii="Arial" w:eastAsia="Arial" w:hAnsi="Arial" w:cs="Arial"/>
          <w:sz w:val="20"/>
        </w:rPr>
        <w:t xml:space="preserve">one of </w:t>
      </w:r>
      <w:r>
        <w:rPr>
          <w:rFonts w:ascii="Arial" w:eastAsia="Arial" w:hAnsi="Arial" w:cs="Arial"/>
          <w:sz w:val="20"/>
        </w:rPr>
        <w:t>the most transformational quarter</w:t>
      </w:r>
      <w:r w:rsidR="00BB0153">
        <w:rPr>
          <w:rFonts w:ascii="Arial" w:eastAsia="Arial" w:hAnsi="Arial" w:cs="Arial"/>
          <w:sz w:val="20"/>
        </w:rPr>
        <w:t>s</w:t>
      </w:r>
      <w:r>
        <w:rPr>
          <w:rFonts w:ascii="Arial" w:eastAsia="Arial" w:hAnsi="Arial" w:cs="Arial"/>
          <w:sz w:val="20"/>
        </w:rPr>
        <w:t xml:space="preserve"> in KushCo's entire 10-year history. We onboarded several new high profile customers, returned to growth, executed </w:t>
      </w:r>
      <w:r w:rsidR="00BB0153">
        <w:rPr>
          <w:rFonts w:ascii="Arial" w:eastAsia="Arial" w:hAnsi="Arial" w:cs="Arial"/>
          <w:sz w:val="20"/>
        </w:rPr>
        <w:t>many of the</w:t>
      </w:r>
      <w:r>
        <w:rPr>
          <w:rFonts w:ascii="Arial" w:eastAsia="Arial" w:hAnsi="Arial" w:cs="Arial"/>
          <w:sz w:val="20"/>
        </w:rPr>
        <w:t xml:space="preserve"> major initiatives of our 2020 Plan, and achieved our first quarter of positive adjusted EBITDA and cash flow from operations in more than years. From a revenue perspective, we generated $26.5 million, representing a 19% increase compared to fiscal Q3. The sequential growth was largely driven </w:t>
      </w:r>
      <w:r>
        <w:rPr>
          <w:rFonts w:ascii="Arial" w:eastAsia="Arial" w:hAnsi="Arial" w:cs="Arial"/>
          <w:sz w:val="20"/>
        </w:rPr>
        <w:lastRenderedPageBreak/>
        <w:t xml:space="preserve">by an increase in sales to our top customers with whom we have worked hard these past two years to develop deep relationships. These customers are continuing to enter new markets and solidify their positions in existing markets, demonstrating our thesis that the industry will continue to see more consolidation, and that we </w:t>
      </w:r>
      <w:r w:rsidR="009A5B59">
        <w:rPr>
          <w:rFonts w:ascii="Arial" w:eastAsia="Arial" w:hAnsi="Arial" w:cs="Arial"/>
          <w:sz w:val="20"/>
        </w:rPr>
        <w:t xml:space="preserve">will </w:t>
      </w:r>
      <w:r>
        <w:rPr>
          <w:rFonts w:ascii="Arial" w:eastAsia="Arial" w:hAnsi="Arial" w:cs="Arial"/>
          <w:sz w:val="20"/>
        </w:rPr>
        <w:t xml:space="preserve">be rewarded by aligning ourselves with these larger operators.  </w:t>
      </w:r>
    </w:p>
    <w:p w14:paraId="67DA7CA7" w14:textId="77777777" w:rsidR="00A77B3E" w:rsidRDefault="00A77B3E">
      <w:pPr>
        <w:spacing w:line="248" w:lineRule="auto"/>
        <w:jc w:val="both"/>
        <w:rPr>
          <w:rFonts w:ascii="Arial" w:eastAsia="Arial" w:hAnsi="Arial" w:cs="Arial"/>
          <w:sz w:val="20"/>
        </w:rPr>
      </w:pPr>
    </w:p>
    <w:p w14:paraId="64DD05B3" w14:textId="1D9130D7" w:rsidR="00A77B3E" w:rsidRDefault="008A7CB9">
      <w:pPr>
        <w:spacing w:line="248" w:lineRule="auto"/>
        <w:jc w:val="both"/>
        <w:rPr>
          <w:rFonts w:ascii="Arial" w:eastAsia="Arial" w:hAnsi="Arial" w:cs="Arial"/>
          <w:sz w:val="20"/>
        </w:rPr>
      </w:pPr>
      <w:r>
        <w:rPr>
          <w:rFonts w:ascii="Arial" w:eastAsia="Arial" w:hAnsi="Arial" w:cs="Arial"/>
          <w:sz w:val="20"/>
        </w:rPr>
        <w:t xml:space="preserve">"In addition, we continued to generate incremental efficiencies in </w:t>
      </w:r>
      <w:r w:rsidR="009A5B59">
        <w:rPr>
          <w:rFonts w:ascii="Arial" w:eastAsia="Arial" w:hAnsi="Arial" w:cs="Arial"/>
          <w:sz w:val="20"/>
        </w:rPr>
        <w:t xml:space="preserve">our </w:t>
      </w:r>
      <w:r>
        <w:rPr>
          <w:rFonts w:ascii="Arial" w:eastAsia="Arial" w:hAnsi="Arial" w:cs="Arial"/>
          <w:sz w:val="20"/>
        </w:rPr>
        <w:t xml:space="preserve">business and substantially completed the restructuring initiatives we began in fiscal Q2 and fiscal Q3 related to our 2020 Plan, which helped us return to GAAP gross margins north of 25% and achieve our sixth consecutive quarter of 20%+ non-GAAP gross margins. We also continued to drive substantial cost reductions, generating cash SG&amp;A expenses of $7.3 million for fiscal </w:t>
      </w:r>
      <w:r w:rsidR="00A23910">
        <w:rPr>
          <w:rFonts w:ascii="Arial" w:eastAsia="Arial" w:hAnsi="Arial" w:cs="Arial"/>
          <w:sz w:val="20"/>
        </w:rPr>
        <w:t>Q4</w:t>
      </w:r>
      <w:r>
        <w:rPr>
          <w:rFonts w:ascii="Arial" w:eastAsia="Arial" w:hAnsi="Arial" w:cs="Arial"/>
          <w:sz w:val="20"/>
        </w:rPr>
        <w:t xml:space="preserve">, which represented a more than 50% decrease in cash SG&amp;A expenses from when we first launched our 2020 </w:t>
      </w:r>
      <w:r w:rsidR="00BB0153">
        <w:rPr>
          <w:rFonts w:ascii="Arial" w:eastAsia="Arial" w:hAnsi="Arial" w:cs="Arial"/>
          <w:sz w:val="20"/>
        </w:rPr>
        <w:t>P</w:t>
      </w:r>
      <w:r>
        <w:rPr>
          <w:rFonts w:ascii="Arial" w:eastAsia="Arial" w:hAnsi="Arial" w:cs="Arial"/>
          <w:sz w:val="20"/>
        </w:rPr>
        <w:t>lan at the end of fiscal Q1. We believe this is an impressive achievement in any environment, especially considering how quickly we were able to right-size our cost structure, and more importantly still drive growth, which speaks to the growing operating leverage we are realizing in our business. With higher revenues and margins, and a lower cost structure, we achieved positive adjusted EBITDA and cash flow from operations in fiscal Q4, demonstrating that we not only complete</w:t>
      </w:r>
      <w:r w:rsidR="008B4C21">
        <w:rPr>
          <w:rFonts w:ascii="Arial" w:eastAsia="Arial" w:hAnsi="Arial" w:cs="Arial"/>
          <w:sz w:val="20"/>
        </w:rPr>
        <w:t>d</w:t>
      </w:r>
      <w:r>
        <w:rPr>
          <w:rFonts w:ascii="Arial" w:eastAsia="Arial" w:hAnsi="Arial" w:cs="Arial"/>
          <w:sz w:val="20"/>
        </w:rPr>
        <w:t xml:space="preserve"> the right-sizing initiatives that we said we were going to </w:t>
      </w:r>
      <w:r w:rsidR="00A23910">
        <w:rPr>
          <w:rFonts w:ascii="Arial" w:eastAsia="Arial" w:hAnsi="Arial" w:cs="Arial"/>
          <w:sz w:val="20"/>
        </w:rPr>
        <w:t>complete</w:t>
      </w:r>
      <w:r>
        <w:rPr>
          <w:rFonts w:ascii="Arial" w:eastAsia="Arial" w:hAnsi="Arial" w:cs="Arial"/>
          <w:sz w:val="20"/>
        </w:rPr>
        <w:t xml:space="preserve">, but also that our focus on improving collections and reducing our cash conversion cycle is paying off. </w:t>
      </w:r>
    </w:p>
    <w:p w14:paraId="0E308DE8" w14:textId="77777777" w:rsidR="00A77B3E" w:rsidRDefault="00A77B3E">
      <w:pPr>
        <w:spacing w:line="248" w:lineRule="auto"/>
        <w:jc w:val="both"/>
        <w:rPr>
          <w:rFonts w:ascii="Arial" w:eastAsia="Arial" w:hAnsi="Arial" w:cs="Arial"/>
          <w:sz w:val="20"/>
        </w:rPr>
      </w:pPr>
    </w:p>
    <w:p w14:paraId="77C0A3A4" w14:textId="12E6C790" w:rsidR="00A77B3E" w:rsidRDefault="008A7CB9">
      <w:pPr>
        <w:spacing w:line="248" w:lineRule="auto"/>
        <w:jc w:val="both"/>
        <w:rPr>
          <w:rFonts w:ascii="Arial" w:eastAsia="Arial" w:hAnsi="Arial" w:cs="Arial"/>
          <w:sz w:val="20"/>
        </w:rPr>
      </w:pPr>
      <w:r>
        <w:rPr>
          <w:rFonts w:ascii="Arial" w:eastAsia="Arial" w:hAnsi="Arial" w:cs="Arial"/>
          <w:sz w:val="20"/>
        </w:rPr>
        <w:t>"We believe we are in a strong liquidity position to achieve our sales goals in the months and quarters ahead. Looking out to fiscal Q1</w:t>
      </w:r>
      <w:r w:rsidR="00B21EDD">
        <w:rPr>
          <w:rFonts w:ascii="Arial" w:eastAsia="Arial" w:hAnsi="Arial" w:cs="Arial"/>
          <w:sz w:val="20"/>
        </w:rPr>
        <w:t xml:space="preserve"> 2021</w:t>
      </w:r>
      <w:r>
        <w:rPr>
          <w:rFonts w:ascii="Arial" w:eastAsia="Arial" w:hAnsi="Arial" w:cs="Arial"/>
          <w:sz w:val="20"/>
        </w:rPr>
        <w:t xml:space="preserve">, we expect modest growth, driven by </w:t>
      </w:r>
      <w:r w:rsidR="00B21EDD">
        <w:rPr>
          <w:rFonts w:ascii="Arial" w:eastAsia="Arial" w:hAnsi="Arial" w:cs="Arial"/>
          <w:sz w:val="20"/>
        </w:rPr>
        <w:t xml:space="preserve">our </w:t>
      </w:r>
      <w:r>
        <w:rPr>
          <w:rFonts w:ascii="Arial" w:eastAsia="Arial" w:hAnsi="Arial" w:cs="Arial"/>
          <w:sz w:val="20"/>
        </w:rPr>
        <w:t xml:space="preserve">securing new business and cross-selling deeper into our existing customer base. We are also focused on </w:t>
      </w:r>
      <w:r w:rsidR="00B13FE2">
        <w:rPr>
          <w:rFonts w:ascii="Arial" w:eastAsia="Arial" w:hAnsi="Arial" w:cs="Arial"/>
          <w:sz w:val="20"/>
        </w:rPr>
        <w:t>securing long-term supply agreements</w:t>
      </w:r>
      <w:r w:rsidR="00DB04EE">
        <w:rPr>
          <w:rFonts w:ascii="Arial" w:eastAsia="Arial" w:hAnsi="Arial" w:cs="Arial"/>
          <w:sz w:val="20"/>
        </w:rPr>
        <w:t xml:space="preserve"> </w:t>
      </w:r>
      <w:r w:rsidR="00D02576">
        <w:rPr>
          <w:rFonts w:ascii="Arial" w:eastAsia="Arial" w:hAnsi="Arial" w:cs="Arial"/>
          <w:sz w:val="20"/>
        </w:rPr>
        <w:t xml:space="preserve">with </w:t>
      </w:r>
      <w:r>
        <w:rPr>
          <w:rFonts w:ascii="Arial" w:eastAsia="Arial" w:hAnsi="Arial" w:cs="Arial"/>
          <w:sz w:val="20"/>
        </w:rPr>
        <w:t xml:space="preserve">our top customers, which we believe will drive additional growth. Ultimately, however, the main sources of growth continue to be new states legalizing adult recreational and/or medical use, as well as our customers continuing to expand into new markets and further penetrate existing markets. To that end, we believe that fiscal 2021 </w:t>
      </w:r>
      <w:r w:rsidR="00B21EDD">
        <w:rPr>
          <w:rFonts w:ascii="Arial" w:eastAsia="Arial" w:hAnsi="Arial" w:cs="Arial"/>
          <w:sz w:val="20"/>
        </w:rPr>
        <w:t xml:space="preserve">may </w:t>
      </w:r>
      <w:r>
        <w:rPr>
          <w:rFonts w:ascii="Arial" w:eastAsia="Arial" w:hAnsi="Arial" w:cs="Arial"/>
          <w:sz w:val="20"/>
        </w:rPr>
        <w:t xml:space="preserve">be a major catalyst-driven year, with several states poised to legalize cannabis and the potential for more favorable legislation at the federal level, which </w:t>
      </w:r>
      <w:r w:rsidR="00B21EDD">
        <w:rPr>
          <w:rFonts w:ascii="Arial" w:eastAsia="Arial" w:hAnsi="Arial" w:cs="Arial"/>
          <w:sz w:val="20"/>
        </w:rPr>
        <w:t xml:space="preserve">may </w:t>
      </w:r>
      <w:r>
        <w:rPr>
          <w:rFonts w:ascii="Arial" w:eastAsia="Arial" w:hAnsi="Arial" w:cs="Arial"/>
          <w:sz w:val="20"/>
        </w:rPr>
        <w:t xml:space="preserve">support the continued expansion of our industry through an increase in access to capital. Our base case guidance for fiscal </w:t>
      </w:r>
      <w:r w:rsidR="004B6C1F">
        <w:rPr>
          <w:rFonts w:ascii="Arial" w:eastAsia="Arial" w:hAnsi="Arial" w:cs="Arial"/>
          <w:sz w:val="20"/>
        </w:rPr>
        <w:t xml:space="preserve">2021 </w:t>
      </w:r>
      <w:r>
        <w:rPr>
          <w:rFonts w:ascii="Arial" w:eastAsia="Arial" w:hAnsi="Arial" w:cs="Arial"/>
          <w:sz w:val="20"/>
        </w:rPr>
        <w:t xml:space="preserve">reflects solid profitable growth in the current status quo environment with a healthy upside if new states legalize cannabis for medical and/or adult use. As one of the leading providers of ancillary solutions to the MSOs, LPs, and top brands, we believe we are in prime position to capture this next wave of growth, which we believe should translate into stronger profitability, cash flow generation, and returns for our shareholders."  </w:t>
      </w:r>
    </w:p>
    <w:p w14:paraId="3452CAC8" w14:textId="77777777" w:rsidR="00A77B3E" w:rsidRDefault="00A77B3E">
      <w:pPr>
        <w:spacing w:line="248" w:lineRule="auto"/>
        <w:jc w:val="both"/>
        <w:rPr>
          <w:rFonts w:ascii="Arial" w:eastAsia="Arial" w:hAnsi="Arial" w:cs="Arial"/>
          <w:sz w:val="22"/>
        </w:rPr>
      </w:pPr>
    </w:p>
    <w:p w14:paraId="673A2C67" w14:textId="77777777" w:rsidR="00A77B3E" w:rsidRDefault="008A7CB9">
      <w:pPr>
        <w:spacing w:line="248" w:lineRule="auto"/>
        <w:jc w:val="both"/>
        <w:rPr>
          <w:rFonts w:ascii="Arial" w:eastAsia="Arial" w:hAnsi="Arial" w:cs="Arial"/>
          <w:sz w:val="22"/>
        </w:rPr>
      </w:pPr>
      <w:r>
        <w:rPr>
          <w:rFonts w:ascii="Arial" w:eastAsia="Arial" w:hAnsi="Arial" w:cs="Arial"/>
          <w:b/>
          <w:sz w:val="20"/>
        </w:rPr>
        <w:t>Fiscal 2021 Financial Outlook</w:t>
      </w:r>
    </w:p>
    <w:p w14:paraId="3DC64BC7" w14:textId="77777777" w:rsidR="00A77B3E" w:rsidRDefault="00A77B3E">
      <w:pPr>
        <w:spacing w:line="248" w:lineRule="auto"/>
        <w:jc w:val="both"/>
        <w:rPr>
          <w:rFonts w:ascii="Arial" w:eastAsia="Arial" w:hAnsi="Arial" w:cs="Arial"/>
          <w:sz w:val="22"/>
        </w:rPr>
      </w:pPr>
    </w:p>
    <w:p w14:paraId="7B55DB65" w14:textId="77777777" w:rsidR="00A77B3E" w:rsidRDefault="008A7CB9">
      <w:pPr>
        <w:spacing w:line="248" w:lineRule="auto"/>
        <w:jc w:val="both"/>
        <w:rPr>
          <w:rFonts w:ascii="Arial" w:eastAsia="Arial" w:hAnsi="Arial" w:cs="Arial"/>
          <w:sz w:val="20"/>
        </w:rPr>
      </w:pPr>
      <w:r>
        <w:rPr>
          <w:rFonts w:ascii="Arial" w:eastAsia="Arial" w:hAnsi="Arial" w:cs="Arial"/>
          <w:sz w:val="20"/>
        </w:rPr>
        <w:t>KushCo expects net revenue for its fiscal 2021 to be between $120.0 million and $150.0 million. In addition, the Company expects adjusted EBITDA for the fiscal year to be between $5.0 million and $7.0 million.</w:t>
      </w:r>
    </w:p>
    <w:p w14:paraId="27CEA42F" w14:textId="77777777" w:rsidR="00A77B3E" w:rsidRDefault="00A77B3E">
      <w:pPr>
        <w:spacing w:line="248" w:lineRule="auto"/>
        <w:rPr>
          <w:rFonts w:ascii="Arial" w:eastAsia="Arial" w:hAnsi="Arial" w:cs="Arial"/>
          <w:sz w:val="22"/>
        </w:rPr>
      </w:pPr>
    </w:p>
    <w:p w14:paraId="3D7D6788" w14:textId="77777777" w:rsidR="00A77B3E" w:rsidRDefault="008A7CB9">
      <w:pPr>
        <w:spacing w:line="248" w:lineRule="auto"/>
        <w:ind w:left="1"/>
        <w:jc w:val="both"/>
        <w:rPr>
          <w:rFonts w:ascii="Arial" w:eastAsia="Arial" w:hAnsi="Arial" w:cs="Arial"/>
          <w:b/>
          <w:sz w:val="20"/>
        </w:rPr>
      </w:pPr>
      <w:r>
        <w:rPr>
          <w:rFonts w:ascii="Arial" w:eastAsia="Arial" w:hAnsi="Arial" w:cs="Arial"/>
          <w:b/>
          <w:sz w:val="20"/>
        </w:rPr>
        <w:t>Conference Call Information</w:t>
      </w:r>
    </w:p>
    <w:p w14:paraId="0EF998B0" w14:textId="77777777" w:rsidR="00A77B3E" w:rsidRDefault="00A77B3E">
      <w:pPr>
        <w:spacing w:line="248" w:lineRule="auto"/>
        <w:rPr>
          <w:rFonts w:ascii="Arial" w:eastAsia="Arial" w:hAnsi="Arial" w:cs="Arial"/>
          <w:sz w:val="18"/>
          <w:shd w:val="clear" w:color="auto" w:fill="FFFF00"/>
        </w:rPr>
      </w:pPr>
    </w:p>
    <w:p w14:paraId="186347F8" w14:textId="77777777" w:rsidR="00A77B3E" w:rsidRDefault="008A7CB9">
      <w:pPr>
        <w:spacing w:line="248" w:lineRule="auto"/>
        <w:rPr>
          <w:rFonts w:ascii="Arial" w:eastAsia="Arial" w:hAnsi="Arial" w:cs="Arial"/>
          <w:sz w:val="18"/>
        </w:rPr>
      </w:pPr>
      <w:r>
        <w:rPr>
          <w:rFonts w:ascii="Arial" w:eastAsia="Arial" w:hAnsi="Arial" w:cs="Arial"/>
          <w:sz w:val="20"/>
        </w:rPr>
        <w:t>The company will host a conference call on Thursday, October 29, 2020 at 4:30 PM Eastern Time.</w:t>
      </w:r>
    </w:p>
    <w:p w14:paraId="33CCB921" w14:textId="77777777" w:rsidR="00A77B3E" w:rsidRDefault="00A77B3E">
      <w:pPr>
        <w:spacing w:before="6" w:line="248" w:lineRule="auto"/>
        <w:rPr>
          <w:rFonts w:ascii="Arial" w:eastAsia="Arial" w:hAnsi="Arial" w:cs="Arial"/>
          <w:sz w:val="18"/>
        </w:rPr>
      </w:pPr>
    </w:p>
    <w:p w14:paraId="4FE6FE21" w14:textId="77777777" w:rsidR="00A77B3E" w:rsidRDefault="008A7CB9">
      <w:pPr>
        <w:spacing w:line="248" w:lineRule="auto"/>
        <w:jc w:val="center"/>
        <w:rPr>
          <w:rFonts w:ascii="Arial" w:eastAsia="Arial" w:hAnsi="Arial" w:cs="Arial"/>
          <w:sz w:val="22"/>
        </w:rPr>
      </w:pPr>
      <w:r>
        <w:rPr>
          <w:rFonts w:ascii="Arial" w:eastAsia="Arial" w:hAnsi="Arial" w:cs="Arial"/>
          <w:b/>
          <w:sz w:val="20"/>
        </w:rPr>
        <w:t>Date:</w:t>
      </w:r>
      <w:r>
        <w:rPr>
          <w:rFonts w:ascii="Arial" w:eastAsia="Arial" w:hAnsi="Arial" w:cs="Arial"/>
          <w:sz w:val="20"/>
        </w:rPr>
        <w:t xml:space="preserve"> Thursday, October 29, 2020</w:t>
      </w:r>
    </w:p>
    <w:p w14:paraId="6BB01B57" w14:textId="77777777" w:rsidR="00A77B3E" w:rsidRDefault="008A7CB9">
      <w:pPr>
        <w:spacing w:line="248" w:lineRule="auto"/>
        <w:jc w:val="center"/>
        <w:rPr>
          <w:rFonts w:ascii="Arial" w:eastAsia="Arial" w:hAnsi="Arial" w:cs="Arial"/>
          <w:sz w:val="22"/>
        </w:rPr>
      </w:pPr>
      <w:r>
        <w:rPr>
          <w:rFonts w:ascii="Arial" w:eastAsia="Arial" w:hAnsi="Arial" w:cs="Arial"/>
          <w:b/>
          <w:sz w:val="20"/>
        </w:rPr>
        <w:t xml:space="preserve">Time: </w:t>
      </w:r>
      <w:r>
        <w:rPr>
          <w:rFonts w:ascii="Arial" w:eastAsia="Arial" w:hAnsi="Arial" w:cs="Arial"/>
          <w:sz w:val="20"/>
        </w:rPr>
        <w:t>4:30 p.m. Eastern time (1:30 p.m. Pacific time)</w:t>
      </w:r>
    </w:p>
    <w:p w14:paraId="5E15D343" w14:textId="77777777" w:rsidR="00A77B3E" w:rsidRDefault="008A7CB9">
      <w:pPr>
        <w:spacing w:line="248" w:lineRule="auto"/>
        <w:jc w:val="center"/>
        <w:rPr>
          <w:rFonts w:ascii="Arial" w:eastAsia="Arial" w:hAnsi="Arial" w:cs="Arial"/>
          <w:sz w:val="22"/>
        </w:rPr>
      </w:pPr>
      <w:r>
        <w:rPr>
          <w:rFonts w:ascii="Arial" w:eastAsia="Arial" w:hAnsi="Arial" w:cs="Arial"/>
          <w:b/>
          <w:sz w:val="20"/>
        </w:rPr>
        <w:t>Toll-free Number:</w:t>
      </w:r>
      <w:r>
        <w:rPr>
          <w:rFonts w:ascii="Arial" w:eastAsia="Arial" w:hAnsi="Arial" w:cs="Arial"/>
          <w:sz w:val="20"/>
        </w:rPr>
        <w:t xml:space="preserve"> 1-877-407-9039</w:t>
      </w:r>
    </w:p>
    <w:p w14:paraId="06569885" w14:textId="77777777" w:rsidR="00A77B3E" w:rsidRDefault="008A7CB9">
      <w:pPr>
        <w:spacing w:line="248" w:lineRule="auto"/>
        <w:jc w:val="center"/>
        <w:rPr>
          <w:rFonts w:ascii="Arial" w:eastAsia="Arial" w:hAnsi="Arial" w:cs="Arial"/>
          <w:sz w:val="22"/>
        </w:rPr>
      </w:pPr>
      <w:r>
        <w:rPr>
          <w:rFonts w:ascii="Arial" w:eastAsia="Arial" w:hAnsi="Arial" w:cs="Arial"/>
          <w:b/>
          <w:sz w:val="20"/>
        </w:rPr>
        <w:t>International Number:</w:t>
      </w:r>
      <w:r>
        <w:rPr>
          <w:rFonts w:ascii="Arial" w:eastAsia="Arial" w:hAnsi="Arial" w:cs="Arial"/>
          <w:sz w:val="20"/>
        </w:rPr>
        <w:t xml:space="preserve"> 1-201-689-8470</w:t>
      </w:r>
    </w:p>
    <w:p w14:paraId="4325DE5D" w14:textId="77777777" w:rsidR="00A77B3E" w:rsidRDefault="008A7CB9">
      <w:pPr>
        <w:spacing w:line="248" w:lineRule="auto"/>
        <w:jc w:val="center"/>
        <w:rPr>
          <w:rFonts w:ascii="Arial" w:eastAsia="Arial" w:hAnsi="Arial" w:cs="Arial"/>
          <w:sz w:val="20"/>
        </w:rPr>
      </w:pPr>
      <w:r>
        <w:rPr>
          <w:rFonts w:ascii="Arial" w:eastAsia="Arial" w:hAnsi="Arial" w:cs="Arial"/>
          <w:b/>
          <w:sz w:val="20"/>
        </w:rPr>
        <w:t>Conference ID:</w:t>
      </w:r>
      <w:r>
        <w:rPr>
          <w:rFonts w:ascii="Arial" w:eastAsia="Arial" w:hAnsi="Arial" w:cs="Arial"/>
          <w:sz w:val="20"/>
        </w:rPr>
        <w:t xml:space="preserve"> 13711540</w:t>
      </w:r>
    </w:p>
    <w:p w14:paraId="1ED06A88" w14:textId="77777777" w:rsidR="00A77B3E" w:rsidRDefault="00A77B3E">
      <w:pPr>
        <w:spacing w:before="6" w:line="248" w:lineRule="auto"/>
        <w:rPr>
          <w:rFonts w:ascii="Arial" w:eastAsia="Arial" w:hAnsi="Arial" w:cs="Arial"/>
          <w:sz w:val="18"/>
        </w:rPr>
      </w:pPr>
    </w:p>
    <w:p w14:paraId="3C93A797" w14:textId="77777777" w:rsidR="00A77B3E" w:rsidRDefault="008A7CB9">
      <w:pPr>
        <w:spacing w:line="248" w:lineRule="auto"/>
        <w:jc w:val="both"/>
        <w:rPr>
          <w:rFonts w:ascii="Arial" w:eastAsia="Arial" w:hAnsi="Arial" w:cs="Arial"/>
          <w:sz w:val="22"/>
        </w:rPr>
      </w:pPr>
      <w:r>
        <w:rPr>
          <w:rFonts w:ascii="Arial" w:eastAsia="Arial" w:hAnsi="Arial" w:cs="Arial"/>
          <w:sz w:val="20"/>
        </w:rPr>
        <w:t xml:space="preserve">KushCo management will host the conference call and presentation followed by a question and answer session. The call will be webcast with an accompanying slide deck, which can be accessed by visiting the </w:t>
      </w:r>
      <w:r>
        <w:rPr>
          <w:rFonts w:ascii="Arial" w:eastAsia="Arial" w:hAnsi="Arial" w:cs="Arial"/>
          <w:color w:val="0000FF"/>
          <w:sz w:val="20"/>
          <w:u w:val="single"/>
        </w:rPr>
        <w:t>Financial Results</w:t>
      </w:r>
      <w:r>
        <w:rPr>
          <w:rFonts w:ascii="Arial" w:eastAsia="Arial" w:hAnsi="Arial" w:cs="Arial"/>
          <w:sz w:val="20"/>
        </w:rPr>
        <w:t xml:space="preserve"> page of the Company’s investor relations website. </w:t>
      </w:r>
    </w:p>
    <w:p w14:paraId="079130F0" w14:textId="77777777" w:rsidR="00A77B3E" w:rsidRDefault="00A77B3E">
      <w:pPr>
        <w:spacing w:line="248" w:lineRule="auto"/>
        <w:jc w:val="both"/>
        <w:rPr>
          <w:rFonts w:ascii="Arial" w:eastAsia="Arial" w:hAnsi="Arial" w:cs="Arial"/>
          <w:sz w:val="22"/>
        </w:rPr>
      </w:pPr>
    </w:p>
    <w:p w14:paraId="680F1BEF" w14:textId="77777777" w:rsidR="00A77B3E" w:rsidRDefault="008A7CB9">
      <w:pPr>
        <w:spacing w:line="248" w:lineRule="auto"/>
        <w:jc w:val="both"/>
        <w:rPr>
          <w:rFonts w:ascii="Arial" w:eastAsia="Arial" w:hAnsi="Arial" w:cs="Arial"/>
          <w:sz w:val="22"/>
        </w:rPr>
      </w:pPr>
      <w:r>
        <w:rPr>
          <w:rFonts w:ascii="Arial" w:eastAsia="Arial" w:hAnsi="Arial" w:cs="Arial"/>
          <w:sz w:val="20"/>
        </w:rPr>
        <w:t xml:space="preserve">All interested parties are invited to listen to the live conference call and presentation by dialing the number above or by clicking the webcast link available on the </w:t>
      </w:r>
      <w:r>
        <w:rPr>
          <w:rFonts w:ascii="Arial" w:eastAsia="Arial" w:hAnsi="Arial" w:cs="Arial"/>
          <w:color w:val="0000FF"/>
          <w:sz w:val="20"/>
          <w:u w:val="single"/>
        </w:rPr>
        <w:t>Financial Results</w:t>
      </w:r>
      <w:r>
        <w:rPr>
          <w:rFonts w:ascii="Arial" w:eastAsia="Arial" w:hAnsi="Arial" w:cs="Arial"/>
          <w:sz w:val="20"/>
        </w:rPr>
        <w:t xml:space="preserve"> page of the Company’s investor relations website. </w:t>
      </w:r>
    </w:p>
    <w:p w14:paraId="26AF9B3C" w14:textId="77777777" w:rsidR="00A77B3E" w:rsidRDefault="00A77B3E">
      <w:pPr>
        <w:spacing w:line="248" w:lineRule="auto"/>
        <w:jc w:val="both"/>
        <w:rPr>
          <w:rFonts w:ascii="Arial" w:eastAsia="Arial" w:hAnsi="Arial" w:cs="Arial"/>
          <w:sz w:val="22"/>
        </w:rPr>
      </w:pPr>
    </w:p>
    <w:p w14:paraId="39E3067E" w14:textId="77777777" w:rsidR="00A77B3E" w:rsidRDefault="008A7CB9">
      <w:pPr>
        <w:spacing w:line="248" w:lineRule="auto"/>
        <w:jc w:val="both"/>
        <w:rPr>
          <w:rFonts w:ascii="Arial" w:eastAsia="Arial" w:hAnsi="Arial" w:cs="Arial"/>
          <w:sz w:val="22"/>
        </w:rPr>
      </w:pPr>
      <w:r>
        <w:rPr>
          <w:rFonts w:ascii="Arial" w:eastAsia="Arial" w:hAnsi="Arial" w:cs="Arial"/>
          <w:sz w:val="20"/>
        </w:rPr>
        <w:t xml:space="preserve">Please visit the website at least 15 minutes prior to the call to register, download, and install any necessary audio software. An operator will register your name and organization. If you have any difficulty connecting with the conference call or webcast, please contact KushCo’s investor relations at </w:t>
      </w:r>
      <w:r>
        <w:rPr>
          <w:rFonts w:ascii="Arial" w:eastAsia="Arial" w:hAnsi="Arial" w:cs="Arial"/>
          <w:color w:val="0000FF"/>
          <w:sz w:val="20"/>
          <w:u w:val="single"/>
        </w:rPr>
        <w:t>ir@kushco.com</w:t>
      </w:r>
      <w:r>
        <w:rPr>
          <w:rFonts w:ascii="Arial" w:eastAsia="Arial" w:hAnsi="Arial" w:cs="Arial"/>
          <w:sz w:val="20"/>
        </w:rPr>
        <w:t xml:space="preserve"> or 714-539-7653.</w:t>
      </w:r>
    </w:p>
    <w:p w14:paraId="557CE45E" w14:textId="77777777" w:rsidR="00A77B3E" w:rsidRDefault="00A77B3E">
      <w:pPr>
        <w:spacing w:line="248" w:lineRule="auto"/>
        <w:jc w:val="both"/>
        <w:rPr>
          <w:rFonts w:ascii="Arial" w:eastAsia="Arial" w:hAnsi="Arial" w:cs="Arial"/>
          <w:sz w:val="22"/>
        </w:rPr>
      </w:pPr>
    </w:p>
    <w:p w14:paraId="3351C6C3" w14:textId="77777777" w:rsidR="00A77B3E" w:rsidRDefault="008A7CB9">
      <w:pPr>
        <w:spacing w:line="248" w:lineRule="auto"/>
        <w:jc w:val="both"/>
        <w:rPr>
          <w:rFonts w:ascii="Arial" w:eastAsia="Arial" w:hAnsi="Arial" w:cs="Arial"/>
          <w:sz w:val="18"/>
        </w:rPr>
      </w:pPr>
      <w:r>
        <w:rPr>
          <w:rFonts w:ascii="Arial" w:eastAsia="Arial" w:hAnsi="Arial" w:cs="Arial"/>
          <w:sz w:val="20"/>
        </w:rPr>
        <w:t xml:space="preserve">A replay of the call will be available on the </w:t>
      </w:r>
      <w:r>
        <w:rPr>
          <w:rFonts w:ascii="Arial" w:eastAsia="Arial" w:hAnsi="Arial" w:cs="Arial"/>
          <w:color w:val="0000FF"/>
          <w:sz w:val="20"/>
          <w:u w:val="single"/>
        </w:rPr>
        <w:t>Financial Results</w:t>
      </w:r>
      <w:r>
        <w:rPr>
          <w:rFonts w:ascii="Arial" w:eastAsia="Arial" w:hAnsi="Arial" w:cs="Arial"/>
          <w:sz w:val="20"/>
        </w:rPr>
        <w:t xml:space="preserve"> page of the Company’s investor relations website approximately two hours after the conference call has ended. </w:t>
      </w:r>
    </w:p>
    <w:p w14:paraId="6342EDCC" w14:textId="77777777" w:rsidR="00A77B3E" w:rsidRDefault="00A77B3E">
      <w:pPr>
        <w:spacing w:before="6" w:line="248" w:lineRule="auto"/>
        <w:rPr>
          <w:rFonts w:ascii="Arial" w:eastAsia="Arial" w:hAnsi="Arial" w:cs="Arial"/>
          <w:sz w:val="18"/>
          <w:shd w:val="clear" w:color="auto" w:fill="FFFF00"/>
        </w:rPr>
      </w:pPr>
    </w:p>
    <w:p w14:paraId="19A9857A" w14:textId="77777777" w:rsidR="00A77B3E" w:rsidRDefault="008A7CB9">
      <w:pPr>
        <w:spacing w:before="1" w:line="248" w:lineRule="auto"/>
        <w:rPr>
          <w:rFonts w:ascii="Arial" w:eastAsia="Arial" w:hAnsi="Arial" w:cs="Arial"/>
          <w:sz w:val="22"/>
        </w:rPr>
      </w:pPr>
      <w:r>
        <w:rPr>
          <w:rFonts w:ascii="Arial" w:eastAsia="Arial" w:hAnsi="Arial" w:cs="Arial"/>
          <w:b/>
          <w:sz w:val="20"/>
          <w:u w:val="single"/>
        </w:rPr>
        <w:t>About KushCo Holdings, Inc</w:t>
      </w:r>
      <w:r>
        <w:rPr>
          <w:rFonts w:ascii="Arial" w:eastAsia="Arial" w:hAnsi="Arial" w:cs="Arial"/>
          <w:b/>
          <w:sz w:val="20"/>
        </w:rPr>
        <w:t>.</w:t>
      </w:r>
    </w:p>
    <w:p w14:paraId="17724F0C" w14:textId="77777777" w:rsidR="00A77B3E" w:rsidRDefault="00A77B3E">
      <w:pPr>
        <w:spacing w:before="5" w:line="248" w:lineRule="auto"/>
        <w:rPr>
          <w:rFonts w:ascii="Arial" w:eastAsia="Arial" w:hAnsi="Arial" w:cs="Arial"/>
          <w:sz w:val="18"/>
        </w:rPr>
      </w:pPr>
    </w:p>
    <w:p w14:paraId="174F3BE7" w14:textId="77777777" w:rsidR="00A77B3E" w:rsidRDefault="008A7CB9">
      <w:pPr>
        <w:spacing w:line="238" w:lineRule="auto"/>
        <w:jc w:val="both"/>
      </w:pPr>
      <w:r>
        <w:rPr>
          <w:rFonts w:ascii="Arial" w:eastAsia="Arial" w:hAnsi="Arial" w:cs="Arial"/>
          <w:sz w:val="20"/>
          <w:shd w:val="clear" w:color="auto" w:fill="FFFFFF"/>
        </w:rPr>
        <w:t xml:space="preserve">KushCo Holdings, Inc. (OTCQX: KSHB) (www.kushco.com) is a premier provider of ancillary products and services to the legal cannabis and CBD industries. KushCo Holdings' subsidiaries and brands provide product quality, exceptional customer </w:t>
      </w:r>
      <w:r>
        <w:rPr>
          <w:rFonts w:ascii="Arial" w:eastAsia="Arial" w:hAnsi="Arial" w:cs="Arial"/>
          <w:sz w:val="20"/>
          <w:shd w:val="clear" w:color="auto" w:fill="FFFFFF"/>
        </w:rPr>
        <w:lastRenderedPageBreak/>
        <w:t>service, compliance knowledge and a local presence in serving its diverse customer base, which consists of leading multi-state-operators (MSOs), licensed producers (LPs), and brands.</w:t>
      </w:r>
    </w:p>
    <w:p w14:paraId="55B9DDC4" w14:textId="77777777" w:rsidR="00A77B3E" w:rsidRDefault="00A77B3E">
      <w:pPr>
        <w:spacing w:line="238" w:lineRule="auto"/>
        <w:rPr>
          <w:rFonts w:ascii="Arial" w:eastAsia="Arial" w:hAnsi="Arial" w:cs="Arial"/>
        </w:rPr>
      </w:pPr>
    </w:p>
    <w:p w14:paraId="567D81AB" w14:textId="77777777" w:rsidR="00A77B3E" w:rsidRDefault="008A7CB9">
      <w:pPr>
        <w:spacing w:line="238" w:lineRule="auto"/>
        <w:jc w:val="both"/>
      </w:pPr>
      <w:r>
        <w:rPr>
          <w:rFonts w:ascii="Arial" w:eastAsia="Arial" w:hAnsi="Arial" w:cs="Arial"/>
          <w:sz w:val="20"/>
          <w:shd w:val="clear" w:color="auto" w:fill="FFFFFF"/>
        </w:rPr>
        <w:t xml:space="preserve">Founded in 2010, KushCo Holdings has now sold more than 1 billion units to growers, brand owners, processors and producers across North America, South America, and Europe, specializing in child-resistant compatible and fully customizable packaging, exclusive vape hardware and technology, and complementary solvents and natural products. </w:t>
      </w:r>
    </w:p>
    <w:p w14:paraId="27E45251" w14:textId="77777777" w:rsidR="00A77B3E" w:rsidRDefault="00A77B3E">
      <w:pPr>
        <w:spacing w:line="238" w:lineRule="auto"/>
        <w:rPr>
          <w:rFonts w:ascii="Arial" w:eastAsia="Arial" w:hAnsi="Arial" w:cs="Arial"/>
        </w:rPr>
      </w:pPr>
    </w:p>
    <w:p w14:paraId="7D36B50E" w14:textId="77777777" w:rsidR="00A77B3E" w:rsidRDefault="008A7CB9">
      <w:pPr>
        <w:spacing w:line="238" w:lineRule="auto"/>
        <w:jc w:val="both"/>
      </w:pPr>
      <w:r>
        <w:rPr>
          <w:rFonts w:ascii="Arial" w:eastAsia="Arial" w:hAnsi="Arial" w:cs="Arial"/>
          <w:sz w:val="20"/>
          <w:shd w:val="clear" w:color="auto" w:fill="FFFFFF"/>
        </w:rPr>
        <w:t xml:space="preserve">As a pioneer in the industry, KushCo continues to work to create a positive impact on the environment, society, and community through CSR and ESG initiatives, such as: offering sustainable and compostable packaging; donating PPE supplies to healthcare workers on the frontline fighting the COVID-19 pandemic; partnering with organizations such as Mission Green to offer social equity programs for industry inclusion; being one of the first in the industry to award paid time-off for all employees on November 3, 2020 (“Election Day”); and working to incorporate industry-leading corporate governance practices and a more diverse board makeup. </w:t>
      </w:r>
    </w:p>
    <w:p w14:paraId="36CCCCCD" w14:textId="77777777" w:rsidR="00A77B3E" w:rsidRDefault="00A77B3E">
      <w:pPr>
        <w:spacing w:line="238" w:lineRule="auto"/>
        <w:rPr>
          <w:rFonts w:ascii="Arial" w:eastAsia="Arial" w:hAnsi="Arial" w:cs="Arial"/>
        </w:rPr>
      </w:pPr>
    </w:p>
    <w:p w14:paraId="69D9B1E8" w14:textId="77777777" w:rsidR="00A77B3E" w:rsidRDefault="008A7CB9">
      <w:pPr>
        <w:spacing w:line="238" w:lineRule="auto"/>
        <w:jc w:val="both"/>
      </w:pPr>
      <w:r>
        <w:rPr>
          <w:rFonts w:ascii="Arial" w:eastAsia="Arial" w:hAnsi="Arial" w:cs="Arial"/>
          <w:sz w:val="20"/>
          <w:shd w:val="clear" w:color="auto" w:fill="FFFFFF"/>
        </w:rPr>
        <w:t>For more information on KushCo’s commitment to CSR and ESG initiatives, please visit the Company’s #KushCares page at</w:t>
      </w:r>
      <w:r>
        <w:rPr>
          <w:rFonts w:ascii="Arial" w:eastAsia="Arial" w:hAnsi="Arial" w:cs="Arial"/>
        </w:rPr>
        <w:t xml:space="preserve"> </w:t>
      </w:r>
      <w:r>
        <w:rPr>
          <w:rFonts w:ascii="Arial" w:eastAsia="Arial" w:hAnsi="Arial" w:cs="Arial"/>
          <w:color w:val="0000FF"/>
          <w:sz w:val="20"/>
          <w:shd w:val="clear" w:color="auto" w:fill="FFFFFF"/>
        </w:rPr>
        <w:t>www.kushco.com/kushcares</w:t>
      </w:r>
      <w:r>
        <w:rPr>
          <w:rFonts w:ascii="Arial" w:eastAsia="Arial" w:hAnsi="Arial" w:cs="Arial"/>
          <w:sz w:val="20"/>
          <w:shd w:val="clear" w:color="auto" w:fill="FFFFFF"/>
        </w:rPr>
        <w:t xml:space="preserve">.  </w:t>
      </w:r>
      <w:r>
        <w:rPr>
          <w:rFonts w:ascii="Arial" w:eastAsia="Arial" w:hAnsi="Arial" w:cs="Arial"/>
        </w:rPr>
        <w:t xml:space="preserve"> </w:t>
      </w:r>
    </w:p>
    <w:p w14:paraId="5F8AFE86" w14:textId="77777777" w:rsidR="00A77B3E" w:rsidRDefault="00A77B3E">
      <w:pPr>
        <w:spacing w:line="238" w:lineRule="auto"/>
        <w:rPr>
          <w:rFonts w:ascii="Arial" w:eastAsia="Arial" w:hAnsi="Arial" w:cs="Arial"/>
        </w:rPr>
      </w:pPr>
    </w:p>
    <w:p w14:paraId="7253546F" w14:textId="77777777" w:rsidR="00A77B3E" w:rsidRDefault="008A7CB9">
      <w:pPr>
        <w:spacing w:line="238" w:lineRule="auto"/>
        <w:rPr>
          <w:rFonts w:ascii="Arial" w:eastAsia="Arial" w:hAnsi="Arial" w:cs="Arial"/>
          <w:sz w:val="20"/>
        </w:rPr>
      </w:pPr>
      <w:r>
        <w:rPr>
          <w:rFonts w:ascii="Arial" w:eastAsia="Arial" w:hAnsi="Arial" w:cs="Arial"/>
          <w:sz w:val="20"/>
          <w:shd w:val="clear" w:color="auto" w:fill="FFFFFF"/>
        </w:rPr>
        <w:t xml:space="preserve">KushCo has been featured in media nationwide, including CNBC, Fox News, Yahoo Finance, Cheddar, Los Angeles Times, TheStreet.com, and Entrepreneur, Inc Magazine. For more information, visit </w:t>
      </w:r>
      <w:r>
        <w:rPr>
          <w:rFonts w:ascii="Arial" w:eastAsia="Arial" w:hAnsi="Arial" w:cs="Arial"/>
          <w:color w:val="0000FF"/>
          <w:sz w:val="20"/>
          <w:shd w:val="clear" w:color="auto" w:fill="FFFFFF"/>
        </w:rPr>
        <w:t xml:space="preserve">www.kushco.com </w:t>
      </w:r>
      <w:r>
        <w:rPr>
          <w:rFonts w:ascii="Arial" w:eastAsia="Arial" w:hAnsi="Arial" w:cs="Arial"/>
          <w:sz w:val="20"/>
          <w:shd w:val="clear" w:color="auto" w:fill="FFFFFF"/>
        </w:rPr>
        <w:t>or call (888) 920-5874.</w:t>
      </w:r>
    </w:p>
    <w:p w14:paraId="01DB2CE6" w14:textId="77777777" w:rsidR="00A77B3E" w:rsidRDefault="00A77B3E">
      <w:pPr>
        <w:spacing w:line="238" w:lineRule="auto"/>
        <w:rPr>
          <w:rFonts w:ascii="Arial" w:eastAsia="Arial" w:hAnsi="Arial" w:cs="Arial"/>
          <w:sz w:val="20"/>
          <w:shd w:val="clear" w:color="auto" w:fill="FFFFFF"/>
        </w:rPr>
      </w:pPr>
    </w:p>
    <w:p w14:paraId="50562FB9" w14:textId="77777777" w:rsidR="00A77B3E" w:rsidRPr="00933474" w:rsidRDefault="008A7CB9">
      <w:pPr>
        <w:spacing w:line="248" w:lineRule="auto"/>
        <w:rPr>
          <w:rFonts w:ascii="Arial" w:eastAsia="Arial" w:hAnsi="Arial" w:cs="Arial"/>
          <w:b/>
          <w:sz w:val="20"/>
          <w:u w:val="single"/>
        </w:rPr>
      </w:pPr>
      <w:r w:rsidRPr="00933474">
        <w:rPr>
          <w:rFonts w:ascii="Arial" w:eastAsia="Arial" w:hAnsi="Arial" w:cs="Arial"/>
          <w:b/>
          <w:sz w:val="20"/>
          <w:u w:val="single"/>
        </w:rPr>
        <w:t>About Non-GAAP Financial Measures</w:t>
      </w:r>
    </w:p>
    <w:p w14:paraId="1571A095" w14:textId="77777777" w:rsidR="00A77B3E" w:rsidRPr="00933474" w:rsidRDefault="00A77B3E">
      <w:pPr>
        <w:spacing w:before="6" w:line="248" w:lineRule="auto"/>
        <w:rPr>
          <w:rFonts w:ascii="Arial" w:eastAsia="Arial" w:hAnsi="Arial" w:cs="Arial"/>
          <w:sz w:val="18"/>
          <w:shd w:val="clear" w:color="auto" w:fill="FFFF00"/>
        </w:rPr>
      </w:pPr>
    </w:p>
    <w:p w14:paraId="432A2C7A" w14:textId="16F3F55A" w:rsidR="00A77B3E" w:rsidRDefault="008A7CB9">
      <w:pPr>
        <w:spacing w:line="248" w:lineRule="auto"/>
        <w:ind w:right="-18"/>
        <w:jc w:val="both"/>
        <w:rPr>
          <w:rFonts w:ascii="Arial" w:eastAsia="Arial" w:hAnsi="Arial" w:cs="Arial"/>
          <w:sz w:val="20"/>
        </w:rPr>
      </w:pPr>
      <w:r w:rsidRPr="00933474">
        <w:rPr>
          <w:rFonts w:ascii="Arial" w:eastAsia="Arial" w:hAnsi="Arial" w:cs="Arial"/>
          <w:sz w:val="20"/>
        </w:rPr>
        <w:t>This press release and the accompanying tables include certain non-GAAP (Generally Accepted Accounting Principles) financial measures. Non-GAAP financial measures should not be considered as a substitute for, or superior to, measures of financial performance prepared in accordance with GAAP. These non-GAAP financial measures do not reflect a comprehensive system of accounting, differ from GAAP measures with the same names and may differ from non-GAAP financial measures with the same or similar names that are used by other companies. The Company computes non-GAAP financial measures using the same consistent method from quarter to quarter and year to year. The Company may consider whether other significant items that arise in the future should be excluded from the non-GAAP financial measures. The Company believes that these non-GAAP financial measures provide meaningful supplemental information regarding the Company's operating results primarily because they exclude amounts that are not considered part of ongoing operating results when planning and forecasting and when assessing the performance of the organization. In addition, the Company believes that non-GAAP financial information is used by analysts and others in the investment community to analyze the Company's historical results and in providing estimates of future performance and that failure to report these non-GAAP measures could result in confusion among analysts and others and create a misplaced perception that the Company's results have underperformed or exceeded expectations. For a description of these non-GAAP financial measures and reconciliation of these non-GAAP financial measures to the most directly comparable financial measures prepared in accordance with GAAP, please see the accompanying table titled "Reconciliation of GAAP to Non-GAAP Financial Measures".</w:t>
      </w:r>
    </w:p>
    <w:p w14:paraId="28184E52" w14:textId="47816459" w:rsidR="00FE51C4" w:rsidRDefault="00FE51C4">
      <w:pPr>
        <w:spacing w:line="248" w:lineRule="auto"/>
        <w:ind w:right="-18"/>
        <w:jc w:val="both"/>
        <w:rPr>
          <w:rFonts w:ascii="Arial" w:eastAsia="Arial" w:hAnsi="Arial" w:cs="Arial"/>
          <w:sz w:val="20"/>
        </w:rPr>
      </w:pPr>
    </w:p>
    <w:p w14:paraId="7C627945" w14:textId="77777777" w:rsidR="00FE51C4" w:rsidRPr="00E05F86" w:rsidRDefault="00FE51C4" w:rsidP="00FE51C4">
      <w:pPr>
        <w:spacing w:before="1" w:line="247" w:lineRule="auto"/>
        <w:rPr>
          <w:rFonts w:ascii="Arial" w:hAnsi="Arial" w:cs="Arial"/>
          <w:color w:val="000000"/>
          <w:sz w:val="20"/>
          <w:szCs w:val="20"/>
        </w:rPr>
      </w:pPr>
      <w:r w:rsidRPr="00E05F86">
        <w:rPr>
          <w:rFonts w:ascii="Arial" w:hAnsi="Arial" w:cs="Arial"/>
          <w:color w:val="000000"/>
          <w:sz w:val="20"/>
          <w:szCs w:val="20"/>
        </w:rPr>
        <w:t>The Company has provided Adjusted EBITDA guidance only on a non-GAAP basis and has not provided a reconciliation of the forward-looking non-GAAP Adjusted EBITDA financial measure to the most directly comparable GAAP financial measure, net income (loss), because not all of the information necessary for a quantitative reconciliation is available to the Company without unreasonable effort.</w:t>
      </w:r>
      <w:r w:rsidRPr="00E05F86">
        <w:rPr>
          <w:rFonts w:ascii="Arial" w:hAnsi="Arial" w:cs="Arial"/>
          <w:color w:val="000000"/>
        </w:rPr>
        <w:t> </w:t>
      </w:r>
      <w:r w:rsidRPr="00E05F86">
        <w:rPr>
          <w:rFonts w:ascii="Arial" w:hAnsi="Arial" w:cs="Arial"/>
          <w:color w:val="000000"/>
          <w:sz w:val="20"/>
          <w:szCs w:val="20"/>
        </w:rPr>
        <w:t>For the same reasons, the Company is unable to address the probable significance of the unavailable information. Forward-looking non-GAAP financial measures provided without the most directly comparable GAAP financial measures may vary materially from the corresponding GAAP financial measures.</w:t>
      </w:r>
    </w:p>
    <w:p w14:paraId="43F90E93" w14:textId="77777777" w:rsidR="00A77B3E" w:rsidRPr="00580208" w:rsidRDefault="00A77B3E">
      <w:pPr>
        <w:spacing w:before="1" w:line="248" w:lineRule="auto"/>
        <w:rPr>
          <w:rFonts w:ascii="Arial" w:eastAsia="Arial" w:hAnsi="Arial" w:cs="Arial"/>
          <w:sz w:val="22"/>
          <w:shd w:val="clear" w:color="auto" w:fill="FFFF00"/>
        </w:rPr>
      </w:pPr>
    </w:p>
    <w:p w14:paraId="44B0F777" w14:textId="77777777" w:rsidR="00A77B3E" w:rsidRPr="00933474" w:rsidRDefault="008A7CB9" w:rsidP="00933474">
      <w:pPr>
        <w:spacing w:line="248" w:lineRule="auto"/>
        <w:rPr>
          <w:rFonts w:ascii="Arial" w:eastAsia="Arial" w:hAnsi="Arial" w:cs="Arial"/>
          <w:b/>
          <w:sz w:val="20"/>
          <w:u w:val="single"/>
        </w:rPr>
      </w:pPr>
      <w:r w:rsidRPr="00933474">
        <w:rPr>
          <w:rFonts w:ascii="Arial" w:eastAsia="Arial" w:hAnsi="Arial" w:cs="Arial"/>
          <w:b/>
          <w:sz w:val="20"/>
          <w:u w:val="single"/>
        </w:rPr>
        <w:t>Forward-Looking Statements</w:t>
      </w:r>
    </w:p>
    <w:p w14:paraId="541276CE" w14:textId="77777777" w:rsidR="00A77B3E" w:rsidRPr="00580208" w:rsidRDefault="00A77B3E">
      <w:pPr>
        <w:spacing w:before="5" w:line="248" w:lineRule="auto"/>
        <w:rPr>
          <w:rFonts w:ascii="Arial" w:eastAsia="Arial" w:hAnsi="Arial" w:cs="Arial"/>
          <w:sz w:val="18"/>
          <w:shd w:val="clear" w:color="auto" w:fill="FFFF00"/>
        </w:rPr>
      </w:pPr>
    </w:p>
    <w:p w14:paraId="6364B039" w14:textId="7FC3AB1E" w:rsidR="00A77B3E" w:rsidRPr="00933474" w:rsidRDefault="008A7CB9">
      <w:pPr>
        <w:spacing w:line="238" w:lineRule="auto"/>
        <w:rPr>
          <w:rFonts w:ascii="Arial" w:eastAsia="Arial" w:hAnsi="Arial" w:cs="Arial"/>
          <w:sz w:val="20"/>
        </w:rPr>
      </w:pPr>
      <w:r w:rsidRPr="00933474">
        <w:rPr>
          <w:rFonts w:ascii="Arial" w:eastAsia="Arial" w:hAnsi="Arial" w:cs="Arial"/>
          <w:sz w:val="20"/>
        </w:rPr>
        <w:t>This press release include</w:t>
      </w:r>
      <w:r w:rsidR="007428DF">
        <w:rPr>
          <w:rFonts w:ascii="Arial" w:eastAsia="Arial" w:hAnsi="Arial" w:cs="Arial"/>
          <w:sz w:val="20"/>
        </w:rPr>
        <w:t>s</w:t>
      </w:r>
      <w:r w:rsidRPr="00933474">
        <w:rPr>
          <w:rFonts w:ascii="Arial" w:eastAsia="Arial" w:hAnsi="Arial" w:cs="Arial"/>
          <w:sz w:val="20"/>
        </w:rPr>
        <w:t xml:space="preserve"> predictions, estimates </w:t>
      </w:r>
      <w:r w:rsidR="007428DF">
        <w:rPr>
          <w:rFonts w:ascii="Arial" w:eastAsia="Arial" w:hAnsi="Arial" w:cs="Arial"/>
          <w:sz w:val="20"/>
        </w:rPr>
        <w:t>and</w:t>
      </w:r>
      <w:r w:rsidR="007428DF" w:rsidRPr="00933474">
        <w:rPr>
          <w:rFonts w:ascii="Arial" w:eastAsia="Arial" w:hAnsi="Arial" w:cs="Arial"/>
          <w:sz w:val="20"/>
        </w:rPr>
        <w:t xml:space="preserve"> </w:t>
      </w:r>
      <w:r w:rsidRPr="00933474">
        <w:rPr>
          <w:rFonts w:ascii="Arial" w:eastAsia="Arial" w:hAnsi="Arial" w:cs="Arial"/>
          <w:sz w:val="20"/>
        </w:rPr>
        <w:t xml:space="preserve">other information that </w:t>
      </w:r>
      <w:r w:rsidR="007428DF">
        <w:rPr>
          <w:rFonts w:ascii="Arial" w:eastAsia="Arial" w:hAnsi="Arial" w:cs="Arial"/>
          <w:sz w:val="20"/>
        </w:rPr>
        <w:t>may</w:t>
      </w:r>
      <w:r w:rsidR="007428DF" w:rsidRPr="00933474">
        <w:rPr>
          <w:rFonts w:ascii="Arial" w:eastAsia="Arial" w:hAnsi="Arial" w:cs="Arial"/>
          <w:sz w:val="20"/>
        </w:rPr>
        <w:t xml:space="preserve"> </w:t>
      </w:r>
      <w:r w:rsidRPr="00933474">
        <w:rPr>
          <w:rFonts w:ascii="Arial" w:eastAsia="Arial" w:hAnsi="Arial" w:cs="Arial"/>
          <w:sz w:val="20"/>
        </w:rPr>
        <w:t>be considered forward-looking within the meaning of applicable securities laws</w:t>
      </w:r>
      <w:r w:rsidR="007428DF">
        <w:rPr>
          <w:rFonts w:ascii="Arial" w:eastAsia="Arial" w:hAnsi="Arial" w:cs="Arial"/>
          <w:sz w:val="20"/>
        </w:rPr>
        <w:t>, including statements related to our expectations for fiscal 2021</w:t>
      </w:r>
      <w:r w:rsidRPr="00933474">
        <w:rPr>
          <w:rFonts w:ascii="Arial" w:eastAsia="Arial" w:hAnsi="Arial" w:cs="Arial"/>
          <w:sz w:val="20"/>
        </w:rPr>
        <w:t xml:space="preserve">. While these forward-looking statements represent the Company's current judgments, they are subject to risks and uncertainties that could cause actual results to differ materially, including the ongoing effects of the COVID-19 pandemic on our operations, the economy generally, and consumer and business practices. You are cautioned not to place undue reliance on these forward-looking statements, which reflect the opinions of the Company's management only as of the date of this release. Please keep in mind that the Company is not obligating itself to revise or publicly release the results of any revision to these forward-looking statements </w:t>
      </w:r>
      <w:proofErr w:type="gramStart"/>
      <w:r w:rsidRPr="00933474">
        <w:rPr>
          <w:rFonts w:ascii="Arial" w:eastAsia="Arial" w:hAnsi="Arial" w:cs="Arial"/>
          <w:sz w:val="20"/>
        </w:rPr>
        <w:t>in light of</w:t>
      </w:r>
      <w:proofErr w:type="gramEnd"/>
      <w:r w:rsidRPr="00933474">
        <w:rPr>
          <w:rFonts w:ascii="Arial" w:eastAsia="Arial" w:hAnsi="Arial" w:cs="Arial"/>
          <w:sz w:val="20"/>
        </w:rPr>
        <w:t xml:space="preserve"> new information or future events. When used herein, words such as: "potential," "look forward," "expect," “anticipate,” “project,” “should,” "believe," or variations of such words and similar expressions are intended to identify forward-looking statements. Factors that could cause actual results to differ materially from those contemplated in any forward- looking statements made by the Company herein are often discussed in the </w:t>
      </w:r>
      <w:r w:rsidRPr="00933474">
        <w:rPr>
          <w:rFonts w:ascii="Arial" w:eastAsia="Arial" w:hAnsi="Arial" w:cs="Arial"/>
          <w:sz w:val="20"/>
        </w:rPr>
        <w:lastRenderedPageBreak/>
        <w:t xml:space="preserve">Company’s filings with the United States Securities and Exchange Commission (SEC), which are available at: </w:t>
      </w:r>
      <w:hyperlink r:id="rId11" w:history="1">
        <w:r w:rsidR="00580208" w:rsidRPr="00933474">
          <w:rPr>
            <w:rStyle w:val="Hyperlink"/>
            <w:rFonts w:ascii="Arial" w:eastAsia="Arial" w:hAnsi="Arial" w:cs="Arial"/>
            <w:sz w:val="20"/>
          </w:rPr>
          <w:t>www.sec.gov</w:t>
        </w:r>
      </w:hyperlink>
      <w:r w:rsidRPr="00933474">
        <w:rPr>
          <w:rFonts w:ascii="Arial" w:eastAsia="Arial" w:hAnsi="Arial" w:cs="Arial"/>
          <w:sz w:val="20"/>
        </w:rPr>
        <w:t xml:space="preserve">, and on the Company's website, at: </w:t>
      </w:r>
      <w:hyperlink r:id="rId12" w:history="1">
        <w:r w:rsidR="00580208" w:rsidRPr="00933474">
          <w:rPr>
            <w:rStyle w:val="Hyperlink"/>
            <w:rFonts w:ascii="Arial" w:eastAsia="Arial" w:hAnsi="Arial" w:cs="Arial"/>
            <w:sz w:val="20"/>
          </w:rPr>
          <w:t>www.kushco.com</w:t>
        </w:r>
      </w:hyperlink>
      <w:r w:rsidRPr="00933474">
        <w:rPr>
          <w:rFonts w:ascii="Arial" w:eastAsia="Arial" w:hAnsi="Arial" w:cs="Arial"/>
          <w:sz w:val="20"/>
        </w:rPr>
        <w:t>.</w:t>
      </w:r>
    </w:p>
    <w:p w14:paraId="28C9706C" w14:textId="77777777" w:rsidR="00A77B3E" w:rsidRDefault="00A77B3E">
      <w:pPr>
        <w:spacing w:before="5" w:line="248" w:lineRule="auto"/>
        <w:rPr>
          <w:rFonts w:ascii="Arial" w:eastAsia="Arial" w:hAnsi="Arial" w:cs="Arial"/>
          <w:sz w:val="18"/>
        </w:rPr>
      </w:pPr>
    </w:p>
    <w:p w14:paraId="52EAA06C" w14:textId="77777777" w:rsidR="00A77B3E" w:rsidRDefault="008A7CB9">
      <w:pPr>
        <w:spacing w:line="248" w:lineRule="auto"/>
        <w:rPr>
          <w:rFonts w:ascii="Arial" w:eastAsia="Arial" w:hAnsi="Arial" w:cs="Arial"/>
          <w:sz w:val="22"/>
        </w:rPr>
      </w:pPr>
      <w:r>
        <w:rPr>
          <w:rFonts w:ascii="Arial" w:eastAsia="Arial" w:hAnsi="Arial" w:cs="Arial"/>
          <w:b/>
          <w:sz w:val="20"/>
          <w:u w:val="single"/>
        </w:rPr>
        <w:t>KushCo Holdings Contact</w:t>
      </w:r>
    </w:p>
    <w:p w14:paraId="0E192A20" w14:textId="77777777" w:rsidR="00A77B3E" w:rsidRDefault="00A77B3E">
      <w:pPr>
        <w:spacing w:line="248" w:lineRule="auto"/>
        <w:rPr>
          <w:rFonts w:ascii="Arial" w:eastAsia="Arial" w:hAnsi="Arial" w:cs="Arial"/>
          <w:sz w:val="22"/>
        </w:rPr>
      </w:pPr>
    </w:p>
    <w:p w14:paraId="7671CDC3" w14:textId="77777777" w:rsidR="00A77B3E" w:rsidRDefault="008A7CB9">
      <w:pPr>
        <w:spacing w:line="248" w:lineRule="auto"/>
        <w:rPr>
          <w:rFonts w:ascii="Arial" w:eastAsia="Arial" w:hAnsi="Arial" w:cs="Arial"/>
          <w:b/>
          <w:sz w:val="18"/>
        </w:rPr>
      </w:pPr>
      <w:r>
        <w:rPr>
          <w:rFonts w:ascii="Arial" w:eastAsia="Arial" w:hAnsi="Arial" w:cs="Arial"/>
          <w:b/>
          <w:sz w:val="20"/>
        </w:rPr>
        <w:t>Investor Contact:</w:t>
      </w:r>
    </w:p>
    <w:p w14:paraId="06EF9E44" w14:textId="77777777" w:rsidR="00A77B3E" w:rsidRDefault="008A7CB9">
      <w:pPr>
        <w:spacing w:before="10" w:line="248" w:lineRule="auto"/>
        <w:ind w:right="7226"/>
        <w:rPr>
          <w:rFonts w:ascii="Arial" w:eastAsia="Arial" w:hAnsi="Arial" w:cs="Arial"/>
          <w:sz w:val="18"/>
        </w:rPr>
      </w:pPr>
      <w:r>
        <w:rPr>
          <w:rFonts w:ascii="Arial" w:eastAsia="Arial" w:hAnsi="Arial" w:cs="Arial"/>
          <w:sz w:val="20"/>
        </w:rPr>
        <w:t>Najim Mostamand, CFA</w:t>
      </w:r>
    </w:p>
    <w:p w14:paraId="319743E3" w14:textId="77777777" w:rsidR="00A77B3E" w:rsidRDefault="008A7CB9">
      <w:pPr>
        <w:spacing w:before="10" w:line="248" w:lineRule="auto"/>
        <w:ind w:right="7226"/>
        <w:rPr>
          <w:rFonts w:ascii="Arial" w:eastAsia="Arial" w:hAnsi="Arial" w:cs="Arial"/>
          <w:sz w:val="18"/>
        </w:rPr>
      </w:pPr>
      <w:r>
        <w:rPr>
          <w:rFonts w:ascii="Arial" w:eastAsia="Arial" w:hAnsi="Arial" w:cs="Arial"/>
          <w:sz w:val="20"/>
        </w:rPr>
        <w:t>Director of Investor Relations</w:t>
      </w:r>
    </w:p>
    <w:p w14:paraId="13142340" w14:textId="77777777" w:rsidR="00A77B3E" w:rsidRDefault="008A7CB9">
      <w:pPr>
        <w:spacing w:before="10" w:line="248" w:lineRule="auto"/>
        <w:ind w:right="7226"/>
        <w:rPr>
          <w:rFonts w:ascii="Arial" w:eastAsia="Arial" w:hAnsi="Arial" w:cs="Arial"/>
          <w:sz w:val="18"/>
        </w:rPr>
      </w:pPr>
      <w:r>
        <w:rPr>
          <w:rFonts w:ascii="Arial" w:eastAsia="Arial" w:hAnsi="Arial" w:cs="Arial"/>
          <w:sz w:val="20"/>
        </w:rPr>
        <w:t>714-539-7653</w:t>
      </w:r>
    </w:p>
    <w:p w14:paraId="0699022E" w14:textId="77777777" w:rsidR="00A77B3E" w:rsidRDefault="008A7CB9">
      <w:pPr>
        <w:spacing w:before="2" w:line="248" w:lineRule="auto"/>
        <w:rPr>
          <w:rFonts w:ascii="Arial" w:eastAsia="Arial" w:hAnsi="Arial" w:cs="Arial"/>
          <w:sz w:val="18"/>
        </w:rPr>
      </w:pPr>
      <w:r>
        <w:rPr>
          <w:rFonts w:ascii="Arial" w:eastAsia="Arial" w:hAnsi="Arial" w:cs="Arial"/>
          <w:color w:val="0000ED"/>
          <w:sz w:val="20"/>
          <w:u w:val="single"/>
        </w:rPr>
        <w:t>ir@kushco.com</w:t>
      </w:r>
    </w:p>
    <w:p w14:paraId="36F54D78" w14:textId="77777777" w:rsidR="00A77B3E" w:rsidRDefault="00A77B3E">
      <w:pPr>
        <w:spacing w:before="2" w:line="248" w:lineRule="auto"/>
        <w:jc w:val="center"/>
        <w:rPr>
          <w:rFonts w:ascii="Arial" w:eastAsia="Arial" w:hAnsi="Arial" w:cs="Arial"/>
          <w:sz w:val="18"/>
        </w:rPr>
      </w:pPr>
    </w:p>
    <w:p w14:paraId="7BA9B541" w14:textId="77777777" w:rsidR="00A77B3E" w:rsidRDefault="00A77B3E">
      <w:pPr>
        <w:spacing w:line="248" w:lineRule="auto"/>
        <w:jc w:val="center"/>
        <w:rPr>
          <w:rFonts w:ascii="Arial" w:eastAsia="Arial" w:hAnsi="Arial" w:cs="Arial"/>
          <w:sz w:val="22"/>
        </w:rPr>
      </w:pPr>
    </w:p>
    <w:p w14:paraId="389B7573" w14:textId="77777777" w:rsidR="00A77B3E" w:rsidRDefault="00A77B3E">
      <w:pPr>
        <w:spacing w:line="248" w:lineRule="auto"/>
        <w:jc w:val="center"/>
        <w:rPr>
          <w:rFonts w:ascii="Arial" w:eastAsia="Arial" w:hAnsi="Arial" w:cs="Arial"/>
          <w:sz w:val="22"/>
        </w:rPr>
      </w:pPr>
    </w:p>
    <w:p w14:paraId="3EF599EA" w14:textId="77777777" w:rsidR="00A77B3E" w:rsidRDefault="00A77B3E">
      <w:pPr>
        <w:spacing w:line="248" w:lineRule="auto"/>
        <w:jc w:val="center"/>
        <w:rPr>
          <w:rFonts w:ascii="Arial" w:eastAsia="Arial" w:hAnsi="Arial" w:cs="Arial"/>
          <w:sz w:val="22"/>
        </w:rPr>
      </w:pPr>
    </w:p>
    <w:p w14:paraId="6F1E7761" w14:textId="77777777" w:rsidR="00A77B3E" w:rsidRDefault="00A77B3E">
      <w:pPr>
        <w:spacing w:line="248" w:lineRule="auto"/>
        <w:jc w:val="center"/>
        <w:rPr>
          <w:rFonts w:ascii="Arial" w:eastAsia="Arial" w:hAnsi="Arial" w:cs="Arial"/>
          <w:sz w:val="22"/>
        </w:rPr>
      </w:pPr>
    </w:p>
    <w:p w14:paraId="7ED6A81D" w14:textId="77777777" w:rsidR="00A77B3E" w:rsidRDefault="00A77B3E">
      <w:pPr>
        <w:spacing w:line="248" w:lineRule="auto"/>
        <w:jc w:val="center"/>
        <w:rPr>
          <w:rFonts w:ascii="Arial" w:eastAsia="Arial" w:hAnsi="Arial" w:cs="Arial"/>
          <w:sz w:val="22"/>
        </w:rPr>
      </w:pPr>
    </w:p>
    <w:p w14:paraId="0BFC65B0" w14:textId="77777777" w:rsidR="00A77B3E" w:rsidRDefault="00A77B3E">
      <w:pPr>
        <w:spacing w:line="248" w:lineRule="auto"/>
        <w:jc w:val="center"/>
        <w:rPr>
          <w:rFonts w:ascii="Arial" w:eastAsia="Arial" w:hAnsi="Arial" w:cs="Arial"/>
          <w:sz w:val="22"/>
        </w:rPr>
      </w:pPr>
    </w:p>
    <w:p w14:paraId="6CD5BBDE" w14:textId="77777777" w:rsidR="00A77B3E" w:rsidRDefault="00A77B3E">
      <w:pPr>
        <w:spacing w:line="248" w:lineRule="auto"/>
        <w:jc w:val="center"/>
        <w:rPr>
          <w:rFonts w:ascii="Arial" w:eastAsia="Arial" w:hAnsi="Arial" w:cs="Arial"/>
          <w:sz w:val="22"/>
        </w:rPr>
      </w:pPr>
    </w:p>
    <w:p w14:paraId="5E9536EC" w14:textId="77777777" w:rsidR="00A77B3E" w:rsidRDefault="00A77B3E">
      <w:pPr>
        <w:spacing w:line="248" w:lineRule="auto"/>
        <w:jc w:val="center"/>
        <w:rPr>
          <w:rFonts w:ascii="Arial" w:eastAsia="Arial" w:hAnsi="Arial" w:cs="Arial"/>
          <w:sz w:val="22"/>
        </w:rPr>
      </w:pPr>
    </w:p>
    <w:p w14:paraId="1D68DE91" w14:textId="77777777" w:rsidR="00A77B3E" w:rsidRDefault="00A77B3E">
      <w:pPr>
        <w:spacing w:line="248" w:lineRule="auto"/>
        <w:jc w:val="center"/>
        <w:rPr>
          <w:rFonts w:ascii="Arial" w:eastAsia="Arial" w:hAnsi="Arial" w:cs="Arial"/>
          <w:sz w:val="22"/>
        </w:rPr>
      </w:pPr>
    </w:p>
    <w:p w14:paraId="5B2F2A8E" w14:textId="77777777" w:rsidR="00A77B3E" w:rsidRDefault="00A77B3E">
      <w:pPr>
        <w:spacing w:line="248" w:lineRule="auto"/>
        <w:jc w:val="center"/>
        <w:rPr>
          <w:rFonts w:ascii="Arial" w:eastAsia="Arial" w:hAnsi="Arial" w:cs="Arial"/>
          <w:sz w:val="22"/>
        </w:rPr>
      </w:pPr>
    </w:p>
    <w:p w14:paraId="3B80672C" w14:textId="77777777" w:rsidR="00A77B3E" w:rsidRDefault="00A77B3E">
      <w:pPr>
        <w:spacing w:line="248" w:lineRule="auto"/>
        <w:jc w:val="center"/>
        <w:rPr>
          <w:rFonts w:ascii="Arial" w:eastAsia="Arial" w:hAnsi="Arial" w:cs="Arial"/>
          <w:sz w:val="22"/>
        </w:rPr>
      </w:pPr>
    </w:p>
    <w:p w14:paraId="4802D7CE" w14:textId="77777777" w:rsidR="00A77B3E" w:rsidRDefault="00A77B3E">
      <w:pPr>
        <w:spacing w:line="248" w:lineRule="auto"/>
        <w:jc w:val="center"/>
        <w:rPr>
          <w:rFonts w:ascii="Arial" w:eastAsia="Arial" w:hAnsi="Arial" w:cs="Arial"/>
          <w:sz w:val="22"/>
        </w:rPr>
      </w:pPr>
    </w:p>
    <w:p w14:paraId="301DC4FE" w14:textId="77777777" w:rsidR="00A77B3E" w:rsidRDefault="00A77B3E">
      <w:pPr>
        <w:spacing w:line="248" w:lineRule="auto"/>
        <w:jc w:val="center"/>
        <w:rPr>
          <w:rFonts w:ascii="Arial" w:eastAsia="Arial" w:hAnsi="Arial" w:cs="Arial"/>
          <w:sz w:val="22"/>
        </w:rPr>
      </w:pPr>
    </w:p>
    <w:p w14:paraId="011AFEDF" w14:textId="77777777" w:rsidR="00A77B3E" w:rsidRDefault="00A77B3E">
      <w:pPr>
        <w:spacing w:line="248" w:lineRule="auto"/>
        <w:jc w:val="center"/>
        <w:rPr>
          <w:rFonts w:ascii="Arial" w:eastAsia="Arial" w:hAnsi="Arial" w:cs="Arial"/>
          <w:sz w:val="22"/>
        </w:rPr>
      </w:pPr>
    </w:p>
    <w:p w14:paraId="03B06624" w14:textId="77777777" w:rsidR="00A77B3E" w:rsidRDefault="00A77B3E">
      <w:pPr>
        <w:spacing w:line="248" w:lineRule="auto"/>
        <w:jc w:val="center"/>
        <w:rPr>
          <w:rFonts w:ascii="Arial" w:eastAsia="Arial" w:hAnsi="Arial" w:cs="Arial"/>
          <w:sz w:val="22"/>
        </w:rPr>
      </w:pPr>
    </w:p>
    <w:p w14:paraId="214B1E3D" w14:textId="77777777" w:rsidR="00A77B3E" w:rsidRDefault="00A77B3E">
      <w:pPr>
        <w:spacing w:line="248" w:lineRule="auto"/>
        <w:jc w:val="center"/>
        <w:rPr>
          <w:rFonts w:ascii="Arial" w:eastAsia="Arial" w:hAnsi="Arial" w:cs="Arial"/>
          <w:sz w:val="22"/>
        </w:rPr>
      </w:pPr>
    </w:p>
    <w:p w14:paraId="59D3E11C" w14:textId="77777777" w:rsidR="00A77B3E" w:rsidRDefault="00A77B3E">
      <w:pPr>
        <w:spacing w:line="248" w:lineRule="auto"/>
        <w:jc w:val="center"/>
        <w:rPr>
          <w:rFonts w:ascii="Arial" w:eastAsia="Arial" w:hAnsi="Arial" w:cs="Arial"/>
          <w:sz w:val="22"/>
        </w:rPr>
      </w:pPr>
    </w:p>
    <w:p w14:paraId="306FCCA5" w14:textId="77777777" w:rsidR="00A77B3E" w:rsidRDefault="00A77B3E">
      <w:pPr>
        <w:spacing w:line="248" w:lineRule="auto"/>
        <w:jc w:val="center"/>
        <w:rPr>
          <w:rFonts w:ascii="Arial" w:eastAsia="Arial" w:hAnsi="Arial" w:cs="Arial"/>
          <w:sz w:val="22"/>
        </w:rPr>
      </w:pPr>
    </w:p>
    <w:p w14:paraId="4C0AB374" w14:textId="77777777" w:rsidR="00A77B3E" w:rsidRDefault="00A77B3E">
      <w:pPr>
        <w:spacing w:line="248" w:lineRule="auto"/>
        <w:jc w:val="center"/>
        <w:rPr>
          <w:rFonts w:ascii="Arial" w:eastAsia="Arial" w:hAnsi="Arial" w:cs="Arial"/>
          <w:sz w:val="22"/>
        </w:rPr>
      </w:pPr>
    </w:p>
    <w:p w14:paraId="519336FE" w14:textId="77777777" w:rsidR="00A77B3E" w:rsidRDefault="00A77B3E">
      <w:pPr>
        <w:spacing w:line="248" w:lineRule="auto"/>
        <w:jc w:val="center"/>
        <w:rPr>
          <w:rFonts w:ascii="Arial" w:eastAsia="Arial" w:hAnsi="Arial" w:cs="Arial"/>
          <w:sz w:val="22"/>
        </w:rPr>
      </w:pPr>
    </w:p>
    <w:p w14:paraId="17B17D8D" w14:textId="77777777" w:rsidR="00A77B3E" w:rsidRDefault="00A77B3E">
      <w:pPr>
        <w:spacing w:line="248" w:lineRule="auto"/>
        <w:jc w:val="center"/>
        <w:rPr>
          <w:rFonts w:ascii="Arial" w:eastAsia="Arial" w:hAnsi="Arial" w:cs="Arial"/>
          <w:sz w:val="22"/>
        </w:rPr>
      </w:pPr>
    </w:p>
    <w:p w14:paraId="0F2A4472" w14:textId="77777777" w:rsidR="00A77B3E" w:rsidRDefault="00A77B3E">
      <w:pPr>
        <w:spacing w:line="248" w:lineRule="auto"/>
        <w:jc w:val="center"/>
        <w:rPr>
          <w:rFonts w:ascii="Arial" w:eastAsia="Arial" w:hAnsi="Arial" w:cs="Arial"/>
          <w:sz w:val="22"/>
        </w:rPr>
      </w:pPr>
    </w:p>
    <w:p w14:paraId="6390820F" w14:textId="77777777" w:rsidR="00A77B3E" w:rsidRDefault="00A77B3E">
      <w:pPr>
        <w:spacing w:line="248" w:lineRule="auto"/>
        <w:jc w:val="center"/>
        <w:rPr>
          <w:rFonts w:ascii="Arial" w:eastAsia="Arial" w:hAnsi="Arial" w:cs="Arial"/>
          <w:sz w:val="22"/>
        </w:rPr>
      </w:pPr>
    </w:p>
    <w:p w14:paraId="39DA5F94" w14:textId="77777777" w:rsidR="00A77B3E" w:rsidRDefault="00A77B3E">
      <w:pPr>
        <w:spacing w:line="248" w:lineRule="auto"/>
        <w:jc w:val="center"/>
        <w:rPr>
          <w:rFonts w:ascii="Arial" w:eastAsia="Arial" w:hAnsi="Arial" w:cs="Arial"/>
          <w:sz w:val="22"/>
        </w:rPr>
      </w:pPr>
    </w:p>
    <w:p w14:paraId="09917A59" w14:textId="77777777" w:rsidR="00A77B3E" w:rsidRDefault="00A77B3E">
      <w:pPr>
        <w:spacing w:line="248" w:lineRule="auto"/>
        <w:jc w:val="center"/>
        <w:rPr>
          <w:rFonts w:ascii="Arial" w:eastAsia="Arial" w:hAnsi="Arial" w:cs="Arial"/>
          <w:sz w:val="22"/>
        </w:rPr>
      </w:pPr>
    </w:p>
    <w:p w14:paraId="2D0F6A0C" w14:textId="77777777" w:rsidR="00A77B3E" w:rsidRDefault="00A77B3E">
      <w:pPr>
        <w:spacing w:line="248" w:lineRule="auto"/>
        <w:jc w:val="center"/>
        <w:rPr>
          <w:rFonts w:ascii="Arial" w:eastAsia="Arial" w:hAnsi="Arial" w:cs="Arial"/>
          <w:sz w:val="22"/>
        </w:rPr>
      </w:pPr>
    </w:p>
    <w:p w14:paraId="43640D4D" w14:textId="77777777" w:rsidR="00A77B3E" w:rsidRDefault="00A77B3E">
      <w:pPr>
        <w:spacing w:line="248" w:lineRule="auto"/>
        <w:jc w:val="center"/>
        <w:rPr>
          <w:rFonts w:ascii="Arial" w:eastAsia="Arial" w:hAnsi="Arial" w:cs="Arial"/>
          <w:sz w:val="22"/>
        </w:rPr>
      </w:pPr>
    </w:p>
    <w:p w14:paraId="705F0CA0" w14:textId="77777777" w:rsidR="00A77B3E" w:rsidRDefault="00A77B3E">
      <w:pPr>
        <w:spacing w:line="248" w:lineRule="auto"/>
        <w:jc w:val="center"/>
        <w:rPr>
          <w:rFonts w:ascii="Arial" w:eastAsia="Arial" w:hAnsi="Arial" w:cs="Arial"/>
          <w:sz w:val="22"/>
        </w:rPr>
      </w:pPr>
    </w:p>
    <w:p w14:paraId="0974452C" w14:textId="77777777" w:rsidR="00A77B3E" w:rsidRDefault="00A77B3E">
      <w:pPr>
        <w:spacing w:line="248" w:lineRule="auto"/>
        <w:jc w:val="center"/>
        <w:rPr>
          <w:rFonts w:ascii="Arial" w:eastAsia="Arial" w:hAnsi="Arial" w:cs="Arial"/>
          <w:sz w:val="22"/>
        </w:rPr>
      </w:pPr>
    </w:p>
    <w:p w14:paraId="4C8E63F4" w14:textId="77777777" w:rsidR="00A77B3E" w:rsidRDefault="00A77B3E">
      <w:pPr>
        <w:spacing w:line="248" w:lineRule="auto"/>
        <w:jc w:val="center"/>
        <w:rPr>
          <w:rFonts w:ascii="Arial" w:eastAsia="Arial" w:hAnsi="Arial" w:cs="Arial"/>
          <w:sz w:val="22"/>
        </w:rPr>
      </w:pPr>
    </w:p>
    <w:p w14:paraId="0D9D5F9C" w14:textId="77777777" w:rsidR="00A77B3E" w:rsidRDefault="00A77B3E">
      <w:pPr>
        <w:spacing w:line="248" w:lineRule="auto"/>
        <w:jc w:val="center"/>
        <w:rPr>
          <w:rFonts w:ascii="Arial" w:eastAsia="Arial" w:hAnsi="Arial" w:cs="Arial"/>
          <w:sz w:val="22"/>
        </w:rPr>
      </w:pPr>
    </w:p>
    <w:p w14:paraId="6969A096" w14:textId="77777777" w:rsidR="00A77B3E" w:rsidRDefault="00A77B3E">
      <w:pPr>
        <w:spacing w:line="248" w:lineRule="auto"/>
        <w:jc w:val="center"/>
        <w:rPr>
          <w:rFonts w:ascii="Arial" w:eastAsia="Arial" w:hAnsi="Arial" w:cs="Arial"/>
          <w:sz w:val="22"/>
        </w:rPr>
      </w:pPr>
    </w:p>
    <w:p w14:paraId="14428E2F" w14:textId="77777777" w:rsidR="00A77B3E" w:rsidRDefault="00A77B3E">
      <w:pPr>
        <w:spacing w:line="248" w:lineRule="auto"/>
        <w:jc w:val="center"/>
        <w:rPr>
          <w:rFonts w:ascii="Arial" w:eastAsia="Arial" w:hAnsi="Arial" w:cs="Arial"/>
          <w:sz w:val="22"/>
        </w:rPr>
      </w:pPr>
    </w:p>
    <w:p w14:paraId="585565EF" w14:textId="77777777" w:rsidR="00A77B3E" w:rsidRDefault="00A77B3E">
      <w:pPr>
        <w:spacing w:line="248" w:lineRule="auto"/>
        <w:jc w:val="center"/>
        <w:rPr>
          <w:rFonts w:ascii="Arial" w:eastAsia="Arial" w:hAnsi="Arial" w:cs="Arial"/>
          <w:sz w:val="22"/>
        </w:rPr>
      </w:pPr>
    </w:p>
    <w:p w14:paraId="5F3458E4" w14:textId="77777777" w:rsidR="00A77B3E" w:rsidRDefault="00A77B3E">
      <w:pPr>
        <w:spacing w:line="248" w:lineRule="auto"/>
        <w:jc w:val="center"/>
        <w:rPr>
          <w:rFonts w:ascii="Arial" w:eastAsia="Arial" w:hAnsi="Arial" w:cs="Arial"/>
          <w:sz w:val="22"/>
        </w:rPr>
      </w:pPr>
    </w:p>
    <w:p w14:paraId="7642FF36" w14:textId="77777777" w:rsidR="00A77B3E" w:rsidRDefault="00A77B3E">
      <w:pPr>
        <w:spacing w:line="248" w:lineRule="auto"/>
        <w:jc w:val="center"/>
        <w:rPr>
          <w:rFonts w:ascii="Arial" w:eastAsia="Arial" w:hAnsi="Arial" w:cs="Arial"/>
          <w:sz w:val="22"/>
        </w:rPr>
      </w:pPr>
    </w:p>
    <w:p w14:paraId="0345B966" w14:textId="77777777" w:rsidR="00A77B3E" w:rsidRDefault="00A77B3E">
      <w:pPr>
        <w:spacing w:line="248" w:lineRule="auto"/>
        <w:jc w:val="center"/>
        <w:rPr>
          <w:rFonts w:ascii="Arial" w:eastAsia="Arial" w:hAnsi="Arial" w:cs="Arial"/>
          <w:sz w:val="22"/>
        </w:rPr>
      </w:pPr>
    </w:p>
    <w:p w14:paraId="24E63E6C" w14:textId="77777777" w:rsidR="00A77B3E" w:rsidRDefault="00A77B3E">
      <w:pPr>
        <w:spacing w:line="248" w:lineRule="auto"/>
        <w:jc w:val="center"/>
        <w:rPr>
          <w:rFonts w:ascii="Arial" w:eastAsia="Arial" w:hAnsi="Arial" w:cs="Arial"/>
          <w:sz w:val="22"/>
        </w:rPr>
      </w:pPr>
    </w:p>
    <w:p w14:paraId="2FF569D6" w14:textId="77777777" w:rsidR="00A77B3E" w:rsidRDefault="00A77B3E">
      <w:pPr>
        <w:spacing w:line="248" w:lineRule="auto"/>
        <w:jc w:val="center"/>
        <w:rPr>
          <w:rFonts w:ascii="Arial" w:eastAsia="Arial" w:hAnsi="Arial" w:cs="Arial"/>
          <w:sz w:val="22"/>
        </w:rPr>
      </w:pPr>
    </w:p>
    <w:p w14:paraId="74EA14D9" w14:textId="4CEEA1AB" w:rsidR="00A77B3E" w:rsidRDefault="00A77B3E">
      <w:pPr>
        <w:spacing w:line="248" w:lineRule="auto"/>
        <w:jc w:val="center"/>
        <w:rPr>
          <w:rFonts w:ascii="Arial" w:eastAsia="Arial" w:hAnsi="Arial" w:cs="Arial"/>
          <w:sz w:val="22"/>
        </w:rPr>
      </w:pPr>
    </w:p>
    <w:p w14:paraId="79BCEF8A" w14:textId="603E79D7" w:rsidR="007B4DD1" w:rsidRDefault="007B4DD1">
      <w:pPr>
        <w:spacing w:line="248" w:lineRule="auto"/>
        <w:jc w:val="center"/>
        <w:rPr>
          <w:rFonts w:ascii="Arial" w:eastAsia="Arial" w:hAnsi="Arial" w:cs="Arial"/>
          <w:sz w:val="22"/>
        </w:rPr>
      </w:pPr>
    </w:p>
    <w:p w14:paraId="57D51EEC" w14:textId="26101A34" w:rsidR="007B4DD1" w:rsidRDefault="007B4DD1">
      <w:pPr>
        <w:spacing w:line="248" w:lineRule="auto"/>
        <w:jc w:val="center"/>
        <w:rPr>
          <w:rFonts w:ascii="Arial" w:eastAsia="Arial" w:hAnsi="Arial" w:cs="Arial"/>
          <w:sz w:val="22"/>
        </w:rPr>
      </w:pPr>
    </w:p>
    <w:p w14:paraId="52CA07E5" w14:textId="2B9DAF37" w:rsidR="007B4DD1" w:rsidRDefault="007B4DD1">
      <w:pPr>
        <w:spacing w:line="248" w:lineRule="auto"/>
        <w:jc w:val="center"/>
        <w:rPr>
          <w:rFonts w:ascii="Arial" w:eastAsia="Arial" w:hAnsi="Arial" w:cs="Arial"/>
          <w:sz w:val="22"/>
        </w:rPr>
      </w:pPr>
    </w:p>
    <w:p w14:paraId="5B578E58" w14:textId="77E46A5E" w:rsidR="007B4DD1" w:rsidRDefault="007B4DD1">
      <w:pPr>
        <w:spacing w:line="248" w:lineRule="auto"/>
        <w:jc w:val="center"/>
        <w:rPr>
          <w:rFonts w:ascii="Arial" w:eastAsia="Arial" w:hAnsi="Arial" w:cs="Arial"/>
          <w:sz w:val="22"/>
        </w:rPr>
      </w:pPr>
    </w:p>
    <w:p w14:paraId="10D1A29E" w14:textId="77777777" w:rsidR="00E05F86" w:rsidRDefault="00E05F86">
      <w:pPr>
        <w:spacing w:line="248" w:lineRule="auto"/>
        <w:jc w:val="center"/>
        <w:rPr>
          <w:rFonts w:ascii="Arial" w:eastAsia="Arial" w:hAnsi="Arial" w:cs="Arial"/>
          <w:sz w:val="22"/>
        </w:rPr>
      </w:pPr>
      <w:bookmarkStart w:id="1" w:name="_GoBack"/>
      <w:bookmarkEnd w:id="1"/>
    </w:p>
    <w:p w14:paraId="532ECE6E" w14:textId="77777777" w:rsidR="00A77B3E" w:rsidRDefault="00A77B3E">
      <w:pPr>
        <w:spacing w:line="248" w:lineRule="auto"/>
        <w:jc w:val="center"/>
        <w:rPr>
          <w:rFonts w:ascii="Arial" w:eastAsia="Arial" w:hAnsi="Arial" w:cs="Arial"/>
          <w:sz w:val="22"/>
        </w:rPr>
      </w:pPr>
    </w:p>
    <w:p w14:paraId="45B226B4" w14:textId="77777777" w:rsidR="00A77B3E" w:rsidRDefault="008A7CB9">
      <w:pPr>
        <w:spacing w:line="248" w:lineRule="auto"/>
        <w:jc w:val="center"/>
        <w:rPr>
          <w:rFonts w:ascii="Arial" w:eastAsia="Arial" w:hAnsi="Arial" w:cs="Arial"/>
          <w:sz w:val="18"/>
        </w:rPr>
      </w:pPr>
      <w:r>
        <w:rPr>
          <w:rFonts w:ascii="Arial" w:eastAsia="Arial" w:hAnsi="Arial" w:cs="Arial"/>
          <w:b/>
          <w:sz w:val="16"/>
        </w:rPr>
        <w:lastRenderedPageBreak/>
        <w:t>KUSHCO HOLDINGS, INC.</w:t>
      </w:r>
    </w:p>
    <w:p w14:paraId="5E83B1F0" w14:textId="77777777" w:rsidR="00A77B3E" w:rsidRDefault="008A7CB9">
      <w:pPr>
        <w:spacing w:line="248" w:lineRule="auto"/>
        <w:jc w:val="center"/>
        <w:rPr>
          <w:rFonts w:ascii="Arial" w:eastAsia="Arial" w:hAnsi="Arial" w:cs="Arial"/>
          <w:sz w:val="18"/>
        </w:rPr>
      </w:pPr>
      <w:r>
        <w:rPr>
          <w:rFonts w:ascii="Arial" w:eastAsia="Arial" w:hAnsi="Arial" w:cs="Arial"/>
          <w:b/>
          <w:sz w:val="16"/>
        </w:rPr>
        <w:t>CONDENSED CONSOLIDATED STATEMENTS OF OPERATIONS</w:t>
      </w:r>
    </w:p>
    <w:p w14:paraId="7D4E2943" w14:textId="77777777" w:rsidR="00A77B3E" w:rsidRDefault="008A7CB9">
      <w:pPr>
        <w:spacing w:before="2" w:line="248" w:lineRule="auto"/>
        <w:jc w:val="center"/>
        <w:rPr>
          <w:rFonts w:ascii="Arial" w:eastAsia="Arial" w:hAnsi="Arial" w:cs="Arial"/>
          <w:sz w:val="18"/>
        </w:rPr>
      </w:pPr>
      <w:r>
        <w:rPr>
          <w:rFonts w:ascii="Arial" w:eastAsia="Arial" w:hAnsi="Arial" w:cs="Arial"/>
          <w:b/>
          <w:sz w:val="16"/>
        </w:rPr>
        <w:t>(In thousands, except per share amounts)</w:t>
      </w:r>
    </w:p>
    <w:p w14:paraId="3A91F0D1" w14:textId="48FCBD1B" w:rsidR="00A77B3E" w:rsidRDefault="008A7CB9">
      <w:pPr>
        <w:spacing w:before="2" w:line="248" w:lineRule="auto"/>
        <w:jc w:val="center"/>
        <w:rPr>
          <w:rFonts w:ascii="Arial" w:eastAsia="Arial" w:hAnsi="Arial" w:cs="Arial"/>
          <w:b/>
          <w:sz w:val="16"/>
        </w:rPr>
      </w:pPr>
      <w:r>
        <w:rPr>
          <w:rFonts w:ascii="Arial" w:eastAsia="Arial" w:hAnsi="Arial" w:cs="Arial"/>
          <w:b/>
          <w:sz w:val="16"/>
        </w:rPr>
        <w:t>(Unaudited)</w:t>
      </w:r>
    </w:p>
    <w:p w14:paraId="22EF874F" w14:textId="77777777" w:rsidR="007B4DD1" w:rsidRDefault="007B4DD1">
      <w:pPr>
        <w:spacing w:before="2" w:line="248" w:lineRule="auto"/>
        <w:jc w:val="center"/>
        <w:rPr>
          <w:rFonts w:ascii="Arial" w:eastAsia="Arial" w:hAnsi="Arial" w:cs="Arial"/>
          <w:sz w:val="18"/>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66"/>
        <w:gridCol w:w="1065"/>
        <w:gridCol w:w="102"/>
        <w:gridCol w:w="229"/>
        <w:gridCol w:w="166"/>
        <w:gridCol w:w="1065"/>
        <w:gridCol w:w="102"/>
        <w:gridCol w:w="229"/>
        <w:gridCol w:w="166"/>
        <w:gridCol w:w="1065"/>
        <w:gridCol w:w="102"/>
        <w:gridCol w:w="229"/>
        <w:gridCol w:w="166"/>
        <w:gridCol w:w="1065"/>
        <w:gridCol w:w="102"/>
      </w:tblGrid>
      <w:tr w:rsidR="00CE153D" w14:paraId="2CA53E19" w14:textId="77777777">
        <w:trPr>
          <w:cantSplit/>
          <w:trHeight w:hRule="exact" w:val="480"/>
        </w:trPr>
        <w:tc>
          <w:tcPr>
            <w:tcW w:w="4905" w:type="dxa"/>
            <w:tcBorders>
              <w:top w:val="nil"/>
              <w:left w:val="nil"/>
              <w:bottom w:val="nil"/>
              <w:right w:val="nil"/>
            </w:tcBorders>
            <w:tcMar>
              <w:top w:w="0" w:type="dxa"/>
              <w:left w:w="53" w:type="dxa"/>
              <w:bottom w:w="0" w:type="dxa"/>
              <w:right w:w="53" w:type="dxa"/>
            </w:tcMar>
            <w:vAlign w:val="bottom"/>
          </w:tcPr>
          <w:p w14:paraId="0BD056F9" w14:textId="77777777" w:rsidR="00CE153D" w:rsidRDefault="00CE153D">
            <w:pPr>
              <w:keepNext/>
              <w:spacing w:before="53" w:after="30" w:line="200" w:lineRule="auto"/>
            </w:pPr>
          </w:p>
        </w:tc>
        <w:tc>
          <w:tcPr>
            <w:tcW w:w="2835" w:type="dxa"/>
            <w:gridSpan w:val="7"/>
            <w:tcBorders>
              <w:top w:val="nil"/>
              <w:left w:val="nil"/>
              <w:bottom w:val="nil"/>
              <w:right w:val="nil"/>
            </w:tcBorders>
            <w:tcMar>
              <w:top w:w="0" w:type="dxa"/>
              <w:left w:w="53" w:type="dxa"/>
              <w:bottom w:w="0" w:type="dxa"/>
              <w:right w:w="53" w:type="dxa"/>
            </w:tcMar>
            <w:vAlign w:val="bottom"/>
          </w:tcPr>
          <w:p w14:paraId="52A54827" w14:textId="77777777" w:rsidR="00CE153D" w:rsidRDefault="008A7CB9">
            <w:pPr>
              <w:keepNext/>
              <w:spacing w:before="53" w:after="30" w:line="200" w:lineRule="auto"/>
              <w:jc w:val="center"/>
            </w:pPr>
            <w:r>
              <w:rPr>
                <w:b/>
                <w:color w:val="000000"/>
                <w:sz w:val="20"/>
              </w:rPr>
              <w:t>For the Three Months Ended August 31,</w:t>
            </w:r>
          </w:p>
        </w:tc>
        <w:tc>
          <w:tcPr>
            <w:tcW w:w="225" w:type="dxa"/>
            <w:tcBorders>
              <w:top w:val="nil"/>
              <w:left w:val="nil"/>
              <w:bottom w:val="nil"/>
              <w:right w:val="nil"/>
            </w:tcBorders>
            <w:tcMar>
              <w:top w:w="0" w:type="dxa"/>
              <w:left w:w="53" w:type="dxa"/>
              <w:bottom w:w="0" w:type="dxa"/>
              <w:right w:w="53" w:type="dxa"/>
            </w:tcMar>
            <w:vAlign w:val="bottom"/>
          </w:tcPr>
          <w:p w14:paraId="29CDD4C4" w14:textId="77777777" w:rsidR="00CE153D" w:rsidRDefault="00CE153D">
            <w:pPr>
              <w:keepNext/>
              <w:spacing w:before="53" w:after="30" w:line="200" w:lineRule="auto"/>
            </w:pPr>
          </w:p>
        </w:tc>
        <w:tc>
          <w:tcPr>
            <w:tcW w:w="2835" w:type="dxa"/>
            <w:gridSpan w:val="7"/>
            <w:tcBorders>
              <w:top w:val="nil"/>
              <w:left w:val="nil"/>
              <w:bottom w:val="nil"/>
              <w:right w:val="nil"/>
            </w:tcBorders>
            <w:tcMar>
              <w:top w:w="0" w:type="dxa"/>
              <w:left w:w="53" w:type="dxa"/>
              <w:bottom w:w="0" w:type="dxa"/>
              <w:right w:w="53" w:type="dxa"/>
            </w:tcMar>
            <w:vAlign w:val="bottom"/>
          </w:tcPr>
          <w:p w14:paraId="58681973" w14:textId="77777777" w:rsidR="00CE153D" w:rsidRDefault="008A7CB9">
            <w:pPr>
              <w:keepNext/>
              <w:spacing w:before="53" w:after="30" w:line="200" w:lineRule="auto"/>
              <w:jc w:val="center"/>
            </w:pPr>
            <w:r>
              <w:rPr>
                <w:b/>
                <w:color w:val="000000"/>
                <w:sz w:val="20"/>
              </w:rPr>
              <w:t>For the Year Ended August 31,</w:t>
            </w:r>
          </w:p>
        </w:tc>
      </w:tr>
      <w:tr w:rsidR="00CE153D" w14:paraId="70979F6E"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5A4C1F72" w14:textId="77777777" w:rsidR="00CE153D" w:rsidRDefault="00CE153D">
            <w:pPr>
              <w:keepNext/>
              <w:spacing w:before="53" w:after="30" w:line="200" w:lineRule="auto"/>
            </w:pPr>
          </w:p>
        </w:tc>
        <w:tc>
          <w:tcPr>
            <w:tcW w:w="1305" w:type="dxa"/>
            <w:gridSpan w:val="3"/>
            <w:tcBorders>
              <w:top w:val="single" w:sz="8" w:space="0" w:color="000000"/>
              <w:left w:val="nil"/>
              <w:bottom w:val="nil"/>
              <w:right w:val="nil"/>
            </w:tcBorders>
            <w:tcMar>
              <w:top w:w="0" w:type="dxa"/>
              <w:left w:w="53" w:type="dxa"/>
              <w:bottom w:w="0" w:type="dxa"/>
              <w:right w:w="53" w:type="dxa"/>
            </w:tcMar>
            <w:vAlign w:val="bottom"/>
          </w:tcPr>
          <w:p w14:paraId="355F3480" w14:textId="77777777" w:rsidR="00CE153D" w:rsidRDefault="008A7CB9">
            <w:pPr>
              <w:keepNext/>
              <w:spacing w:before="33" w:after="30" w:line="200" w:lineRule="auto"/>
              <w:jc w:val="center"/>
            </w:pPr>
            <w:r>
              <w:rPr>
                <w:b/>
                <w:color w:val="000000"/>
                <w:sz w:val="20"/>
              </w:rPr>
              <w:t>2020</w:t>
            </w:r>
          </w:p>
        </w:tc>
        <w:tc>
          <w:tcPr>
            <w:tcW w:w="225" w:type="dxa"/>
            <w:tcBorders>
              <w:top w:val="single" w:sz="8" w:space="0" w:color="000000"/>
              <w:left w:val="nil"/>
              <w:bottom w:val="nil"/>
              <w:right w:val="nil"/>
            </w:tcBorders>
            <w:tcMar>
              <w:top w:w="0" w:type="dxa"/>
              <w:left w:w="53" w:type="dxa"/>
              <w:bottom w:w="0" w:type="dxa"/>
              <w:right w:w="53" w:type="dxa"/>
            </w:tcMar>
            <w:vAlign w:val="bottom"/>
          </w:tcPr>
          <w:p w14:paraId="206DF568" w14:textId="77777777" w:rsidR="00CE153D" w:rsidRDefault="00CE153D">
            <w:pPr>
              <w:keepNext/>
              <w:spacing w:before="33" w:after="30" w:line="200" w:lineRule="auto"/>
            </w:pPr>
          </w:p>
        </w:tc>
        <w:tc>
          <w:tcPr>
            <w:tcW w:w="1305" w:type="dxa"/>
            <w:gridSpan w:val="3"/>
            <w:tcBorders>
              <w:top w:val="single" w:sz="8" w:space="0" w:color="000000"/>
              <w:left w:val="nil"/>
              <w:bottom w:val="nil"/>
              <w:right w:val="nil"/>
            </w:tcBorders>
            <w:tcMar>
              <w:top w:w="0" w:type="dxa"/>
              <w:left w:w="53" w:type="dxa"/>
              <w:bottom w:w="0" w:type="dxa"/>
              <w:right w:w="53" w:type="dxa"/>
            </w:tcMar>
            <w:vAlign w:val="bottom"/>
          </w:tcPr>
          <w:p w14:paraId="356C67A1" w14:textId="77777777" w:rsidR="00CE153D" w:rsidRDefault="008A7CB9">
            <w:pPr>
              <w:keepNext/>
              <w:spacing w:before="33" w:after="30" w:line="200" w:lineRule="auto"/>
              <w:jc w:val="center"/>
            </w:pPr>
            <w:r>
              <w:rPr>
                <w:b/>
                <w:color w:val="000000"/>
                <w:sz w:val="20"/>
              </w:rPr>
              <w:t>2019</w:t>
            </w:r>
          </w:p>
        </w:tc>
        <w:tc>
          <w:tcPr>
            <w:tcW w:w="225" w:type="dxa"/>
            <w:tcBorders>
              <w:top w:val="nil"/>
              <w:left w:val="nil"/>
              <w:bottom w:val="nil"/>
              <w:right w:val="nil"/>
            </w:tcBorders>
            <w:tcMar>
              <w:top w:w="0" w:type="dxa"/>
              <w:left w:w="53" w:type="dxa"/>
              <w:bottom w:w="0" w:type="dxa"/>
              <w:right w:w="53" w:type="dxa"/>
            </w:tcMar>
            <w:vAlign w:val="bottom"/>
          </w:tcPr>
          <w:p w14:paraId="1AD064F5" w14:textId="77777777" w:rsidR="00CE153D" w:rsidRDefault="00CE153D">
            <w:pPr>
              <w:keepNext/>
              <w:spacing w:before="53" w:after="30" w:line="200" w:lineRule="auto"/>
            </w:pPr>
          </w:p>
        </w:tc>
        <w:tc>
          <w:tcPr>
            <w:tcW w:w="1305" w:type="dxa"/>
            <w:gridSpan w:val="3"/>
            <w:tcBorders>
              <w:top w:val="single" w:sz="8" w:space="0" w:color="000000"/>
              <w:left w:val="nil"/>
              <w:bottom w:val="nil"/>
              <w:right w:val="nil"/>
            </w:tcBorders>
            <w:tcMar>
              <w:top w:w="0" w:type="dxa"/>
              <w:left w:w="53" w:type="dxa"/>
              <w:bottom w:w="0" w:type="dxa"/>
              <w:right w:w="53" w:type="dxa"/>
            </w:tcMar>
            <w:vAlign w:val="bottom"/>
          </w:tcPr>
          <w:p w14:paraId="47BDB9D5" w14:textId="77777777" w:rsidR="00CE153D" w:rsidRDefault="008A7CB9">
            <w:pPr>
              <w:keepNext/>
              <w:spacing w:before="33" w:after="30" w:line="200" w:lineRule="auto"/>
              <w:jc w:val="center"/>
            </w:pPr>
            <w:r>
              <w:rPr>
                <w:b/>
                <w:color w:val="000000"/>
                <w:sz w:val="20"/>
              </w:rPr>
              <w:t>2020</w:t>
            </w:r>
          </w:p>
        </w:tc>
        <w:tc>
          <w:tcPr>
            <w:tcW w:w="225" w:type="dxa"/>
            <w:tcBorders>
              <w:top w:val="single" w:sz="8" w:space="0" w:color="000000"/>
              <w:left w:val="nil"/>
              <w:bottom w:val="nil"/>
              <w:right w:val="nil"/>
            </w:tcBorders>
            <w:tcMar>
              <w:top w:w="0" w:type="dxa"/>
              <w:left w:w="53" w:type="dxa"/>
              <w:bottom w:w="0" w:type="dxa"/>
              <w:right w:w="53" w:type="dxa"/>
            </w:tcMar>
            <w:vAlign w:val="bottom"/>
          </w:tcPr>
          <w:p w14:paraId="548F0E5F" w14:textId="77777777" w:rsidR="00CE153D" w:rsidRDefault="00CE153D">
            <w:pPr>
              <w:keepNext/>
              <w:spacing w:before="33" w:after="30" w:line="200" w:lineRule="auto"/>
            </w:pPr>
          </w:p>
        </w:tc>
        <w:tc>
          <w:tcPr>
            <w:tcW w:w="1305" w:type="dxa"/>
            <w:gridSpan w:val="3"/>
            <w:tcBorders>
              <w:top w:val="single" w:sz="8" w:space="0" w:color="000000"/>
              <w:left w:val="nil"/>
              <w:bottom w:val="nil"/>
              <w:right w:val="nil"/>
            </w:tcBorders>
            <w:tcMar>
              <w:top w:w="0" w:type="dxa"/>
              <w:left w:w="53" w:type="dxa"/>
              <w:bottom w:w="0" w:type="dxa"/>
              <w:right w:w="53" w:type="dxa"/>
            </w:tcMar>
            <w:vAlign w:val="bottom"/>
          </w:tcPr>
          <w:p w14:paraId="0F27453B" w14:textId="77777777" w:rsidR="00CE153D" w:rsidRDefault="008A7CB9">
            <w:pPr>
              <w:keepNext/>
              <w:spacing w:before="33" w:after="30" w:line="200" w:lineRule="auto"/>
              <w:jc w:val="center"/>
            </w:pPr>
            <w:r>
              <w:rPr>
                <w:b/>
                <w:color w:val="000000"/>
                <w:sz w:val="20"/>
              </w:rPr>
              <w:t>2019</w:t>
            </w:r>
          </w:p>
        </w:tc>
      </w:tr>
      <w:tr w:rsidR="00CE153D" w14:paraId="112C3B1F"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03CC253E" w14:textId="77777777" w:rsidR="00CE153D" w:rsidRDefault="008A7CB9">
            <w:pPr>
              <w:keepNext/>
              <w:spacing w:before="53" w:after="30" w:line="200" w:lineRule="auto"/>
            </w:pPr>
            <w:r>
              <w:rPr>
                <w:color w:val="000000"/>
                <w:sz w:val="20"/>
              </w:rPr>
              <w:t>Net revenue</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9BD6CC0" w14:textId="77777777" w:rsidR="00CE153D" w:rsidRDefault="008A7CB9">
            <w:pPr>
              <w:keepNext/>
              <w:spacing w:before="53" w:after="30" w:line="200" w:lineRule="auto"/>
            </w:pPr>
            <w:r>
              <w:rPr>
                <w:color w:val="000000"/>
                <w:sz w:val="20"/>
              </w:rPr>
              <w:t>$</w:t>
            </w:r>
          </w:p>
        </w:tc>
        <w:tc>
          <w:tcPr>
            <w:tcW w:w="1045" w:type="dxa"/>
            <w:tcBorders>
              <w:top w:val="nil"/>
              <w:left w:val="nil"/>
              <w:bottom w:val="nil"/>
              <w:right w:val="nil"/>
            </w:tcBorders>
            <w:shd w:val="clear" w:color="auto" w:fill="CCEEFF"/>
            <w:tcMar>
              <w:top w:w="0" w:type="dxa"/>
              <w:left w:w="0" w:type="dxa"/>
              <w:bottom w:w="0" w:type="dxa"/>
              <w:right w:w="0" w:type="dxa"/>
            </w:tcMar>
            <w:vAlign w:val="bottom"/>
          </w:tcPr>
          <w:p w14:paraId="0301E88E" w14:textId="77777777" w:rsidR="00CE153D" w:rsidRDefault="008A7CB9">
            <w:pPr>
              <w:keepNext/>
              <w:spacing w:before="53" w:after="30" w:line="200" w:lineRule="auto"/>
              <w:jc w:val="right"/>
            </w:pPr>
            <w:r>
              <w:rPr>
                <w:color w:val="000000"/>
                <w:sz w:val="20"/>
              </w:rPr>
              <w:t>26,468 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B434B27"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FA70085" w14:textId="77777777" w:rsidR="00CE153D" w:rsidRDefault="00CE153D">
            <w:pPr>
              <w:keepNext/>
              <w:spacing w:before="53" w:after="30" w:line="200" w:lineRule="auto"/>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4CBC7B5" w14:textId="77777777" w:rsidR="00CE153D" w:rsidRDefault="008A7CB9">
            <w:pPr>
              <w:keepNext/>
              <w:spacing w:before="53" w:after="30" w:line="200" w:lineRule="auto"/>
            </w:pPr>
            <w:r>
              <w:rPr>
                <w:color w:val="000000"/>
                <w:sz w:val="20"/>
              </w:rPr>
              <w:t>$</w:t>
            </w:r>
          </w:p>
        </w:tc>
        <w:tc>
          <w:tcPr>
            <w:tcW w:w="1045" w:type="dxa"/>
            <w:tcBorders>
              <w:top w:val="nil"/>
              <w:left w:val="nil"/>
              <w:bottom w:val="nil"/>
              <w:right w:val="nil"/>
            </w:tcBorders>
            <w:shd w:val="clear" w:color="auto" w:fill="CCEEFF"/>
            <w:tcMar>
              <w:top w:w="0" w:type="dxa"/>
              <w:left w:w="0" w:type="dxa"/>
              <w:bottom w:w="0" w:type="dxa"/>
              <w:right w:w="0" w:type="dxa"/>
            </w:tcMar>
            <w:vAlign w:val="bottom"/>
          </w:tcPr>
          <w:p w14:paraId="38B938FB" w14:textId="77777777" w:rsidR="00CE153D" w:rsidRDefault="008A7CB9">
            <w:pPr>
              <w:keepNext/>
              <w:spacing w:before="53" w:after="30" w:line="200" w:lineRule="auto"/>
              <w:jc w:val="right"/>
            </w:pPr>
            <w:r>
              <w:rPr>
                <w:color w:val="000000"/>
                <w:sz w:val="20"/>
              </w:rPr>
              <w:t>46,972 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4CBC0F0"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7B5832B" w14:textId="77777777" w:rsidR="00CE153D" w:rsidRDefault="00CE153D">
            <w:pPr>
              <w:keepNext/>
              <w:spacing w:before="53" w:after="30" w:line="200" w:lineRule="auto"/>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975C324" w14:textId="77777777" w:rsidR="00CE153D" w:rsidRDefault="008A7CB9">
            <w:pPr>
              <w:keepNext/>
              <w:spacing w:before="53" w:after="30" w:line="200" w:lineRule="auto"/>
            </w:pPr>
            <w:r>
              <w:rPr>
                <w:color w:val="000000"/>
                <w:sz w:val="20"/>
              </w:rPr>
              <w:t>$</w:t>
            </w:r>
          </w:p>
        </w:tc>
        <w:tc>
          <w:tcPr>
            <w:tcW w:w="1045" w:type="dxa"/>
            <w:tcBorders>
              <w:top w:val="nil"/>
              <w:left w:val="nil"/>
              <w:bottom w:val="nil"/>
              <w:right w:val="nil"/>
            </w:tcBorders>
            <w:shd w:val="clear" w:color="auto" w:fill="CCEEFF"/>
            <w:tcMar>
              <w:top w:w="0" w:type="dxa"/>
              <w:left w:w="0" w:type="dxa"/>
              <w:bottom w:w="0" w:type="dxa"/>
              <w:right w:w="0" w:type="dxa"/>
            </w:tcMar>
            <w:vAlign w:val="bottom"/>
          </w:tcPr>
          <w:p w14:paraId="15CC109A" w14:textId="77777777" w:rsidR="00CE153D" w:rsidRDefault="008A7CB9">
            <w:pPr>
              <w:keepNext/>
              <w:spacing w:before="53" w:after="30" w:line="200" w:lineRule="auto"/>
              <w:jc w:val="right"/>
            </w:pPr>
            <w:r>
              <w:rPr>
                <w:color w:val="000000"/>
                <w:sz w:val="20"/>
              </w:rPr>
              <w:t>113,837 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0A59339"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7B0DE325" w14:textId="77777777" w:rsidR="00CE153D" w:rsidRDefault="00CE153D">
            <w:pPr>
              <w:keepNext/>
              <w:spacing w:before="53" w:after="30" w:line="200" w:lineRule="auto"/>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5ED002CB" w14:textId="77777777" w:rsidR="00CE153D" w:rsidRDefault="008A7CB9">
            <w:pPr>
              <w:keepNext/>
              <w:spacing w:before="53" w:after="30" w:line="200" w:lineRule="auto"/>
            </w:pPr>
            <w:r>
              <w:rPr>
                <w:color w:val="000000"/>
                <w:sz w:val="20"/>
              </w:rPr>
              <w:t>$</w:t>
            </w:r>
          </w:p>
        </w:tc>
        <w:tc>
          <w:tcPr>
            <w:tcW w:w="1045" w:type="dxa"/>
            <w:tcBorders>
              <w:top w:val="nil"/>
              <w:left w:val="nil"/>
              <w:bottom w:val="nil"/>
              <w:right w:val="nil"/>
            </w:tcBorders>
            <w:shd w:val="clear" w:color="auto" w:fill="CCEEFF"/>
            <w:tcMar>
              <w:top w:w="0" w:type="dxa"/>
              <w:left w:w="0" w:type="dxa"/>
              <w:bottom w:w="0" w:type="dxa"/>
              <w:right w:w="0" w:type="dxa"/>
            </w:tcMar>
            <w:vAlign w:val="bottom"/>
          </w:tcPr>
          <w:p w14:paraId="6D08056D" w14:textId="77777777" w:rsidR="00CE153D" w:rsidRDefault="008A7CB9">
            <w:pPr>
              <w:keepNext/>
              <w:spacing w:before="53" w:after="30" w:line="200" w:lineRule="auto"/>
              <w:jc w:val="right"/>
            </w:pPr>
            <w:r>
              <w:rPr>
                <w:color w:val="000000"/>
                <w:sz w:val="20"/>
              </w:rPr>
              <w:t>148,954 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7C52513" w14:textId="77777777" w:rsidR="00CE153D" w:rsidRDefault="00CE153D">
            <w:pPr>
              <w:keepNext/>
              <w:spacing w:before="53" w:after="30" w:line="200" w:lineRule="auto"/>
            </w:pPr>
          </w:p>
        </w:tc>
      </w:tr>
      <w:tr w:rsidR="00CE153D" w14:paraId="39279334"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68E4D958" w14:textId="77777777" w:rsidR="00CE153D" w:rsidRDefault="008A7CB9">
            <w:pPr>
              <w:keepNext/>
              <w:spacing w:before="53" w:after="30" w:line="200" w:lineRule="auto"/>
            </w:pPr>
            <w:r>
              <w:rPr>
                <w:color w:val="000000"/>
                <w:sz w:val="20"/>
              </w:rPr>
              <w:t>Cost of goods sold</w:t>
            </w: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2E72F0F1" w14:textId="77777777" w:rsidR="00CE153D" w:rsidRDefault="008A7CB9">
            <w:pPr>
              <w:keepNext/>
              <w:spacing w:before="53" w:after="30" w:line="200" w:lineRule="auto"/>
              <w:jc w:val="right"/>
            </w:pPr>
            <w:r>
              <w:rPr>
                <w:color w:val="000000"/>
                <w:sz w:val="20"/>
              </w:rPr>
              <w:t>19,631 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A921D94"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28569F2"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733E1EB6" w14:textId="77777777" w:rsidR="00CE153D" w:rsidRDefault="008A7CB9">
            <w:pPr>
              <w:keepNext/>
              <w:spacing w:before="53" w:after="30" w:line="200" w:lineRule="auto"/>
              <w:jc w:val="right"/>
            </w:pPr>
            <w:r>
              <w:rPr>
                <w:color w:val="000000"/>
                <w:sz w:val="20"/>
              </w:rPr>
              <w:t>37,552 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312D15FE"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9B17E14" w14:textId="77777777" w:rsidR="00CE153D" w:rsidRDefault="00CE153D">
            <w:pPr>
              <w:keepNext/>
              <w:spacing w:before="53" w:after="30" w:line="200" w:lineRule="auto"/>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193E7FB6" w14:textId="77777777" w:rsidR="00CE153D" w:rsidRDefault="008A7CB9">
            <w:pPr>
              <w:keepNext/>
              <w:spacing w:before="53" w:after="30" w:line="200" w:lineRule="auto"/>
              <w:jc w:val="right"/>
            </w:pPr>
            <w:r>
              <w:rPr>
                <w:color w:val="000000"/>
                <w:sz w:val="20"/>
              </w:rPr>
              <w:t>106,265 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DB636AC"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25C17E3"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420D2A2B" w14:textId="77777777" w:rsidR="00CE153D" w:rsidRDefault="008A7CB9">
            <w:pPr>
              <w:keepNext/>
              <w:spacing w:before="53" w:after="30" w:line="200" w:lineRule="auto"/>
              <w:jc w:val="right"/>
            </w:pPr>
            <w:r>
              <w:rPr>
                <w:color w:val="000000"/>
                <w:sz w:val="20"/>
              </w:rPr>
              <w:t>124,386 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E179123" w14:textId="77777777" w:rsidR="00CE153D" w:rsidRDefault="00CE153D">
            <w:pPr>
              <w:keepNext/>
              <w:spacing w:before="53" w:after="30" w:line="200" w:lineRule="auto"/>
            </w:pPr>
          </w:p>
        </w:tc>
      </w:tr>
      <w:tr w:rsidR="00CE153D" w14:paraId="17EF0285"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3E47012A" w14:textId="3ACAE46B" w:rsidR="00CE153D" w:rsidRDefault="008A7CB9">
            <w:pPr>
              <w:keepNext/>
              <w:spacing w:before="53" w:after="30" w:line="200" w:lineRule="auto"/>
            </w:pPr>
            <w:r>
              <w:rPr>
                <w:color w:val="000000"/>
                <w:sz w:val="20"/>
              </w:rPr>
              <w:t>Gross profit</w:t>
            </w: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450488D7" w14:textId="77777777" w:rsidR="00CE153D" w:rsidRDefault="008A7CB9">
            <w:pPr>
              <w:keepNext/>
              <w:spacing w:before="33" w:after="30" w:line="200" w:lineRule="auto"/>
              <w:jc w:val="right"/>
            </w:pPr>
            <w:r>
              <w:rPr>
                <w:color w:val="000000"/>
                <w:sz w:val="20"/>
              </w:rPr>
              <w:t>6,837 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A027F1D"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CD361AA" w14:textId="77777777" w:rsidR="00CE153D" w:rsidRDefault="00CE153D">
            <w:pPr>
              <w:keepNext/>
              <w:spacing w:before="53" w:after="30" w:line="200" w:lineRule="auto"/>
              <w:jc w:val="right"/>
            </w:pP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44568056" w14:textId="77777777" w:rsidR="00CE153D" w:rsidRDefault="008A7CB9">
            <w:pPr>
              <w:keepNext/>
              <w:spacing w:before="33" w:after="30" w:line="200" w:lineRule="auto"/>
              <w:jc w:val="right"/>
            </w:pPr>
            <w:r>
              <w:rPr>
                <w:color w:val="000000"/>
                <w:sz w:val="20"/>
              </w:rPr>
              <w:t>9,420 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5864B51"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C0447BA" w14:textId="77777777" w:rsidR="00CE153D" w:rsidRDefault="00CE153D">
            <w:pPr>
              <w:keepNext/>
              <w:spacing w:before="53" w:after="30" w:line="200" w:lineRule="auto"/>
            </w:pP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B409A96" w14:textId="77777777" w:rsidR="00CE153D" w:rsidRDefault="008A7CB9">
            <w:pPr>
              <w:keepNext/>
              <w:spacing w:before="33" w:after="30" w:line="200" w:lineRule="auto"/>
              <w:jc w:val="right"/>
            </w:pPr>
            <w:r>
              <w:rPr>
                <w:color w:val="000000"/>
                <w:sz w:val="20"/>
              </w:rPr>
              <w:t>7,572 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8775B89"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75FF77F3" w14:textId="77777777" w:rsidR="00CE153D" w:rsidRDefault="00CE153D">
            <w:pPr>
              <w:keepNext/>
              <w:spacing w:before="53" w:after="30" w:line="200" w:lineRule="auto"/>
              <w:jc w:val="right"/>
            </w:pP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64A995AB" w14:textId="77777777" w:rsidR="00CE153D" w:rsidRDefault="008A7CB9">
            <w:pPr>
              <w:keepNext/>
              <w:spacing w:before="33" w:after="30" w:line="200" w:lineRule="auto"/>
              <w:jc w:val="right"/>
            </w:pPr>
            <w:r>
              <w:rPr>
                <w:color w:val="000000"/>
                <w:sz w:val="20"/>
              </w:rPr>
              <w:t>24,568 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8DFACA4" w14:textId="77777777" w:rsidR="00CE153D" w:rsidRDefault="00CE153D">
            <w:pPr>
              <w:keepNext/>
              <w:spacing w:before="33" w:after="30" w:line="200" w:lineRule="auto"/>
            </w:pPr>
          </w:p>
        </w:tc>
      </w:tr>
      <w:tr w:rsidR="00CE153D" w14:paraId="0FD76930"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47407438" w14:textId="77777777" w:rsidR="00CE153D" w:rsidRDefault="00CE153D">
            <w:pPr>
              <w:keepNext/>
              <w:spacing w:before="53" w:after="30" w:line="200" w:lineRule="auto"/>
            </w:pPr>
          </w:p>
        </w:tc>
        <w:tc>
          <w:tcPr>
            <w:tcW w:w="1305" w:type="dxa"/>
            <w:gridSpan w:val="3"/>
            <w:tcBorders>
              <w:top w:val="nil"/>
              <w:left w:val="nil"/>
              <w:bottom w:val="nil"/>
              <w:right w:val="nil"/>
            </w:tcBorders>
            <w:tcMar>
              <w:top w:w="0" w:type="dxa"/>
              <w:left w:w="53" w:type="dxa"/>
              <w:bottom w:w="0" w:type="dxa"/>
              <w:right w:w="53" w:type="dxa"/>
            </w:tcMar>
            <w:vAlign w:val="bottom"/>
          </w:tcPr>
          <w:p w14:paraId="0EB76243"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2C41569E" w14:textId="77777777" w:rsidR="00CE153D" w:rsidRDefault="00CE153D">
            <w:pPr>
              <w:keepNext/>
              <w:spacing w:before="53" w:after="30" w:line="200" w:lineRule="auto"/>
              <w:jc w:val="right"/>
            </w:pPr>
          </w:p>
        </w:tc>
        <w:tc>
          <w:tcPr>
            <w:tcW w:w="1305" w:type="dxa"/>
            <w:gridSpan w:val="3"/>
            <w:tcBorders>
              <w:top w:val="nil"/>
              <w:left w:val="nil"/>
              <w:bottom w:val="nil"/>
              <w:right w:val="nil"/>
            </w:tcBorders>
            <w:tcMar>
              <w:top w:w="0" w:type="dxa"/>
              <w:left w:w="53" w:type="dxa"/>
              <w:bottom w:w="0" w:type="dxa"/>
              <w:right w:w="53" w:type="dxa"/>
            </w:tcMar>
            <w:vAlign w:val="bottom"/>
          </w:tcPr>
          <w:p w14:paraId="61A4C0AA"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08802EB9" w14:textId="77777777" w:rsidR="00CE153D" w:rsidRDefault="00CE153D">
            <w:pPr>
              <w:keepNext/>
              <w:spacing w:before="53" w:after="30" w:line="200" w:lineRule="auto"/>
            </w:pPr>
          </w:p>
        </w:tc>
        <w:tc>
          <w:tcPr>
            <w:tcW w:w="1305" w:type="dxa"/>
            <w:gridSpan w:val="3"/>
            <w:tcBorders>
              <w:top w:val="nil"/>
              <w:left w:val="nil"/>
              <w:bottom w:val="nil"/>
              <w:right w:val="nil"/>
            </w:tcBorders>
            <w:tcMar>
              <w:top w:w="0" w:type="dxa"/>
              <w:left w:w="53" w:type="dxa"/>
              <w:bottom w:w="0" w:type="dxa"/>
              <w:right w:w="53" w:type="dxa"/>
            </w:tcMar>
            <w:vAlign w:val="bottom"/>
          </w:tcPr>
          <w:p w14:paraId="388D3770"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1C94A16D" w14:textId="77777777" w:rsidR="00CE153D" w:rsidRDefault="00CE153D">
            <w:pPr>
              <w:keepNext/>
              <w:spacing w:before="53" w:after="30" w:line="200" w:lineRule="auto"/>
              <w:jc w:val="right"/>
            </w:pPr>
          </w:p>
        </w:tc>
        <w:tc>
          <w:tcPr>
            <w:tcW w:w="1305" w:type="dxa"/>
            <w:gridSpan w:val="3"/>
            <w:tcBorders>
              <w:top w:val="nil"/>
              <w:left w:val="nil"/>
              <w:bottom w:val="nil"/>
              <w:right w:val="nil"/>
            </w:tcBorders>
            <w:tcMar>
              <w:top w:w="0" w:type="dxa"/>
              <w:left w:w="53" w:type="dxa"/>
              <w:bottom w:w="0" w:type="dxa"/>
              <w:right w:w="53" w:type="dxa"/>
            </w:tcMar>
            <w:vAlign w:val="bottom"/>
          </w:tcPr>
          <w:p w14:paraId="0D018EFE" w14:textId="77777777" w:rsidR="00CE153D" w:rsidRDefault="00CE153D">
            <w:pPr>
              <w:keepNext/>
              <w:spacing w:before="53" w:after="30" w:line="200" w:lineRule="auto"/>
              <w:jc w:val="right"/>
            </w:pPr>
          </w:p>
        </w:tc>
      </w:tr>
      <w:tr w:rsidR="00CE153D" w14:paraId="0DADB15D"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55EB11C8" w14:textId="77777777" w:rsidR="00CE153D" w:rsidRDefault="008A7CB9">
            <w:pPr>
              <w:keepNext/>
              <w:spacing w:before="53" w:after="30" w:line="200" w:lineRule="auto"/>
            </w:pPr>
            <w:r>
              <w:rPr>
                <w:color w:val="000000"/>
                <w:sz w:val="20"/>
              </w:rPr>
              <w:t>Operating expenses:</w:t>
            </w: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3615FA1A"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4288620"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21AE2277"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306CE27C" w14:textId="77777777" w:rsidR="00CE153D" w:rsidRDefault="00CE153D">
            <w:pPr>
              <w:keepNext/>
              <w:spacing w:before="53" w:after="30" w:line="200" w:lineRule="auto"/>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5C396BD0"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1E9F051"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26B52087" w14:textId="77777777" w:rsidR="00CE153D" w:rsidRDefault="00CE153D">
            <w:pPr>
              <w:keepNext/>
              <w:spacing w:before="53" w:after="30" w:line="200" w:lineRule="auto"/>
              <w:jc w:val="right"/>
            </w:pPr>
          </w:p>
        </w:tc>
      </w:tr>
      <w:tr w:rsidR="00CE153D" w14:paraId="3D377E87"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5B79F9DA" w14:textId="77777777" w:rsidR="00CE153D" w:rsidRDefault="008A7CB9">
            <w:pPr>
              <w:keepNext/>
              <w:spacing w:before="53" w:after="30" w:line="200" w:lineRule="auto"/>
              <w:ind w:left="120"/>
            </w:pPr>
            <w:r>
              <w:rPr>
                <w:color w:val="000000"/>
                <w:sz w:val="20"/>
              </w:rPr>
              <w:t>Selling, general and administrative</w:t>
            </w:r>
          </w:p>
        </w:tc>
        <w:tc>
          <w:tcPr>
            <w:tcW w:w="1205" w:type="dxa"/>
            <w:gridSpan w:val="2"/>
            <w:tcBorders>
              <w:top w:val="nil"/>
              <w:left w:val="nil"/>
              <w:bottom w:val="nil"/>
              <w:right w:val="nil"/>
            </w:tcBorders>
            <w:tcMar>
              <w:top w:w="0" w:type="dxa"/>
              <w:left w:w="53" w:type="dxa"/>
              <w:bottom w:w="0" w:type="dxa"/>
              <w:right w:w="0" w:type="dxa"/>
            </w:tcMar>
            <w:vAlign w:val="bottom"/>
          </w:tcPr>
          <w:p w14:paraId="7172FB75" w14:textId="77777777" w:rsidR="00CE153D" w:rsidRDefault="008A7CB9">
            <w:pPr>
              <w:keepNext/>
              <w:spacing w:before="53" w:after="30" w:line="200" w:lineRule="auto"/>
              <w:jc w:val="right"/>
            </w:pPr>
            <w:r>
              <w:rPr>
                <w:color w:val="000000"/>
                <w:sz w:val="20"/>
              </w:rPr>
              <w:t>10,337 </w:t>
            </w:r>
          </w:p>
        </w:tc>
        <w:tc>
          <w:tcPr>
            <w:tcW w:w="100" w:type="dxa"/>
            <w:tcBorders>
              <w:top w:val="nil"/>
              <w:left w:val="nil"/>
              <w:bottom w:val="nil"/>
              <w:right w:val="nil"/>
            </w:tcBorders>
            <w:tcMar>
              <w:top w:w="0" w:type="dxa"/>
              <w:left w:w="0" w:type="dxa"/>
              <w:bottom w:w="0" w:type="dxa"/>
              <w:right w:w="15" w:type="dxa"/>
            </w:tcMar>
            <w:vAlign w:val="bottom"/>
          </w:tcPr>
          <w:p w14:paraId="63259A7B"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34A45EF0"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20DAF980" w14:textId="77777777" w:rsidR="00CE153D" w:rsidRDefault="008A7CB9">
            <w:pPr>
              <w:keepNext/>
              <w:spacing w:before="53" w:after="30" w:line="200" w:lineRule="auto"/>
              <w:jc w:val="right"/>
            </w:pPr>
            <w:r>
              <w:rPr>
                <w:color w:val="000000"/>
                <w:sz w:val="20"/>
              </w:rPr>
              <w:t>20,755 </w:t>
            </w:r>
          </w:p>
        </w:tc>
        <w:tc>
          <w:tcPr>
            <w:tcW w:w="100" w:type="dxa"/>
            <w:tcBorders>
              <w:top w:val="nil"/>
              <w:left w:val="nil"/>
              <w:bottom w:val="nil"/>
              <w:right w:val="nil"/>
            </w:tcBorders>
            <w:tcMar>
              <w:top w:w="0" w:type="dxa"/>
              <w:left w:w="0" w:type="dxa"/>
              <w:bottom w:w="0" w:type="dxa"/>
              <w:right w:w="15" w:type="dxa"/>
            </w:tcMar>
            <w:vAlign w:val="bottom"/>
          </w:tcPr>
          <w:p w14:paraId="0BA274F3"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726D52C2" w14:textId="77777777" w:rsidR="00CE153D" w:rsidRDefault="00CE153D">
            <w:pPr>
              <w:keepNext/>
              <w:spacing w:before="53" w:after="30" w:line="200" w:lineRule="auto"/>
            </w:pPr>
          </w:p>
        </w:tc>
        <w:tc>
          <w:tcPr>
            <w:tcW w:w="1205" w:type="dxa"/>
            <w:gridSpan w:val="2"/>
            <w:tcBorders>
              <w:top w:val="nil"/>
              <w:left w:val="nil"/>
              <w:bottom w:val="nil"/>
              <w:right w:val="nil"/>
            </w:tcBorders>
            <w:tcMar>
              <w:top w:w="0" w:type="dxa"/>
              <w:left w:w="53" w:type="dxa"/>
              <w:bottom w:w="0" w:type="dxa"/>
              <w:right w:w="0" w:type="dxa"/>
            </w:tcMar>
            <w:vAlign w:val="bottom"/>
          </w:tcPr>
          <w:p w14:paraId="670CDD6D" w14:textId="77777777" w:rsidR="00CE153D" w:rsidRDefault="008A7CB9">
            <w:pPr>
              <w:keepNext/>
              <w:spacing w:before="53" w:after="30" w:line="200" w:lineRule="auto"/>
              <w:jc w:val="right"/>
            </w:pPr>
            <w:r>
              <w:rPr>
                <w:color w:val="000000"/>
                <w:sz w:val="20"/>
              </w:rPr>
              <w:t>71,314 </w:t>
            </w:r>
          </w:p>
        </w:tc>
        <w:tc>
          <w:tcPr>
            <w:tcW w:w="100" w:type="dxa"/>
            <w:tcBorders>
              <w:top w:val="nil"/>
              <w:left w:val="nil"/>
              <w:bottom w:val="nil"/>
              <w:right w:val="nil"/>
            </w:tcBorders>
            <w:tcMar>
              <w:top w:w="0" w:type="dxa"/>
              <w:left w:w="0" w:type="dxa"/>
              <w:bottom w:w="0" w:type="dxa"/>
              <w:right w:w="15" w:type="dxa"/>
            </w:tcMar>
            <w:vAlign w:val="bottom"/>
          </w:tcPr>
          <w:p w14:paraId="73978FA9"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186F4A45"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008106EC" w14:textId="77777777" w:rsidR="00CE153D" w:rsidRDefault="008A7CB9">
            <w:pPr>
              <w:keepNext/>
              <w:spacing w:before="53" w:after="30" w:line="200" w:lineRule="auto"/>
              <w:jc w:val="right"/>
            </w:pPr>
            <w:r>
              <w:rPr>
                <w:color w:val="000000"/>
                <w:sz w:val="20"/>
              </w:rPr>
              <w:t>72,787 </w:t>
            </w:r>
          </w:p>
        </w:tc>
        <w:tc>
          <w:tcPr>
            <w:tcW w:w="100" w:type="dxa"/>
            <w:tcBorders>
              <w:top w:val="nil"/>
              <w:left w:val="nil"/>
              <w:bottom w:val="nil"/>
              <w:right w:val="nil"/>
            </w:tcBorders>
            <w:tcMar>
              <w:top w:w="0" w:type="dxa"/>
              <w:left w:w="0" w:type="dxa"/>
              <w:bottom w:w="0" w:type="dxa"/>
              <w:right w:w="15" w:type="dxa"/>
            </w:tcMar>
            <w:vAlign w:val="bottom"/>
          </w:tcPr>
          <w:p w14:paraId="70F334A4" w14:textId="77777777" w:rsidR="00CE153D" w:rsidRDefault="00CE153D">
            <w:pPr>
              <w:keepNext/>
              <w:spacing w:before="53" w:after="30" w:line="200" w:lineRule="auto"/>
            </w:pPr>
          </w:p>
        </w:tc>
      </w:tr>
      <w:tr w:rsidR="00CE153D" w14:paraId="635B58B9"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14FDC54E" w14:textId="77777777" w:rsidR="00CE153D" w:rsidRDefault="008A7CB9">
            <w:pPr>
              <w:keepNext/>
              <w:spacing w:before="53" w:after="30" w:line="200" w:lineRule="auto"/>
              <w:ind w:left="120"/>
            </w:pPr>
            <w:r>
              <w:rPr>
                <w:color w:val="000000"/>
                <w:sz w:val="20"/>
              </w:rPr>
              <w:t>Gain on disposition of assets</w:t>
            </w: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66870704"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52521CE"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C8ED79E"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6EF2A4EF"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AE4B2C"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286DBFB" w14:textId="77777777" w:rsidR="00CE153D" w:rsidRDefault="00CE153D">
            <w:pPr>
              <w:keepNext/>
              <w:spacing w:before="53" w:after="30" w:line="200" w:lineRule="auto"/>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1AB215E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CFF4A6F"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8D76668"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6A8074B4" w14:textId="77777777" w:rsidR="00CE153D" w:rsidRDefault="008A7CB9">
            <w:pPr>
              <w:keepNext/>
              <w:spacing w:before="53" w:after="30" w:line="200" w:lineRule="auto"/>
              <w:jc w:val="right"/>
            </w:pPr>
            <w:r>
              <w:rPr>
                <w:color w:val="000000"/>
                <w:sz w:val="20"/>
              </w:rPr>
              <w:t>(1,254)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D09FDD2" w14:textId="77777777" w:rsidR="00CE153D" w:rsidRDefault="00CE153D">
            <w:pPr>
              <w:keepNext/>
              <w:spacing w:before="53" w:after="30" w:line="200" w:lineRule="auto"/>
            </w:pPr>
          </w:p>
        </w:tc>
      </w:tr>
      <w:tr w:rsidR="00CE153D" w14:paraId="6FB18A46"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42679F94" w14:textId="77777777" w:rsidR="00CE153D" w:rsidRDefault="008A7CB9">
            <w:pPr>
              <w:keepNext/>
              <w:spacing w:before="53" w:after="30" w:line="200" w:lineRule="auto"/>
              <w:ind w:left="120"/>
            </w:pPr>
            <w:r>
              <w:rPr>
                <w:color w:val="000000"/>
                <w:sz w:val="20"/>
              </w:rPr>
              <w:t>Change in fair value of contingent consideration</w:t>
            </w:r>
          </w:p>
        </w:tc>
        <w:tc>
          <w:tcPr>
            <w:tcW w:w="1205" w:type="dxa"/>
            <w:gridSpan w:val="2"/>
            <w:tcBorders>
              <w:top w:val="nil"/>
              <w:left w:val="nil"/>
              <w:bottom w:val="nil"/>
              <w:right w:val="nil"/>
            </w:tcBorders>
            <w:tcMar>
              <w:top w:w="0" w:type="dxa"/>
              <w:left w:w="53" w:type="dxa"/>
              <w:bottom w:w="0" w:type="dxa"/>
              <w:right w:w="0" w:type="dxa"/>
            </w:tcMar>
            <w:vAlign w:val="bottom"/>
          </w:tcPr>
          <w:p w14:paraId="1C61B99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6C19EB56"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39662A65"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1F752AC0" w14:textId="77777777" w:rsidR="00CE153D" w:rsidRDefault="008A7CB9">
            <w:pPr>
              <w:keepNext/>
              <w:spacing w:before="53" w:after="30" w:line="200" w:lineRule="auto"/>
              <w:jc w:val="right"/>
            </w:pPr>
            <w:r>
              <w:rPr>
                <w:color w:val="000000"/>
                <w:sz w:val="20"/>
              </w:rPr>
              <w:t>467 </w:t>
            </w:r>
          </w:p>
        </w:tc>
        <w:tc>
          <w:tcPr>
            <w:tcW w:w="100" w:type="dxa"/>
            <w:tcBorders>
              <w:top w:val="nil"/>
              <w:left w:val="nil"/>
              <w:bottom w:val="nil"/>
              <w:right w:val="nil"/>
            </w:tcBorders>
            <w:tcMar>
              <w:top w:w="0" w:type="dxa"/>
              <w:left w:w="0" w:type="dxa"/>
              <w:bottom w:w="0" w:type="dxa"/>
              <w:right w:w="15" w:type="dxa"/>
            </w:tcMar>
            <w:vAlign w:val="bottom"/>
          </w:tcPr>
          <w:p w14:paraId="6CF5DB38"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EE7DA85" w14:textId="77777777" w:rsidR="00CE153D" w:rsidRDefault="00CE153D">
            <w:pPr>
              <w:keepNext/>
              <w:spacing w:before="53" w:after="30" w:line="200" w:lineRule="auto"/>
            </w:pPr>
          </w:p>
        </w:tc>
        <w:tc>
          <w:tcPr>
            <w:tcW w:w="1205" w:type="dxa"/>
            <w:gridSpan w:val="2"/>
            <w:tcBorders>
              <w:top w:val="nil"/>
              <w:left w:val="nil"/>
              <w:bottom w:val="nil"/>
              <w:right w:val="nil"/>
            </w:tcBorders>
            <w:tcMar>
              <w:top w:w="0" w:type="dxa"/>
              <w:left w:w="53" w:type="dxa"/>
              <w:bottom w:w="0" w:type="dxa"/>
              <w:right w:w="0" w:type="dxa"/>
            </w:tcMar>
            <w:vAlign w:val="bottom"/>
          </w:tcPr>
          <w:p w14:paraId="0FB6FECE"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7A59DA2F"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64142380"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73A2CB06" w14:textId="77777777" w:rsidR="00CE153D" w:rsidRDefault="008A7CB9">
            <w:pPr>
              <w:keepNext/>
              <w:spacing w:before="53" w:after="30" w:line="200" w:lineRule="auto"/>
              <w:jc w:val="right"/>
            </w:pPr>
            <w:r>
              <w:rPr>
                <w:color w:val="000000"/>
                <w:sz w:val="20"/>
              </w:rPr>
              <w:t>(1,780)</w:t>
            </w:r>
          </w:p>
        </w:tc>
        <w:tc>
          <w:tcPr>
            <w:tcW w:w="100" w:type="dxa"/>
            <w:tcBorders>
              <w:top w:val="nil"/>
              <w:left w:val="nil"/>
              <w:bottom w:val="nil"/>
              <w:right w:val="nil"/>
            </w:tcBorders>
            <w:tcMar>
              <w:top w:w="0" w:type="dxa"/>
              <w:left w:w="0" w:type="dxa"/>
              <w:bottom w:w="0" w:type="dxa"/>
              <w:right w:w="15" w:type="dxa"/>
            </w:tcMar>
            <w:vAlign w:val="bottom"/>
          </w:tcPr>
          <w:p w14:paraId="4753AA1A" w14:textId="77777777" w:rsidR="00CE153D" w:rsidRDefault="00CE153D">
            <w:pPr>
              <w:keepNext/>
              <w:spacing w:before="53" w:after="30" w:line="200" w:lineRule="auto"/>
            </w:pPr>
          </w:p>
        </w:tc>
      </w:tr>
      <w:tr w:rsidR="00CE153D" w14:paraId="016C5C01"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09128FAD" w14:textId="77777777" w:rsidR="00CE153D" w:rsidRDefault="008A7CB9">
            <w:pPr>
              <w:keepNext/>
              <w:spacing w:before="53" w:after="30" w:line="200" w:lineRule="auto"/>
              <w:ind w:left="120"/>
            </w:pPr>
            <w:r>
              <w:rPr>
                <w:color w:val="000000"/>
                <w:sz w:val="20"/>
              </w:rPr>
              <w:t>Impairment loss on intangible asset</w:t>
            </w: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281E9739" w14:textId="77777777" w:rsidR="00CE153D" w:rsidRDefault="008A7CB9">
            <w:pPr>
              <w:keepNext/>
              <w:spacing w:before="53" w:after="30" w:line="200" w:lineRule="auto"/>
              <w:jc w:val="right"/>
            </w:pPr>
            <w:r>
              <w:rPr>
                <w:color w:val="000000"/>
                <w:sz w:val="20"/>
              </w:rPr>
              <w:t>1,156 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89C221A"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8D5025B"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7EC83EC3"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31CB9A5"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00AE40D" w14:textId="77777777" w:rsidR="00CE153D" w:rsidRDefault="00CE153D">
            <w:pPr>
              <w:keepNext/>
              <w:spacing w:before="53" w:after="30" w:line="200" w:lineRule="auto"/>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1CDBC342" w14:textId="77777777" w:rsidR="00CE153D" w:rsidRDefault="008A7CB9">
            <w:pPr>
              <w:keepNext/>
              <w:spacing w:before="53" w:after="30" w:line="200" w:lineRule="auto"/>
              <w:jc w:val="right"/>
            </w:pPr>
            <w:r>
              <w:rPr>
                <w:color w:val="000000"/>
                <w:sz w:val="20"/>
              </w:rPr>
              <w:t>1,156 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5DE6A1B"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30997151"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099CEC4C"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21D81A" w14:textId="77777777" w:rsidR="00CE153D" w:rsidRDefault="00CE153D">
            <w:pPr>
              <w:keepNext/>
              <w:spacing w:before="53" w:after="30" w:line="200" w:lineRule="auto"/>
            </w:pPr>
          </w:p>
        </w:tc>
      </w:tr>
      <w:tr w:rsidR="00CE153D" w14:paraId="774EDD79"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35123DD3" w14:textId="77777777" w:rsidR="00CE153D" w:rsidRDefault="008A7CB9">
            <w:pPr>
              <w:keepNext/>
              <w:spacing w:before="53" w:after="30" w:line="200" w:lineRule="auto"/>
              <w:ind w:left="120"/>
            </w:pPr>
            <w:r>
              <w:rPr>
                <w:color w:val="000000"/>
                <w:sz w:val="20"/>
              </w:rPr>
              <w:t>Restructuring costs</w:t>
            </w: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17DA889E" w14:textId="77777777" w:rsidR="00CE153D" w:rsidRDefault="008A7CB9">
            <w:pPr>
              <w:keepNext/>
              <w:spacing w:before="53" w:after="30" w:line="200" w:lineRule="auto"/>
              <w:jc w:val="right"/>
            </w:pPr>
            <w:r>
              <w:rPr>
                <w:color w:val="000000"/>
                <w:sz w:val="20"/>
              </w:rPr>
              <w:t>105 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35B7E6E2"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6B214740"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76B74DFE"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1381144"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0EFB519F" w14:textId="77777777" w:rsidR="00CE153D" w:rsidRDefault="00CE153D">
            <w:pPr>
              <w:keepNext/>
              <w:spacing w:before="53" w:after="30" w:line="200" w:lineRule="auto"/>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5A76F43C" w14:textId="77777777" w:rsidR="00CE153D" w:rsidRDefault="008A7CB9">
            <w:pPr>
              <w:keepNext/>
              <w:spacing w:before="53" w:after="30" w:line="200" w:lineRule="auto"/>
              <w:jc w:val="right"/>
            </w:pPr>
            <w:r>
              <w:rPr>
                <w:color w:val="000000"/>
                <w:sz w:val="20"/>
              </w:rPr>
              <w:t>8,358 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208499D6"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1A0E59C5"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3396A8CB"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35D63F80" w14:textId="77777777" w:rsidR="00CE153D" w:rsidRDefault="00CE153D">
            <w:pPr>
              <w:keepNext/>
              <w:spacing w:before="53" w:after="30" w:line="200" w:lineRule="auto"/>
            </w:pPr>
          </w:p>
        </w:tc>
      </w:tr>
      <w:tr w:rsidR="00CE153D" w14:paraId="516B4EF7"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27937234" w14:textId="77777777" w:rsidR="00CE153D" w:rsidRDefault="008A7CB9">
            <w:pPr>
              <w:keepNext/>
              <w:spacing w:before="53" w:after="30" w:line="200" w:lineRule="auto"/>
            </w:pPr>
            <w:r>
              <w:rPr>
                <w:color w:val="000000"/>
                <w:sz w:val="20"/>
              </w:rPr>
              <w:t>Total operating expenses</w:t>
            </w:r>
          </w:p>
        </w:tc>
        <w:tc>
          <w:tcPr>
            <w:tcW w:w="12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5E91097C" w14:textId="77777777" w:rsidR="00CE153D" w:rsidRDefault="008A7CB9">
            <w:pPr>
              <w:keepNext/>
              <w:spacing w:before="33" w:after="30" w:line="200" w:lineRule="auto"/>
              <w:jc w:val="right"/>
            </w:pPr>
            <w:r>
              <w:rPr>
                <w:color w:val="000000"/>
                <w:sz w:val="20"/>
              </w:rPr>
              <w:t>11,598 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D25B6A8"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ADD385A" w14:textId="77777777" w:rsidR="00CE153D" w:rsidRDefault="00CE153D">
            <w:pPr>
              <w:keepNext/>
              <w:spacing w:before="53" w:after="30" w:line="200" w:lineRule="auto"/>
              <w:jc w:val="right"/>
            </w:pPr>
          </w:p>
        </w:tc>
        <w:tc>
          <w:tcPr>
            <w:tcW w:w="12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03C7AF23" w14:textId="77777777" w:rsidR="00CE153D" w:rsidRDefault="008A7CB9">
            <w:pPr>
              <w:keepNext/>
              <w:spacing w:before="33" w:after="30" w:line="200" w:lineRule="auto"/>
              <w:jc w:val="right"/>
            </w:pPr>
            <w:r>
              <w:rPr>
                <w:color w:val="000000"/>
                <w:sz w:val="20"/>
              </w:rPr>
              <w:t>21,222 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E968E69"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10E20A92" w14:textId="77777777" w:rsidR="00CE153D" w:rsidRDefault="00CE153D">
            <w:pPr>
              <w:keepNext/>
              <w:spacing w:before="53" w:after="30" w:line="200" w:lineRule="auto"/>
            </w:pPr>
          </w:p>
        </w:tc>
        <w:tc>
          <w:tcPr>
            <w:tcW w:w="12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4ABC2DE6" w14:textId="77777777" w:rsidR="00CE153D" w:rsidRDefault="008A7CB9">
            <w:pPr>
              <w:keepNext/>
              <w:spacing w:before="33" w:after="30" w:line="200" w:lineRule="auto"/>
              <w:jc w:val="right"/>
            </w:pPr>
            <w:r>
              <w:rPr>
                <w:color w:val="000000"/>
                <w:sz w:val="20"/>
              </w:rPr>
              <w:t>80,828 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039A680"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EB53D17" w14:textId="77777777" w:rsidR="00CE153D" w:rsidRDefault="00CE153D">
            <w:pPr>
              <w:keepNext/>
              <w:spacing w:before="53" w:after="30" w:line="200" w:lineRule="auto"/>
              <w:jc w:val="right"/>
            </w:pPr>
          </w:p>
        </w:tc>
        <w:tc>
          <w:tcPr>
            <w:tcW w:w="12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79F564DB" w14:textId="77777777" w:rsidR="00CE153D" w:rsidRDefault="008A7CB9">
            <w:pPr>
              <w:keepNext/>
              <w:spacing w:before="33" w:after="30" w:line="200" w:lineRule="auto"/>
              <w:jc w:val="right"/>
            </w:pPr>
            <w:r>
              <w:rPr>
                <w:color w:val="000000"/>
                <w:sz w:val="20"/>
              </w:rPr>
              <w:t>69,753 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62B2D07" w14:textId="77777777" w:rsidR="00CE153D" w:rsidRDefault="00CE153D">
            <w:pPr>
              <w:keepNext/>
              <w:spacing w:before="33" w:after="30" w:line="200" w:lineRule="auto"/>
            </w:pPr>
          </w:p>
        </w:tc>
      </w:tr>
      <w:tr w:rsidR="00CE153D" w14:paraId="79BD06CE"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1CC14960" w14:textId="77777777" w:rsidR="00CE153D" w:rsidRDefault="008A7CB9">
            <w:pPr>
              <w:keepNext/>
              <w:spacing w:before="53" w:after="30" w:line="200" w:lineRule="auto"/>
            </w:pPr>
            <w:r>
              <w:rPr>
                <w:color w:val="000000"/>
                <w:sz w:val="20"/>
              </w:rPr>
              <w:t>Loss from operations</w:t>
            </w:r>
          </w:p>
        </w:tc>
        <w:tc>
          <w:tcPr>
            <w:tcW w:w="1205" w:type="dxa"/>
            <w:gridSpan w:val="2"/>
            <w:tcBorders>
              <w:top w:val="single" w:sz="8" w:space="0" w:color="000000"/>
              <w:left w:val="nil"/>
              <w:bottom w:val="nil"/>
              <w:right w:val="nil"/>
            </w:tcBorders>
            <w:tcMar>
              <w:top w:w="0" w:type="dxa"/>
              <w:left w:w="53" w:type="dxa"/>
              <w:bottom w:w="0" w:type="dxa"/>
              <w:right w:w="0" w:type="dxa"/>
            </w:tcMar>
            <w:vAlign w:val="bottom"/>
          </w:tcPr>
          <w:p w14:paraId="3E28B414" w14:textId="77777777" w:rsidR="00CE153D" w:rsidRDefault="008A7CB9">
            <w:pPr>
              <w:keepNext/>
              <w:spacing w:before="33" w:after="30" w:line="200" w:lineRule="auto"/>
              <w:jc w:val="right"/>
            </w:pPr>
            <w:r>
              <w:rPr>
                <w:color w:val="000000"/>
                <w:sz w:val="20"/>
              </w:rPr>
              <w:t>(4,761)</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3A9132B1"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6F527874" w14:textId="77777777" w:rsidR="00CE153D" w:rsidRDefault="00CE153D">
            <w:pPr>
              <w:keepNext/>
              <w:spacing w:before="53" w:after="30" w:line="200" w:lineRule="auto"/>
              <w:jc w:val="right"/>
            </w:pPr>
          </w:p>
        </w:tc>
        <w:tc>
          <w:tcPr>
            <w:tcW w:w="1205" w:type="dxa"/>
            <w:gridSpan w:val="2"/>
            <w:tcBorders>
              <w:top w:val="single" w:sz="8" w:space="0" w:color="000000"/>
              <w:left w:val="nil"/>
              <w:bottom w:val="nil"/>
              <w:right w:val="nil"/>
            </w:tcBorders>
            <w:tcMar>
              <w:top w:w="0" w:type="dxa"/>
              <w:left w:w="53" w:type="dxa"/>
              <w:bottom w:w="0" w:type="dxa"/>
              <w:right w:w="0" w:type="dxa"/>
            </w:tcMar>
            <w:vAlign w:val="bottom"/>
          </w:tcPr>
          <w:p w14:paraId="49E3F745" w14:textId="77777777" w:rsidR="00CE153D" w:rsidRDefault="008A7CB9">
            <w:pPr>
              <w:keepNext/>
              <w:spacing w:before="33" w:after="30" w:line="200" w:lineRule="auto"/>
              <w:jc w:val="right"/>
            </w:pPr>
            <w:r>
              <w:rPr>
                <w:color w:val="000000"/>
                <w:sz w:val="20"/>
              </w:rPr>
              <w:t>(11,802)</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4991F918"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000DDE32" w14:textId="77777777" w:rsidR="00CE153D" w:rsidRDefault="00CE153D">
            <w:pPr>
              <w:keepNext/>
              <w:spacing w:before="53" w:after="30" w:line="200" w:lineRule="auto"/>
            </w:pPr>
          </w:p>
        </w:tc>
        <w:tc>
          <w:tcPr>
            <w:tcW w:w="1205" w:type="dxa"/>
            <w:gridSpan w:val="2"/>
            <w:tcBorders>
              <w:top w:val="single" w:sz="8" w:space="0" w:color="000000"/>
              <w:left w:val="nil"/>
              <w:bottom w:val="nil"/>
              <w:right w:val="nil"/>
            </w:tcBorders>
            <w:tcMar>
              <w:top w:w="0" w:type="dxa"/>
              <w:left w:w="53" w:type="dxa"/>
              <w:bottom w:w="0" w:type="dxa"/>
              <w:right w:w="0" w:type="dxa"/>
            </w:tcMar>
            <w:vAlign w:val="bottom"/>
          </w:tcPr>
          <w:p w14:paraId="2F11DACA" w14:textId="77777777" w:rsidR="00CE153D" w:rsidRDefault="008A7CB9">
            <w:pPr>
              <w:keepNext/>
              <w:spacing w:before="33" w:after="30" w:line="200" w:lineRule="auto"/>
              <w:jc w:val="right"/>
            </w:pPr>
            <w:r>
              <w:rPr>
                <w:color w:val="000000"/>
                <w:sz w:val="20"/>
              </w:rPr>
              <w:t>(73,256)</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5B033AD1"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5F45DB0" w14:textId="77777777" w:rsidR="00CE153D" w:rsidRDefault="00CE153D">
            <w:pPr>
              <w:keepNext/>
              <w:spacing w:before="53" w:after="30" w:line="200" w:lineRule="auto"/>
              <w:jc w:val="right"/>
            </w:pPr>
          </w:p>
        </w:tc>
        <w:tc>
          <w:tcPr>
            <w:tcW w:w="1205" w:type="dxa"/>
            <w:gridSpan w:val="2"/>
            <w:tcBorders>
              <w:top w:val="single" w:sz="8" w:space="0" w:color="000000"/>
              <w:left w:val="nil"/>
              <w:bottom w:val="nil"/>
              <w:right w:val="nil"/>
            </w:tcBorders>
            <w:tcMar>
              <w:top w:w="0" w:type="dxa"/>
              <w:left w:w="53" w:type="dxa"/>
              <w:bottom w:w="0" w:type="dxa"/>
              <w:right w:w="0" w:type="dxa"/>
            </w:tcMar>
            <w:vAlign w:val="bottom"/>
          </w:tcPr>
          <w:p w14:paraId="2ABAE2C9" w14:textId="77777777" w:rsidR="00CE153D" w:rsidRDefault="008A7CB9">
            <w:pPr>
              <w:keepNext/>
              <w:spacing w:before="33" w:after="30" w:line="200" w:lineRule="auto"/>
              <w:jc w:val="right"/>
            </w:pPr>
            <w:r>
              <w:rPr>
                <w:color w:val="000000"/>
                <w:sz w:val="20"/>
              </w:rPr>
              <w:t>(45,185)</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5E9AF52F" w14:textId="77777777" w:rsidR="00CE153D" w:rsidRDefault="00CE153D">
            <w:pPr>
              <w:keepNext/>
              <w:spacing w:before="33" w:after="30" w:line="200" w:lineRule="auto"/>
            </w:pPr>
          </w:p>
        </w:tc>
      </w:tr>
      <w:tr w:rsidR="00CE153D" w14:paraId="01FF79F9"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63BAFAE7" w14:textId="77777777" w:rsidR="00CE153D" w:rsidRDefault="00CE153D">
            <w:pPr>
              <w:keepNext/>
              <w:spacing w:before="53" w:after="30" w:line="200" w:lineRule="auto"/>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173869AE"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A3AF20E"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7264E59D"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3C9B2C5" w14:textId="77777777" w:rsidR="00CE153D" w:rsidRDefault="00CE153D">
            <w:pPr>
              <w:keepNext/>
              <w:spacing w:before="53" w:after="30" w:line="200" w:lineRule="auto"/>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0BDBF76D"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10AFCB7F"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431E71C5" w14:textId="77777777" w:rsidR="00CE153D" w:rsidRDefault="00CE153D">
            <w:pPr>
              <w:keepNext/>
              <w:spacing w:before="53" w:after="30" w:line="200" w:lineRule="auto"/>
              <w:jc w:val="right"/>
            </w:pPr>
          </w:p>
        </w:tc>
      </w:tr>
      <w:tr w:rsidR="00CE153D" w14:paraId="6996DC4B"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40F6EC0C" w14:textId="77777777" w:rsidR="00CE153D" w:rsidRDefault="008A7CB9">
            <w:pPr>
              <w:keepNext/>
              <w:spacing w:before="53" w:after="30" w:line="200" w:lineRule="auto"/>
            </w:pPr>
            <w:r>
              <w:rPr>
                <w:color w:val="000000"/>
                <w:sz w:val="20"/>
              </w:rPr>
              <w:t>Other income (expense):</w:t>
            </w:r>
          </w:p>
        </w:tc>
        <w:tc>
          <w:tcPr>
            <w:tcW w:w="1305" w:type="dxa"/>
            <w:gridSpan w:val="3"/>
            <w:tcBorders>
              <w:top w:val="nil"/>
              <w:left w:val="nil"/>
              <w:bottom w:val="nil"/>
              <w:right w:val="nil"/>
            </w:tcBorders>
            <w:tcMar>
              <w:top w:w="0" w:type="dxa"/>
              <w:left w:w="53" w:type="dxa"/>
              <w:bottom w:w="0" w:type="dxa"/>
              <w:right w:w="53" w:type="dxa"/>
            </w:tcMar>
            <w:vAlign w:val="bottom"/>
          </w:tcPr>
          <w:p w14:paraId="5BCA50BE"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7B886555" w14:textId="77777777" w:rsidR="00CE153D" w:rsidRDefault="00CE153D">
            <w:pPr>
              <w:keepNext/>
              <w:spacing w:before="53" w:after="30" w:line="200" w:lineRule="auto"/>
              <w:jc w:val="right"/>
            </w:pPr>
          </w:p>
        </w:tc>
        <w:tc>
          <w:tcPr>
            <w:tcW w:w="1305" w:type="dxa"/>
            <w:gridSpan w:val="3"/>
            <w:tcBorders>
              <w:top w:val="nil"/>
              <w:left w:val="nil"/>
              <w:bottom w:val="nil"/>
              <w:right w:val="nil"/>
            </w:tcBorders>
            <w:tcMar>
              <w:top w:w="0" w:type="dxa"/>
              <w:left w:w="53" w:type="dxa"/>
              <w:bottom w:w="0" w:type="dxa"/>
              <w:right w:w="53" w:type="dxa"/>
            </w:tcMar>
            <w:vAlign w:val="bottom"/>
          </w:tcPr>
          <w:p w14:paraId="3AA465B1"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4FDDFBDC" w14:textId="77777777" w:rsidR="00CE153D" w:rsidRDefault="00CE153D">
            <w:pPr>
              <w:keepNext/>
              <w:spacing w:before="53" w:after="30" w:line="200" w:lineRule="auto"/>
            </w:pPr>
          </w:p>
        </w:tc>
        <w:tc>
          <w:tcPr>
            <w:tcW w:w="1305" w:type="dxa"/>
            <w:gridSpan w:val="3"/>
            <w:tcBorders>
              <w:top w:val="nil"/>
              <w:left w:val="nil"/>
              <w:bottom w:val="nil"/>
              <w:right w:val="nil"/>
            </w:tcBorders>
            <w:tcMar>
              <w:top w:w="0" w:type="dxa"/>
              <w:left w:w="53" w:type="dxa"/>
              <w:bottom w:w="0" w:type="dxa"/>
              <w:right w:w="53" w:type="dxa"/>
            </w:tcMar>
            <w:vAlign w:val="bottom"/>
          </w:tcPr>
          <w:p w14:paraId="1214087B"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25961D31" w14:textId="77777777" w:rsidR="00CE153D" w:rsidRDefault="00CE153D">
            <w:pPr>
              <w:keepNext/>
              <w:spacing w:before="53" w:after="30" w:line="200" w:lineRule="auto"/>
              <w:jc w:val="right"/>
            </w:pPr>
          </w:p>
        </w:tc>
        <w:tc>
          <w:tcPr>
            <w:tcW w:w="1305" w:type="dxa"/>
            <w:gridSpan w:val="3"/>
            <w:tcBorders>
              <w:top w:val="nil"/>
              <w:left w:val="nil"/>
              <w:bottom w:val="nil"/>
              <w:right w:val="nil"/>
            </w:tcBorders>
            <w:tcMar>
              <w:top w:w="0" w:type="dxa"/>
              <w:left w:w="53" w:type="dxa"/>
              <w:bottom w:w="0" w:type="dxa"/>
              <w:right w:w="53" w:type="dxa"/>
            </w:tcMar>
            <w:vAlign w:val="bottom"/>
          </w:tcPr>
          <w:p w14:paraId="0AEAB7B9" w14:textId="77777777" w:rsidR="00CE153D" w:rsidRDefault="00CE153D">
            <w:pPr>
              <w:keepNext/>
              <w:spacing w:before="53" w:after="30" w:line="200" w:lineRule="auto"/>
              <w:jc w:val="right"/>
            </w:pPr>
          </w:p>
        </w:tc>
      </w:tr>
      <w:tr w:rsidR="00CE153D" w14:paraId="69E58CC9"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5B8E09E7" w14:textId="77777777" w:rsidR="00CE153D" w:rsidRDefault="008A7CB9">
            <w:pPr>
              <w:keepNext/>
              <w:spacing w:before="53" w:after="30" w:line="200" w:lineRule="auto"/>
              <w:ind w:left="120"/>
            </w:pPr>
            <w:r>
              <w:rPr>
                <w:color w:val="000000"/>
                <w:sz w:val="20"/>
              </w:rPr>
              <w:t>Change in fair value of warrant liability</w:t>
            </w: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731EC8E5" w14:textId="77777777" w:rsidR="00CE153D" w:rsidRDefault="008A7CB9">
            <w:pPr>
              <w:keepNext/>
              <w:spacing w:before="53" w:after="30" w:line="200" w:lineRule="auto"/>
              <w:jc w:val="right"/>
            </w:pPr>
            <w:r>
              <w:rPr>
                <w:color w:val="000000"/>
                <w:sz w:val="20"/>
              </w:rPr>
              <w:t>1,644 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0DDB32"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19EFD7B"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5B6F3C50" w14:textId="77777777" w:rsidR="00CE153D" w:rsidRDefault="008A7CB9">
            <w:pPr>
              <w:keepNext/>
              <w:spacing w:before="53" w:after="30" w:line="200" w:lineRule="auto"/>
              <w:jc w:val="right"/>
            </w:pPr>
            <w:r>
              <w:rPr>
                <w:color w:val="000000"/>
                <w:sz w:val="20"/>
              </w:rPr>
              <w:t>1,985 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69A0BA"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047ED57" w14:textId="77777777" w:rsidR="00CE153D" w:rsidRDefault="00CE153D">
            <w:pPr>
              <w:keepNext/>
              <w:spacing w:before="53" w:after="30" w:line="200" w:lineRule="auto"/>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7269006A" w14:textId="77777777" w:rsidR="00CE153D" w:rsidRDefault="008A7CB9">
            <w:pPr>
              <w:keepNext/>
              <w:spacing w:before="53" w:after="30" w:line="200" w:lineRule="auto"/>
              <w:jc w:val="right"/>
            </w:pPr>
            <w:r>
              <w:rPr>
                <w:color w:val="000000"/>
                <w:sz w:val="20"/>
              </w:rPr>
              <w:t>5,079 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141CC3B"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1444D8AA"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3038B472" w14:textId="77777777" w:rsidR="00CE153D" w:rsidRDefault="008A7CB9">
            <w:pPr>
              <w:keepNext/>
              <w:spacing w:before="53" w:after="30" w:line="200" w:lineRule="auto"/>
              <w:jc w:val="right"/>
            </w:pPr>
            <w:r>
              <w:rPr>
                <w:color w:val="000000"/>
                <w:sz w:val="20"/>
              </w:rPr>
              <w:t>9,294 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A6F4638" w14:textId="77777777" w:rsidR="00CE153D" w:rsidRDefault="00CE153D">
            <w:pPr>
              <w:keepNext/>
              <w:spacing w:before="53" w:after="30" w:line="200" w:lineRule="auto"/>
            </w:pPr>
          </w:p>
        </w:tc>
      </w:tr>
      <w:tr w:rsidR="00CE153D" w14:paraId="2A95EB4F"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2656EEEF" w14:textId="77777777" w:rsidR="00CE153D" w:rsidRDefault="008A7CB9">
            <w:pPr>
              <w:keepNext/>
              <w:spacing w:before="53" w:after="30" w:line="200" w:lineRule="auto"/>
              <w:ind w:left="120"/>
            </w:pPr>
            <w:r>
              <w:rPr>
                <w:color w:val="000000"/>
                <w:sz w:val="20"/>
              </w:rPr>
              <w:t>Change in fair value of equity investment</w:t>
            </w:r>
          </w:p>
        </w:tc>
        <w:tc>
          <w:tcPr>
            <w:tcW w:w="1205" w:type="dxa"/>
            <w:gridSpan w:val="2"/>
            <w:tcBorders>
              <w:top w:val="nil"/>
              <w:left w:val="nil"/>
              <w:bottom w:val="nil"/>
              <w:right w:val="nil"/>
            </w:tcBorders>
            <w:tcMar>
              <w:top w:w="0" w:type="dxa"/>
              <w:left w:w="53" w:type="dxa"/>
              <w:bottom w:w="0" w:type="dxa"/>
              <w:right w:w="0" w:type="dxa"/>
            </w:tcMar>
            <w:vAlign w:val="bottom"/>
          </w:tcPr>
          <w:p w14:paraId="70192096" w14:textId="6330C136" w:rsidR="00CE153D" w:rsidRDefault="008A7CB9">
            <w:pPr>
              <w:keepNext/>
              <w:spacing w:before="53" w:after="30" w:line="200" w:lineRule="auto"/>
              <w:jc w:val="right"/>
            </w:pPr>
            <w:r>
              <w:rPr>
                <w:color w:val="000000"/>
                <w:sz w:val="20"/>
              </w:rPr>
              <w:t>(</w:t>
            </w:r>
            <w:r w:rsidR="00D70168">
              <w:rPr>
                <w:color w:val="000000"/>
                <w:sz w:val="20"/>
              </w:rPr>
              <w:t>687</w:t>
            </w:r>
            <w:r>
              <w:rPr>
                <w:color w:val="000000"/>
                <w:sz w:val="20"/>
              </w:rPr>
              <w:t>)</w:t>
            </w:r>
          </w:p>
        </w:tc>
        <w:tc>
          <w:tcPr>
            <w:tcW w:w="100" w:type="dxa"/>
            <w:tcBorders>
              <w:top w:val="nil"/>
              <w:left w:val="nil"/>
              <w:bottom w:val="nil"/>
              <w:right w:val="nil"/>
            </w:tcBorders>
            <w:tcMar>
              <w:top w:w="0" w:type="dxa"/>
              <w:left w:w="0" w:type="dxa"/>
              <w:bottom w:w="0" w:type="dxa"/>
              <w:right w:w="15" w:type="dxa"/>
            </w:tcMar>
            <w:vAlign w:val="bottom"/>
          </w:tcPr>
          <w:p w14:paraId="0F040B90"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93C4A89"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09043E98" w14:textId="77777777" w:rsidR="00CE153D" w:rsidRDefault="008A7CB9">
            <w:pPr>
              <w:keepNext/>
              <w:spacing w:before="53" w:after="30" w:line="200" w:lineRule="auto"/>
              <w:jc w:val="right"/>
            </w:pPr>
            <w:r>
              <w:rPr>
                <w:color w:val="000000"/>
                <w:sz w:val="20"/>
              </w:rPr>
              <w:t>(268)</w:t>
            </w:r>
          </w:p>
        </w:tc>
        <w:tc>
          <w:tcPr>
            <w:tcW w:w="100" w:type="dxa"/>
            <w:tcBorders>
              <w:top w:val="nil"/>
              <w:left w:val="nil"/>
              <w:bottom w:val="nil"/>
              <w:right w:val="nil"/>
            </w:tcBorders>
            <w:tcMar>
              <w:top w:w="0" w:type="dxa"/>
              <w:left w:w="0" w:type="dxa"/>
              <w:bottom w:w="0" w:type="dxa"/>
              <w:right w:w="15" w:type="dxa"/>
            </w:tcMar>
            <w:vAlign w:val="bottom"/>
          </w:tcPr>
          <w:p w14:paraId="02E1F203"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310E17AF" w14:textId="77777777" w:rsidR="00CE153D" w:rsidRDefault="00CE153D">
            <w:pPr>
              <w:keepNext/>
              <w:spacing w:before="53" w:after="30" w:line="200" w:lineRule="auto"/>
            </w:pPr>
          </w:p>
        </w:tc>
        <w:tc>
          <w:tcPr>
            <w:tcW w:w="1205" w:type="dxa"/>
            <w:gridSpan w:val="2"/>
            <w:tcBorders>
              <w:top w:val="nil"/>
              <w:left w:val="nil"/>
              <w:bottom w:val="nil"/>
              <w:right w:val="nil"/>
            </w:tcBorders>
            <w:tcMar>
              <w:top w:w="0" w:type="dxa"/>
              <w:left w:w="53" w:type="dxa"/>
              <w:bottom w:w="0" w:type="dxa"/>
              <w:right w:w="0" w:type="dxa"/>
            </w:tcMar>
            <w:vAlign w:val="bottom"/>
          </w:tcPr>
          <w:p w14:paraId="04AF7011" w14:textId="77777777" w:rsidR="00CE153D" w:rsidRDefault="008A7CB9">
            <w:pPr>
              <w:keepNext/>
              <w:spacing w:before="53" w:after="30" w:line="200" w:lineRule="auto"/>
              <w:jc w:val="right"/>
            </w:pPr>
            <w:r>
              <w:rPr>
                <w:color w:val="000000"/>
                <w:sz w:val="20"/>
              </w:rPr>
              <w:t>(2,018)</w:t>
            </w:r>
          </w:p>
        </w:tc>
        <w:tc>
          <w:tcPr>
            <w:tcW w:w="100" w:type="dxa"/>
            <w:tcBorders>
              <w:top w:val="nil"/>
              <w:left w:val="nil"/>
              <w:bottom w:val="nil"/>
              <w:right w:val="nil"/>
            </w:tcBorders>
            <w:tcMar>
              <w:top w:w="0" w:type="dxa"/>
              <w:left w:w="0" w:type="dxa"/>
              <w:bottom w:w="0" w:type="dxa"/>
              <w:right w:w="15" w:type="dxa"/>
            </w:tcMar>
            <w:vAlign w:val="bottom"/>
          </w:tcPr>
          <w:p w14:paraId="596AFE56"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78AC11FD"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7C3B1490" w14:textId="77777777" w:rsidR="00CE153D" w:rsidRDefault="008A7CB9">
            <w:pPr>
              <w:keepNext/>
              <w:spacing w:before="53" w:after="30" w:line="200" w:lineRule="auto"/>
              <w:jc w:val="right"/>
            </w:pPr>
            <w:r>
              <w:rPr>
                <w:color w:val="000000"/>
                <w:sz w:val="20"/>
              </w:rPr>
              <w:t>(931)</w:t>
            </w:r>
          </w:p>
        </w:tc>
        <w:tc>
          <w:tcPr>
            <w:tcW w:w="100" w:type="dxa"/>
            <w:tcBorders>
              <w:top w:val="nil"/>
              <w:left w:val="nil"/>
              <w:bottom w:val="nil"/>
              <w:right w:val="nil"/>
            </w:tcBorders>
            <w:tcMar>
              <w:top w:w="0" w:type="dxa"/>
              <w:left w:w="0" w:type="dxa"/>
              <w:bottom w:w="0" w:type="dxa"/>
              <w:right w:w="15" w:type="dxa"/>
            </w:tcMar>
            <w:vAlign w:val="bottom"/>
          </w:tcPr>
          <w:p w14:paraId="0190C9AF" w14:textId="77777777" w:rsidR="00CE153D" w:rsidRDefault="00CE153D">
            <w:pPr>
              <w:keepNext/>
              <w:spacing w:before="53" w:after="30" w:line="200" w:lineRule="auto"/>
            </w:pPr>
          </w:p>
        </w:tc>
      </w:tr>
      <w:tr w:rsidR="00CE153D" w14:paraId="66CC4B43"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5470FA09" w14:textId="77777777" w:rsidR="00CE153D" w:rsidRDefault="008A7CB9">
            <w:pPr>
              <w:keepNext/>
              <w:spacing w:before="53" w:after="30" w:line="200" w:lineRule="auto"/>
              <w:ind w:left="120"/>
            </w:pPr>
            <w:r>
              <w:rPr>
                <w:color w:val="000000"/>
                <w:sz w:val="20"/>
              </w:rPr>
              <w:t>Interest expense</w:t>
            </w: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0D35036D" w14:textId="77777777" w:rsidR="00CE153D" w:rsidRDefault="008A7CB9">
            <w:pPr>
              <w:keepNext/>
              <w:spacing w:before="53" w:after="30" w:line="200" w:lineRule="auto"/>
              <w:jc w:val="right"/>
            </w:pPr>
            <w:r>
              <w:rPr>
                <w:color w:val="000000"/>
                <w:sz w:val="20"/>
              </w:rPr>
              <w:t>(1,482)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5D127CA"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3F05D42"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37365D88" w14:textId="77777777" w:rsidR="00CE153D" w:rsidRDefault="008A7CB9">
            <w:pPr>
              <w:keepNext/>
              <w:spacing w:before="53" w:after="30" w:line="200" w:lineRule="auto"/>
              <w:jc w:val="right"/>
            </w:pPr>
            <w:r>
              <w:rPr>
                <w:color w:val="000000"/>
                <w:sz w:val="20"/>
              </w:rPr>
              <w:t>(1,071)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BAEF8DB"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28DCA37" w14:textId="77777777" w:rsidR="00CE153D" w:rsidRDefault="00CE153D">
            <w:pPr>
              <w:keepNext/>
              <w:spacing w:before="53" w:after="30" w:line="200" w:lineRule="auto"/>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549385F5" w14:textId="77777777" w:rsidR="00CE153D" w:rsidRDefault="008A7CB9">
            <w:pPr>
              <w:keepNext/>
              <w:spacing w:before="53" w:after="30" w:line="200" w:lineRule="auto"/>
              <w:jc w:val="right"/>
            </w:pPr>
            <w:r>
              <w:rPr>
                <w:color w:val="000000"/>
                <w:sz w:val="20"/>
              </w:rPr>
              <w:t>(6,076)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A86EA03"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4CC3F0B" w14:textId="77777777" w:rsidR="00CE153D" w:rsidRDefault="00CE153D">
            <w:pPr>
              <w:keepNext/>
              <w:spacing w:before="53" w:after="30" w:line="200" w:lineRule="auto"/>
              <w:jc w:val="right"/>
            </w:pPr>
          </w:p>
        </w:tc>
        <w:tc>
          <w:tcPr>
            <w:tcW w:w="1205" w:type="dxa"/>
            <w:gridSpan w:val="2"/>
            <w:tcBorders>
              <w:top w:val="nil"/>
              <w:left w:val="nil"/>
              <w:bottom w:val="nil"/>
              <w:right w:val="nil"/>
            </w:tcBorders>
            <w:shd w:val="clear" w:color="auto" w:fill="CCEEFF"/>
            <w:tcMar>
              <w:top w:w="0" w:type="dxa"/>
              <w:left w:w="53" w:type="dxa"/>
              <w:bottom w:w="0" w:type="dxa"/>
              <w:right w:w="0" w:type="dxa"/>
            </w:tcMar>
            <w:vAlign w:val="bottom"/>
          </w:tcPr>
          <w:p w14:paraId="0A9B6D8E" w14:textId="77777777" w:rsidR="00CE153D" w:rsidRDefault="008A7CB9">
            <w:pPr>
              <w:keepNext/>
              <w:spacing w:before="53" w:after="30" w:line="200" w:lineRule="auto"/>
              <w:jc w:val="right"/>
            </w:pPr>
            <w:r>
              <w:rPr>
                <w:color w:val="000000"/>
                <w:sz w:val="20"/>
              </w:rPr>
              <w:t>(2,523)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7C68AED" w14:textId="77777777" w:rsidR="00CE153D" w:rsidRDefault="00CE153D">
            <w:pPr>
              <w:keepNext/>
              <w:spacing w:before="53" w:after="30" w:line="200" w:lineRule="auto"/>
            </w:pPr>
          </w:p>
        </w:tc>
      </w:tr>
      <w:tr w:rsidR="00CE153D" w14:paraId="7CE242FE"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467026C6" w14:textId="77777777" w:rsidR="00CE153D" w:rsidRDefault="008A7CB9">
            <w:pPr>
              <w:keepNext/>
              <w:spacing w:before="53" w:after="30" w:line="200" w:lineRule="auto"/>
              <w:ind w:left="120"/>
            </w:pPr>
            <w:r>
              <w:rPr>
                <w:color w:val="000000"/>
                <w:sz w:val="20"/>
              </w:rPr>
              <w:t>Loss on extinguishment of debt</w:t>
            </w:r>
          </w:p>
        </w:tc>
        <w:tc>
          <w:tcPr>
            <w:tcW w:w="1205" w:type="dxa"/>
            <w:gridSpan w:val="2"/>
            <w:tcBorders>
              <w:top w:val="nil"/>
              <w:left w:val="nil"/>
              <w:bottom w:val="nil"/>
              <w:right w:val="nil"/>
            </w:tcBorders>
            <w:tcMar>
              <w:top w:w="0" w:type="dxa"/>
              <w:left w:w="53" w:type="dxa"/>
              <w:bottom w:w="0" w:type="dxa"/>
              <w:right w:w="0" w:type="dxa"/>
            </w:tcMar>
            <w:vAlign w:val="bottom"/>
          </w:tcPr>
          <w:p w14:paraId="578C672D" w14:textId="77777777" w:rsidR="00CE153D" w:rsidRDefault="008A7CB9">
            <w:pPr>
              <w:keepNext/>
              <w:spacing w:before="53" w:after="30" w:line="200" w:lineRule="auto"/>
              <w:jc w:val="right"/>
            </w:pPr>
            <w:r>
              <w:rPr>
                <w:color w:val="000000"/>
                <w:sz w:val="20"/>
              </w:rPr>
              <w:t>(1,651)</w:t>
            </w:r>
          </w:p>
        </w:tc>
        <w:tc>
          <w:tcPr>
            <w:tcW w:w="100" w:type="dxa"/>
            <w:tcBorders>
              <w:top w:val="nil"/>
              <w:left w:val="nil"/>
              <w:bottom w:val="nil"/>
              <w:right w:val="nil"/>
            </w:tcBorders>
            <w:tcMar>
              <w:top w:w="0" w:type="dxa"/>
              <w:left w:w="0" w:type="dxa"/>
              <w:bottom w:w="0" w:type="dxa"/>
              <w:right w:w="15" w:type="dxa"/>
            </w:tcMar>
            <w:vAlign w:val="bottom"/>
          </w:tcPr>
          <w:p w14:paraId="405EFCBE"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1712E53C"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4AF0EAF7"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1772DA1A"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C25DF27" w14:textId="77777777" w:rsidR="00CE153D" w:rsidRDefault="00CE153D">
            <w:pPr>
              <w:keepNext/>
              <w:spacing w:before="53" w:after="30" w:line="200" w:lineRule="auto"/>
            </w:pPr>
          </w:p>
        </w:tc>
        <w:tc>
          <w:tcPr>
            <w:tcW w:w="1205" w:type="dxa"/>
            <w:gridSpan w:val="2"/>
            <w:tcBorders>
              <w:top w:val="nil"/>
              <w:left w:val="nil"/>
              <w:bottom w:val="nil"/>
              <w:right w:val="nil"/>
            </w:tcBorders>
            <w:tcMar>
              <w:top w:w="0" w:type="dxa"/>
              <w:left w:w="53" w:type="dxa"/>
              <w:bottom w:w="0" w:type="dxa"/>
              <w:right w:w="0" w:type="dxa"/>
            </w:tcMar>
            <w:vAlign w:val="bottom"/>
          </w:tcPr>
          <w:p w14:paraId="43EEAE7D" w14:textId="77777777" w:rsidR="00CE153D" w:rsidRDefault="008A7CB9">
            <w:pPr>
              <w:keepNext/>
              <w:spacing w:before="53" w:after="30" w:line="200" w:lineRule="auto"/>
              <w:jc w:val="right"/>
            </w:pPr>
            <w:r>
              <w:rPr>
                <w:color w:val="000000"/>
                <w:sz w:val="20"/>
              </w:rPr>
              <w:t>(1,651)</w:t>
            </w:r>
          </w:p>
        </w:tc>
        <w:tc>
          <w:tcPr>
            <w:tcW w:w="100" w:type="dxa"/>
            <w:tcBorders>
              <w:top w:val="nil"/>
              <w:left w:val="nil"/>
              <w:bottom w:val="nil"/>
              <w:right w:val="nil"/>
            </w:tcBorders>
            <w:tcMar>
              <w:top w:w="0" w:type="dxa"/>
              <w:left w:w="0" w:type="dxa"/>
              <w:bottom w:w="0" w:type="dxa"/>
              <w:right w:w="15" w:type="dxa"/>
            </w:tcMar>
            <w:vAlign w:val="bottom"/>
          </w:tcPr>
          <w:p w14:paraId="36A8CAA7"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047328F6" w14:textId="77777777" w:rsidR="00CE153D" w:rsidRDefault="00CE153D">
            <w:pPr>
              <w:keepNext/>
              <w:spacing w:before="53" w:after="30" w:line="200" w:lineRule="auto"/>
              <w:jc w:val="right"/>
            </w:pPr>
          </w:p>
        </w:tc>
        <w:tc>
          <w:tcPr>
            <w:tcW w:w="1205" w:type="dxa"/>
            <w:gridSpan w:val="2"/>
            <w:tcBorders>
              <w:top w:val="nil"/>
              <w:left w:val="nil"/>
              <w:bottom w:val="nil"/>
              <w:right w:val="nil"/>
            </w:tcBorders>
            <w:tcMar>
              <w:top w:w="0" w:type="dxa"/>
              <w:left w:w="53" w:type="dxa"/>
              <w:bottom w:w="0" w:type="dxa"/>
              <w:right w:w="0" w:type="dxa"/>
            </w:tcMar>
            <w:vAlign w:val="bottom"/>
          </w:tcPr>
          <w:p w14:paraId="50F712FF"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31A0B23B" w14:textId="77777777" w:rsidR="00CE153D" w:rsidRDefault="00CE153D">
            <w:pPr>
              <w:keepNext/>
              <w:spacing w:before="53" w:after="30" w:line="200" w:lineRule="auto"/>
            </w:pPr>
          </w:p>
        </w:tc>
      </w:tr>
      <w:tr w:rsidR="00CE153D" w14:paraId="1592DBAC"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0F310802" w14:textId="77777777" w:rsidR="00CE153D" w:rsidRDefault="008A7CB9">
            <w:pPr>
              <w:keepNext/>
              <w:spacing w:before="53" w:after="30" w:line="200" w:lineRule="auto"/>
              <w:ind w:left="120"/>
            </w:pPr>
            <w:r>
              <w:rPr>
                <w:color w:val="000000"/>
                <w:sz w:val="20"/>
              </w:rPr>
              <w:t>Other income (expense), net</w:t>
            </w:r>
          </w:p>
        </w:tc>
        <w:tc>
          <w:tcPr>
            <w:tcW w:w="12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70CE068" w14:textId="607115F3" w:rsidR="00CE153D" w:rsidRDefault="008A7CB9">
            <w:pPr>
              <w:keepNext/>
              <w:spacing w:before="53" w:after="30" w:line="200" w:lineRule="auto"/>
              <w:jc w:val="right"/>
            </w:pPr>
            <w:r>
              <w:rPr>
                <w:color w:val="000000"/>
                <w:sz w:val="20"/>
              </w:rPr>
              <w:t>(</w:t>
            </w:r>
            <w:r w:rsidR="00D70168">
              <w:rPr>
                <w:color w:val="000000"/>
                <w:sz w:val="20"/>
              </w:rPr>
              <w:t>380</w:t>
            </w:r>
            <w:r>
              <w:rPr>
                <w:color w:val="000000"/>
                <w:sz w:val="20"/>
              </w:rPr>
              <w:t>)</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09F202"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3C963D13"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6AB1CF9A" w14:textId="77777777" w:rsidR="00CE153D" w:rsidRDefault="008A7CB9">
            <w:pPr>
              <w:keepNext/>
              <w:spacing w:before="53" w:after="30" w:line="200" w:lineRule="auto"/>
              <w:jc w:val="right"/>
            </w:pPr>
            <w:r>
              <w:rPr>
                <w:color w:val="000000"/>
                <w:sz w:val="20"/>
              </w:rPr>
              <w:t>(274)</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2762EA5"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AE858C4" w14:textId="77777777" w:rsidR="00CE153D" w:rsidRDefault="00CE153D">
            <w:pPr>
              <w:keepNext/>
              <w:spacing w:before="53" w:after="30" w:line="200" w:lineRule="auto"/>
            </w:pPr>
          </w:p>
        </w:tc>
        <w:tc>
          <w:tcPr>
            <w:tcW w:w="12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EA23576" w14:textId="77777777" w:rsidR="00CE153D" w:rsidRDefault="008A7CB9">
            <w:pPr>
              <w:keepNext/>
              <w:spacing w:before="53" w:after="30" w:line="200" w:lineRule="auto"/>
              <w:jc w:val="right"/>
            </w:pPr>
            <w:r>
              <w:rPr>
                <w:color w:val="000000"/>
                <w:sz w:val="20"/>
              </w:rPr>
              <w:t>237 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FE9DD0A"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9D19510"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485044C7" w14:textId="77777777" w:rsidR="00CE153D" w:rsidRDefault="008A7CB9">
            <w:pPr>
              <w:keepNext/>
              <w:spacing w:before="53" w:after="30" w:line="200" w:lineRule="auto"/>
              <w:jc w:val="right"/>
            </w:pPr>
            <w:r>
              <w:rPr>
                <w:color w:val="000000"/>
                <w:sz w:val="20"/>
              </w:rPr>
              <w:t>(164)</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6B6873" w14:textId="77777777" w:rsidR="00CE153D" w:rsidRDefault="00CE153D">
            <w:pPr>
              <w:keepNext/>
              <w:spacing w:before="53" w:after="30" w:line="200" w:lineRule="auto"/>
            </w:pPr>
          </w:p>
        </w:tc>
      </w:tr>
      <w:tr w:rsidR="00CE153D" w14:paraId="240CC3F8"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3E020B6F" w14:textId="77777777" w:rsidR="00CE153D" w:rsidRDefault="008A7CB9">
            <w:pPr>
              <w:keepNext/>
              <w:spacing w:before="53" w:after="30" w:line="200" w:lineRule="auto"/>
            </w:pPr>
            <w:r>
              <w:rPr>
                <w:color w:val="000000"/>
                <w:sz w:val="20"/>
              </w:rPr>
              <w:t>Total other income (expense)</w:t>
            </w:r>
          </w:p>
        </w:tc>
        <w:tc>
          <w:tcPr>
            <w:tcW w:w="12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6F7D72C5" w14:textId="77777777" w:rsidR="00CE153D" w:rsidRDefault="008A7CB9">
            <w:pPr>
              <w:keepNext/>
              <w:spacing w:before="33" w:after="30" w:line="200" w:lineRule="auto"/>
              <w:jc w:val="right"/>
            </w:pPr>
            <w:r>
              <w:rPr>
                <w:color w:val="000000"/>
                <w:sz w:val="20"/>
              </w:rPr>
              <w:t>(2,556)</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3AA8DA6A"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7ACFEF3E" w14:textId="77777777" w:rsidR="00CE153D" w:rsidRDefault="00CE153D">
            <w:pPr>
              <w:keepNext/>
              <w:spacing w:before="53" w:after="30" w:line="200" w:lineRule="auto"/>
              <w:jc w:val="right"/>
            </w:pPr>
          </w:p>
        </w:tc>
        <w:tc>
          <w:tcPr>
            <w:tcW w:w="12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161A1C74" w14:textId="77777777" w:rsidR="00CE153D" w:rsidRDefault="008A7CB9">
            <w:pPr>
              <w:keepNext/>
              <w:spacing w:before="33" w:after="30" w:line="200" w:lineRule="auto"/>
              <w:jc w:val="right"/>
            </w:pPr>
            <w:r>
              <w:rPr>
                <w:color w:val="000000"/>
                <w:sz w:val="20"/>
              </w:rPr>
              <w:t>372 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02C25C98"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7566ED83" w14:textId="77777777" w:rsidR="00CE153D" w:rsidRDefault="00CE153D">
            <w:pPr>
              <w:keepNext/>
              <w:spacing w:before="53" w:after="30" w:line="200" w:lineRule="auto"/>
            </w:pPr>
          </w:p>
        </w:tc>
        <w:tc>
          <w:tcPr>
            <w:tcW w:w="12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08B2A093" w14:textId="77777777" w:rsidR="00CE153D" w:rsidRDefault="008A7CB9">
            <w:pPr>
              <w:keepNext/>
              <w:spacing w:before="33" w:after="30" w:line="200" w:lineRule="auto"/>
              <w:jc w:val="right"/>
            </w:pPr>
            <w:r>
              <w:rPr>
                <w:color w:val="000000"/>
                <w:sz w:val="20"/>
              </w:rPr>
              <w:t>(4,429)</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47C6D3AF"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31B3C7D4" w14:textId="77777777" w:rsidR="00CE153D" w:rsidRDefault="00CE153D">
            <w:pPr>
              <w:keepNext/>
              <w:spacing w:before="53" w:after="30" w:line="200" w:lineRule="auto"/>
              <w:jc w:val="right"/>
            </w:pPr>
          </w:p>
        </w:tc>
        <w:tc>
          <w:tcPr>
            <w:tcW w:w="12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5905CF07" w14:textId="77777777" w:rsidR="00CE153D" w:rsidRDefault="008A7CB9">
            <w:pPr>
              <w:keepNext/>
              <w:spacing w:before="33" w:after="30" w:line="200" w:lineRule="auto"/>
              <w:jc w:val="right"/>
            </w:pPr>
            <w:r>
              <w:rPr>
                <w:color w:val="000000"/>
                <w:sz w:val="20"/>
              </w:rPr>
              <w:t>5,676 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4EE43687" w14:textId="77777777" w:rsidR="00CE153D" w:rsidRDefault="00CE153D">
            <w:pPr>
              <w:keepNext/>
              <w:spacing w:before="33" w:after="30" w:line="200" w:lineRule="auto"/>
            </w:pPr>
          </w:p>
        </w:tc>
      </w:tr>
      <w:tr w:rsidR="00CE153D" w14:paraId="350EDD33"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18C6BC4A" w14:textId="77777777" w:rsidR="00CE153D" w:rsidRDefault="008A7CB9">
            <w:pPr>
              <w:keepNext/>
              <w:spacing w:before="53" w:after="30" w:line="200" w:lineRule="auto"/>
            </w:pPr>
            <w:r>
              <w:rPr>
                <w:color w:val="000000"/>
                <w:sz w:val="20"/>
              </w:rPr>
              <w:t>Loss before income taxes</w:t>
            </w: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B322965" w14:textId="77777777" w:rsidR="00CE153D" w:rsidRDefault="008A7CB9">
            <w:pPr>
              <w:keepNext/>
              <w:spacing w:before="33" w:after="30" w:line="200" w:lineRule="auto"/>
              <w:jc w:val="right"/>
            </w:pPr>
            <w:r>
              <w:rPr>
                <w:color w:val="000000"/>
                <w:sz w:val="20"/>
              </w:rPr>
              <w:t>(7,317)</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E6AB83E"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F2B1757" w14:textId="77777777" w:rsidR="00CE153D" w:rsidRDefault="00CE153D">
            <w:pPr>
              <w:keepNext/>
              <w:spacing w:before="53" w:after="30" w:line="200" w:lineRule="auto"/>
              <w:jc w:val="right"/>
            </w:pP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032B1EFB" w14:textId="77777777" w:rsidR="00CE153D" w:rsidRDefault="008A7CB9">
            <w:pPr>
              <w:keepNext/>
              <w:spacing w:before="33" w:after="30" w:line="200" w:lineRule="auto"/>
              <w:jc w:val="right"/>
            </w:pPr>
            <w:r>
              <w:rPr>
                <w:color w:val="000000"/>
                <w:sz w:val="20"/>
              </w:rPr>
              <w:t>(11,430)</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8502368"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256B044F" w14:textId="77777777" w:rsidR="00CE153D" w:rsidRDefault="00CE153D">
            <w:pPr>
              <w:keepNext/>
              <w:spacing w:before="53" w:after="30" w:line="200" w:lineRule="auto"/>
            </w:pP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159105AC" w14:textId="77777777" w:rsidR="00CE153D" w:rsidRDefault="008A7CB9">
            <w:pPr>
              <w:keepNext/>
              <w:spacing w:before="33" w:after="30" w:line="200" w:lineRule="auto"/>
              <w:jc w:val="right"/>
            </w:pPr>
            <w:r>
              <w:rPr>
                <w:color w:val="000000"/>
                <w:sz w:val="20"/>
              </w:rPr>
              <w:t>(77,685)</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7934915"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867B445" w14:textId="77777777" w:rsidR="00CE153D" w:rsidRDefault="00CE153D">
            <w:pPr>
              <w:keepNext/>
              <w:spacing w:before="53" w:after="30" w:line="200" w:lineRule="auto"/>
              <w:jc w:val="right"/>
            </w:pPr>
          </w:p>
        </w:tc>
        <w:tc>
          <w:tcPr>
            <w:tcW w:w="120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6D7BAED4" w14:textId="77777777" w:rsidR="00CE153D" w:rsidRDefault="008A7CB9">
            <w:pPr>
              <w:keepNext/>
              <w:spacing w:before="33" w:after="30" w:line="200" w:lineRule="auto"/>
              <w:jc w:val="right"/>
            </w:pPr>
            <w:r>
              <w:rPr>
                <w:color w:val="000000"/>
                <w:sz w:val="20"/>
              </w:rPr>
              <w:t>(39,509)</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EEED35" w14:textId="77777777" w:rsidR="00CE153D" w:rsidRDefault="00CE153D">
            <w:pPr>
              <w:keepNext/>
              <w:spacing w:before="33" w:after="30" w:line="200" w:lineRule="auto"/>
            </w:pPr>
          </w:p>
        </w:tc>
      </w:tr>
      <w:tr w:rsidR="00CE153D" w14:paraId="5EBB4D8D"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1648CA4B" w14:textId="77777777" w:rsidR="00CE153D" w:rsidRDefault="008A7CB9">
            <w:pPr>
              <w:keepNext/>
              <w:spacing w:before="53" w:after="30" w:line="200" w:lineRule="auto"/>
            </w:pPr>
            <w:r>
              <w:rPr>
                <w:color w:val="000000"/>
                <w:sz w:val="20"/>
              </w:rPr>
              <w:t>Income tax benefit (expense)</w:t>
            </w: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01854DC8" w14:textId="77777777" w:rsidR="00CE153D" w:rsidRDefault="008A7CB9">
            <w:pPr>
              <w:keepNext/>
              <w:spacing w:before="53" w:after="30" w:line="200" w:lineRule="auto"/>
              <w:jc w:val="right"/>
            </w:pPr>
            <w:r>
              <w:rPr>
                <w:color w:val="000000"/>
                <w:sz w:val="20"/>
              </w:rPr>
              <w:t>29 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2059D69"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5C74C858"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0736BF73" w14:textId="77777777" w:rsidR="00CE153D" w:rsidRDefault="008A7CB9">
            <w:pPr>
              <w:keepNext/>
              <w:spacing w:before="53" w:after="30" w:line="200" w:lineRule="auto"/>
              <w:jc w:val="right"/>
            </w:pPr>
            <w:r>
              <w:rPr>
                <w:color w:val="000000"/>
                <w:sz w:val="20"/>
              </w:rPr>
              <w:t>(114)</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5A5B4C55"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7B8C4380" w14:textId="77777777" w:rsidR="00CE153D" w:rsidRDefault="00CE153D">
            <w:pPr>
              <w:keepNext/>
              <w:spacing w:before="53" w:after="30" w:line="200" w:lineRule="auto"/>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4F06718C" w14:textId="77777777" w:rsidR="00CE153D" w:rsidRDefault="008A7CB9">
            <w:pPr>
              <w:keepNext/>
              <w:spacing w:before="53" w:after="30" w:line="200" w:lineRule="auto"/>
              <w:jc w:val="right"/>
            </w:pPr>
            <w:r>
              <w:rPr>
                <w:color w:val="000000"/>
                <w:sz w:val="20"/>
              </w:rPr>
              <w:t>29 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453EDF00"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17FDE65C" w14:textId="77777777" w:rsidR="00CE153D" w:rsidRDefault="00CE153D">
            <w:pPr>
              <w:keepNext/>
              <w:spacing w:before="53" w:after="30" w:line="200" w:lineRule="auto"/>
              <w:jc w:val="right"/>
            </w:pPr>
          </w:p>
        </w:tc>
        <w:tc>
          <w:tcPr>
            <w:tcW w:w="1205" w:type="dxa"/>
            <w:gridSpan w:val="2"/>
            <w:tcBorders>
              <w:top w:val="nil"/>
              <w:left w:val="nil"/>
              <w:bottom w:val="single" w:sz="8" w:space="0" w:color="000000"/>
              <w:right w:val="nil"/>
            </w:tcBorders>
            <w:tcMar>
              <w:top w:w="0" w:type="dxa"/>
              <w:left w:w="53" w:type="dxa"/>
              <w:bottom w:w="0" w:type="dxa"/>
              <w:right w:w="0" w:type="dxa"/>
            </w:tcMar>
            <w:vAlign w:val="bottom"/>
          </w:tcPr>
          <w:p w14:paraId="027B055B" w14:textId="77777777" w:rsidR="00CE153D" w:rsidRDefault="008A7CB9">
            <w:pPr>
              <w:keepNext/>
              <w:spacing w:before="53" w:after="30" w:line="200" w:lineRule="auto"/>
              <w:jc w:val="right"/>
            </w:pPr>
            <w:r>
              <w:rPr>
                <w:color w:val="000000"/>
                <w:sz w:val="20"/>
              </w:rPr>
              <w:t>(127)</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448934CC" w14:textId="77777777" w:rsidR="00CE153D" w:rsidRDefault="00CE153D">
            <w:pPr>
              <w:keepNext/>
              <w:spacing w:before="53" w:after="30" w:line="200" w:lineRule="auto"/>
            </w:pPr>
          </w:p>
        </w:tc>
      </w:tr>
      <w:tr w:rsidR="00CE153D" w14:paraId="48C72D69"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529B0A17" w14:textId="77777777" w:rsidR="00CE153D" w:rsidRDefault="008A7CB9">
            <w:pPr>
              <w:keepNext/>
              <w:spacing w:before="53" w:after="30" w:line="200" w:lineRule="auto"/>
            </w:pPr>
            <w:r>
              <w:rPr>
                <w:b/>
                <w:color w:val="000000"/>
                <w:sz w:val="20"/>
              </w:rPr>
              <w:t>Net loss</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0DEF577" w14:textId="77777777" w:rsidR="00CE153D" w:rsidRDefault="008A7CB9">
            <w:pPr>
              <w:keepNext/>
              <w:spacing w:before="33" w:after="30" w:line="200" w:lineRule="auto"/>
            </w:pPr>
            <w:r>
              <w:rPr>
                <w:color w:val="000000"/>
                <w:sz w:val="20"/>
              </w:rPr>
              <w:t>$</w:t>
            </w:r>
          </w:p>
        </w:tc>
        <w:tc>
          <w:tcPr>
            <w:tcW w:w="10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247B994B" w14:textId="77777777" w:rsidR="00CE153D" w:rsidRDefault="008A7CB9">
            <w:pPr>
              <w:keepNext/>
              <w:spacing w:before="33" w:after="30" w:line="200" w:lineRule="auto"/>
              <w:jc w:val="right"/>
            </w:pPr>
            <w:r>
              <w:rPr>
                <w:color w:val="000000"/>
                <w:sz w:val="20"/>
              </w:rPr>
              <w:t>(7,288)</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4B49B87"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FBF5640" w14:textId="77777777" w:rsidR="00CE153D" w:rsidRDefault="00CE153D">
            <w:pPr>
              <w:keepNext/>
              <w:spacing w:before="53" w:after="30" w:line="200" w:lineRule="auto"/>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A5C7E50" w14:textId="77777777" w:rsidR="00CE153D" w:rsidRDefault="008A7CB9">
            <w:pPr>
              <w:keepNext/>
              <w:spacing w:before="33" w:after="30" w:line="200" w:lineRule="auto"/>
            </w:pPr>
            <w:r>
              <w:rPr>
                <w:color w:val="000000"/>
                <w:sz w:val="20"/>
              </w:rPr>
              <w:t>$</w:t>
            </w:r>
          </w:p>
        </w:tc>
        <w:tc>
          <w:tcPr>
            <w:tcW w:w="10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9668B39" w14:textId="77777777" w:rsidR="00CE153D" w:rsidRDefault="008A7CB9">
            <w:pPr>
              <w:keepNext/>
              <w:spacing w:before="33" w:after="30" w:line="200" w:lineRule="auto"/>
              <w:jc w:val="right"/>
            </w:pPr>
            <w:r>
              <w:rPr>
                <w:color w:val="000000"/>
                <w:sz w:val="20"/>
              </w:rPr>
              <w:t>(11,544)</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DF7BA1C"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3ABAB0C" w14:textId="77777777" w:rsidR="00CE153D" w:rsidRDefault="00CE153D">
            <w:pPr>
              <w:keepNext/>
              <w:spacing w:before="53" w:after="30" w:line="200" w:lineRule="auto"/>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4BCDD442" w14:textId="77777777" w:rsidR="00CE153D" w:rsidRDefault="008A7CB9">
            <w:pPr>
              <w:keepNext/>
              <w:spacing w:before="33" w:after="30" w:line="200" w:lineRule="auto"/>
            </w:pPr>
            <w:r>
              <w:rPr>
                <w:color w:val="000000"/>
                <w:sz w:val="20"/>
              </w:rPr>
              <w:t>$</w:t>
            </w:r>
          </w:p>
        </w:tc>
        <w:tc>
          <w:tcPr>
            <w:tcW w:w="10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254CD35" w14:textId="77777777" w:rsidR="00CE153D" w:rsidRDefault="008A7CB9">
            <w:pPr>
              <w:keepNext/>
              <w:spacing w:before="33" w:after="30" w:line="200" w:lineRule="auto"/>
              <w:jc w:val="right"/>
            </w:pPr>
            <w:r>
              <w:rPr>
                <w:color w:val="000000"/>
                <w:sz w:val="20"/>
              </w:rPr>
              <w:t>(77,656)</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A512CF0"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1735E65B" w14:textId="77777777" w:rsidR="00CE153D" w:rsidRDefault="00CE153D">
            <w:pPr>
              <w:keepNext/>
              <w:spacing w:before="53" w:after="30" w:line="200" w:lineRule="auto"/>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9D2EB95" w14:textId="77777777" w:rsidR="00CE153D" w:rsidRDefault="008A7CB9">
            <w:pPr>
              <w:keepNext/>
              <w:spacing w:before="33" w:after="30" w:line="200" w:lineRule="auto"/>
            </w:pPr>
            <w:r>
              <w:rPr>
                <w:color w:val="000000"/>
                <w:sz w:val="20"/>
              </w:rPr>
              <w:t>$</w:t>
            </w:r>
          </w:p>
        </w:tc>
        <w:tc>
          <w:tcPr>
            <w:tcW w:w="10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BA46148" w14:textId="77777777" w:rsidR="00CE153D" w:rsidRDefault="008A7CB9">
            <w:pPr>
              <w:keepNext/>
              <w:spacing w:before="33" w:after="30" w:line="200" w:lineRule="auto"/>
              <w:jc w:val="right"/>
            </w:pPr>
            <w:r>
              <w:rPr>
                <w:color w:val="000000"/>
                <w:sz w:val="20"/>
              </w:rPr>
              <w:t>(39,636)</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C350329" w14:textId="77777777" w:rsidR="00CE153D" w:rsidRDefault="00CE153D">
            <w:pPr>
              <w:keepNext/>
              <w:spacing w:before="33" w:after="30" w:line="200" w:lineRule="auto"/>
            </w:pPr>
          </w:p>
        </w:tc>
      </w:tr>
      <w:tr w:rsidR="00CE153D" w14:paraId="28632069"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1C25F62E" w14:textId="77777777" w:rsidR="00CE153D" w:rsidRDefault="00CE153D">
            <w:pPr>
              <w:keepNext/>
              <w:spacing w:before="53" w:after="30" w:line="200" w:lineRule="auto"/>
            </w:pPr>
          </w:p>
        </w:tc>
        <w:tc>
          <w:tcPr>
            <w:tcW w:w="1305" w:type="dxa"/>
            <w:gridSpan w:val="3"/>
            <w:tcBorders>
              <w:top w:val="double" w:sz="8" w:space="0" w:color="000000"/>
              <w:left w:val="nil"/>
              <w:bottom w:val="nil"/>
              <w:right w:val="nil"/>
            </w:tcBorders>
            <w:tcMar>
              <w:top w:w="0" w:type="dxa"/>
              <w:left w:w="53" w:type="dxa"/>
              <w:bottom w:w="0" w:type="dxa"/>
              <w:right w:w="53" w:type="dxa"/>
            </w:tcMar>
            <w:vAlign w:val="bottom"/>
          </w:tcPr>
          <w:p w14:paraId="7761FECD"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0578F23E" w14:textId="77777777" w:rsidR="00CE153D" w:rsidRDefault="00CE153D">
            <w:pPr>
              <w:keepNext/>
              <w:spacing w:before="53" w:after="30" w:line="200" w:lineRule="auto"/>
              <w:jc w:val="right"/>
            </w:pPr>
          </w:p>
        </w:tc>
        <w:tc>
          <w:tcPr>
            <w:tcW w:w="1305" w:type="dxa"/>
            <w:gridSpan w:val="3"/>
            <w:tcBorders>
              <w:top w:val="double" w:sz="8" w:space="0" w:color="000000"/>
              <w:left w:val="nil"/>
              <w:bottom w:val="nil"/>
              <w:right w:val="nil"/>
            </w:tcBorders>
            <w:tcMar>
              <w:top w:w="0" w:type="dxa"/>
              <w:left w:w="53" w:type="dxa"/>
              <w:bottom w:w="0" w:type="dxa"/>
              <w:right w:w="53" w:type="dxa"/>
            </w:tcMar>
            <w:vAlign w:val="bottom"/>
          </w:tcPr>
          <w:p w14:paraId="0BF1DA11"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584771BA" w14:textId="77777777" w:rsidR="00CE153D" w:rsidRDefault="00CE153D">
            <w:pPr>
              <w:keepNext/>
              <w:spacing w:before="53" w:after="30" w:line="200" w:lineRule="auto"/>
              <w:jc w:val="right"/>
            </w:pPr>
          </w:p>
        </w:tc>
        <w:tc>
          <w:tcPr>
            <w:tcW w:w="1305" w:type="dxa"/>
            <w:gridSpan w:val="3"/>
            <w:tcBorders>
              <w:top w:val="double" w:sz="8" w:space="0" w:color="000000"/>
              <w:left w:val="nil"/>
              <w:bottom w:val="nil"/>
              <w:right w:val="nil"/>
            </w:tcBorders>
            <w:tcMar>
              <w:top w:w="0" w:type="dxa"/>
              <w:left w:w="53" w:type="dxa"/>
              <w:bottom w:w="0" w:type="dxa"/>
              <w:right w:w="53" w:type="dxa"/>
            </w:tcMar>
            <w:vAlign w:val="bottom"/>
          </w:tcPr>
          <w:p w14:paraId="47E2C536"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61B47DE2" w14:textId="77777777" w:rsidR="00CE153D" w:rsidRDefault="00CE153D">
            <w:pPr>
              <w:keepNext/>
              <w:spacing w:before="53" w:after="30" w:line="200" w:lineRule="auto"/>
              <w:jc w:val="right"/>
            </w:pPr>
          </w:p>
        </w:tc>
        <w:tc>
          <w:tcPr>
            <w:tcW w:w="1305" w:type="dxa"/>
            <w:gridSpan w:val="3"/>
            <w:tcBorders>
              <w:top w:val="double" w:sz="8" w:space="0" w:color="000000"/>
              <w:left w:val="nil"/>
              <w:bottom w:val="nil"/>
              <w:right w:val="nil"/>
            </w:tcBorders>
            <w:tcMar>
              <w:top w:w="0" w:type="dxa"/>
              <w:left w:w="53" w:type="dxa"/>
              <w:bottom w:w="0" w:type="dxa"/>
              <w:right w:w="53" w:type="dxa"/>
            </w:tcMar>
            <w:vAlign w:val="bottom"/>
          </w:tcPr>
          <w:p w14:paraId="644E3C10" w14:textId="77777777" w:rsidR="00CE153D" w:rsidRDefault="00CE153D">
            <w:pPr>
              <w:keepNext/>
              <w:spacing w:before="33" w:after="30" w:line="200" w:lineRule="auto"/>
              <w:jc w:val="right"/>
            </w:pPr>
          </w:p>
        </w:tc>
      </w:tr>
      <w:tr w:rsidR="00CE153D" w14:paraId="6AEA4F9B"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7DDF1383" w14:textId="77777777" w:rsidR="00CE153D" w:rsidRDefault="008A7CB9">
            <w:pPr>
              <w:keepNext/>
              <w:spacing w:before="53" w:after="30" w:line="200" w:lineRule="auto"/>
            </w:pPr>
            <w:r>
              <w:rPr>
                <w:b/>
                <w:color w:val="000000"/>
                <w:sz w:val="20"/>
              </w:rPr>
              <w:t>Net loss per share:</w:t>
            </w: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71FC91B5"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16EB62F"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0F4FCC12"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3547B5A"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5B0CDC23"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176601E6" w14:textId="77777777" w:rsidR="00CE153D" w:rsidRDefault="00CE153D">
            <w:pPr>
              <w:keepNext/>
              <w:spacing w:before="53" w:after="30" w:line="200" w:lineRule="auto"/>
              <w:jc w:val="right"/>
            </w:pPr>
          </w:p>
        </w:tc>
        <w:tc>
          <w:tcPr>
            <w:tcW w:w="1305" w:type="dxa"/>
            <w:gridSpan w:val="3"/>
            <w:tcBorders>
              <w:top w:val="nil"/>
              <w:left w:val="nil"/>
              <w:bottom w:val="nil"/>
              <w:right w:val="nil"/>
            </w:tcBorders>
            <w:shd w:val="clear" w:color="auto" w:fill="CCEEFF"/>
            <w:tcMar>
              <w:top w:w="0" w:type="dxa"/>
              <w:left w:w="53" w:type="dxa"/>
              <w:bottom w:w="0" w:type="dxa"/>
              <w:right w:w="53" w:type="dxa"/>
            </w:tcMar>
            <w:vAlign w:val="bottom"/>
          </w:tcPr>
          <w:p w14:paraId="3F6398D1" w14:textId="77777777" w:rsidR="00CE153D" w:rsidRDefault="00CE153D">
            <w:pPr>
              <w:keepNext/>
              <w:spacing w:before="53" w:after="30" w:line="200" w:lineRule="auto"/>
              <w:jc w:val="right"/>
            </w:pPr>
          </w:p>
        </w:tc>
      </w:tr>
      <w:tr w:rsidR="00CE153D" w14:paraId="51CDFAED"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39FCEAAA" w14:textId="77777777" w:rsidR="00CE153D" w:rsidRDefault="008A7CB9">
            <w:pPr>
              <w:keepNext/>
              <w:spacing w:before="53" w:after="30" w:line="200" w:lineRule="auto"/>
            </w:pPr>
            <w:r>
              <w:rPr>
                <w:color w:val="000000"/>
                <w:sz w:val="20"/>
              </w:rPr>
              <w:t>Basic net loss per common share</w:t>
            </w:r>
          </w:p>
        </w:tc>
        <w:tc>
          <w:tcPr>
            <w:tcW w:w="160" w:type="dxa"/>
            <w:tcBorders>
              <w:top w:val="nil"/>
              <w:left w:val="nil"/>
              <w:bottom w:val="double" w:sz="8" w:space="0" w:color="000000"/>
              <w:right w:val="nil"/>
            </w:tcBorders>
            <w:tcMar>
              <w:top w:w="0" w:type="dxa"/>
              <w:left w:w="53" w:type="dxa"/>
              <w:bottom w:w="0" w:type="dxa"/>
              <w:right w:w="0" w:type="dxa"/>
            </w:tcMar>
            <w:vAlign w:val="bottom"/>
          </w:tcPr>
          <w:p w14:paraId="36C35140" w14:textId="77777777" w:rsidR="00CE153D" w:rsidRDefault="008A7CB9">
            <w:pPr>
              <w:keepNext/>
              <w:spacing w:before="53" w:after="30" w:line="200" w:lineRule="auto"/>
            </w:pPr>
            <w:r>
              <w:rPr>
                <w:color w:val="000000"/>
                <w:sz w:val="22"/>
              </w:rPr>
              <w:t>$</w:t>
            </w:r>
          </w:p>
        </w:tc>
        <w:tc>
          <w:tcPr>
            <w:tcW w:w="1045" w:type="dxa"/>
            <w:tcBorders>
              <w:top w:val="nil"/>
              <w:left w:val="nil"/>
              <w:bottom w:val="double" w:sz="8" w:space="0" w:color="000000"/>
              <w:right w:val="nil"/>
            </w:tcBorders>
            <w:tcMar>
              <w:top w:w="0" w:type="dxa"/>
              <w:left w:w="0" w:type="dxa"/>
              <w:bottom w:w="0" w:type="dxa"/>
              <w:right w:w="0" w:type="dxa"/>
            </w:tcMar>
            <w:vAlign w:val="bottom"/>
          </w:tcPr>
          <w:p w14:paraId="7E10E7C0" w14:textId="77777777" w:rsidR="00CE153D" w:rsidRDefault="008A7CB9">
            <w:pPr>
              <w:keepNext/>
              <w:spacing w:before="53" w:after="30" w:line="200" w:lineRule="auto"/>
              <w:jc w:val="right"/>
            </w:pPr>
            <w:r>
              <w:rPr>
                <w:color w:val="000000"/>
                <w:sz w:val="22"/>
              </w:rPr>
              <w:t>(0.06)</w:t>
            </w:r>
          </w:p>
        </w:tc>
        <w:tc>
          <w:tcPr>
            <w:tcW w:w="100" w:type="dxa"/>
            <w:tcBorders>
              <w:top w:val="nil"/>
              <w:left w:val="nil"/>
              <w:bottom w:val="double" w:sz="8" w:space="0" w:color="000000"/>
              <w:right w:val="nil"/>
            </w:tcBorders>
            <w:tcMar>
              <w:top w:w="0" w:type="dxa"/>
              <w:left w:w="0" w:type="dxa"/>
              <w:bottom w:w="0" w:type="dxa"/>
              <w:right w:w="15" w:type="dxa"/>
            </w:tcMar>
            <w:vAlign w:val="bottom"/>
          </w:tcPr>
          <w:p w14:paraId="6997B958"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15" w:type="dxa"/>
            </w:tcMar>
            <w:vAlign w:val="bottom"/>
          </w:tcPr>
          <w:p w14:paraId="7CAE43E6" w14:textId="77777777" w:rsidR="00CE153D" w:rsidRDefault="00CE153D">
            <w:pPr>
              <w:keepNext/>
              <w:spacing w:before="53" w:after="30" w:line="200" w:lineRule="auto"/>
              <w:jc w:val="right"/>
            </w:pPr>
          </w:p>
        </w:tc>
        <w:tc>
          <w:tcPr>
            <w:tcW w:w="160" w:type="dxa"/>
            <w:tcBorders>
              <w:top w:val="nil"/>
              <w:left w:val="nil"/>
              <w:bottom w:val="double" w:sz="8" w:space="0" w:color="000000"/>
              <w:right w:val="nil"/>
            </w:tcBorders>
            <w:tcMar>
              <w:top w:w="0" w:type="dxa"/>
              <w:left w:w="53" w:type="dxa"/>
              <w:bottom w:w="0" w:type="dxa"/>
              <w:right w:w="0" w:type="dxa"/>
            </w:tcMar>
            <w:vAlign w:val="bottom"/>
          </w:tcPr>
          <w:p w14:paraId="446FD414" w14:textId="77777777" w:rsidR="00CE153D" w:rsidRDefault="008A7CB9">
            <w:pPr>
              <w:keepNext/>
              <w:spacing w:before="53" w:after="30" w:line="200" w:lineRule="auto"/>
            </w:pPr>
            <w:r>
              <w:rPr>
                <w:color w:val="000000"/>
                <w:sz w:val="22"/>
              </w:rPr>
              <w:t>$</w:t>
            </w:r>
          </w:p>
        </w:tc>
        <w:tc>
          <w:tcPr>
            <w:tcW w:w="1045" w:type="dxa"/>
            <w:tcBorders>
              <w:top w:val="nil"/>
              <w:left w:val="nil"/>
              <w:bottom w:val="double" w:sz="8" w:space="0" w:color="000000"/>
              <w:right w:val="nil"/>
            </w:tcBorders>
            <w:tcMar>
              <w:top w:w="0" w:type="dxa"/>
              <w:left w:w="0" w:type="dxa"/>
              <w:bottom w:w="0" w:type="dxa"/>
              <w:right w:w="0" w:type="dxa"/>
            </w:tcMar>
            <w:vAlign w:val="bottom"/>
          </w:tcPr>
          <w:p w14:paraId="1127D11F" w14:textId="77777777" w:rsidR="00CE153D" w:rsidRDefault="008A7CB9">
            <w:pPr>
              <w:keepNext/>
              <w:spacing w:before="53" w:after="30" w:line="200" w:lineRule="auto"/>
              <w:jc w:val="right"/>
            </w:pPr>
            <w:r>
              <w:rPr>
                <w:color w:val="000000"/>
                <w:sz w:val="22"/>
              </w:rPr>
              <w:t>(0.13)</w:t>
            </w:r>
          </w:p>
        </w:tc>
        <w:tc>
          <w:tcPr>
            <w:tcW w:w="100" w:type="dxa"/>
            <w:tcBorders>
              <w:top w:val="nil"/>
              <w:left w:val="nil"/>
              <w:bottom w:val="double" w:sz="8" w:space="0" w:color="000000"/>
              <w:right w:val="nil"/>
            </w:tcBorders>
            <w:tcMar>
              <w:top w:w="0" w:type="dxa"/>
              <w:left w:w="0" w:type="dxa"/>
              <w:bottom w:w="0" w:type="dxa"/>
              <w:right w:w="15" w:type="dxa"/>
            </w:tcMar>
            <w:vAlign w:val="bottom"/>
          </w:tcPr>
          <w:p w14:paraId="3F8E3B2C"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4E80E791" w14:textId="77777777" w:rsidR="00CE153D" w:rsidRDefault="00CE153D">
            <w:pPr>
              <w:keepNext/>
              <w:spacing w:before="53" w:after="30" w:line="200" w:lineRule="auto"/>
              <w:jc w:val="right"/>
            </w:pPr>
          </w:p>
        </w:tc>
        <w:tc>
          <w:tcPr>
            <w:tcW w:w="160" w:type="dxa"/>
            <w:tcBorders>
              <w:top w:val="nil"/>
              <w:left w:val="nil"/>
              <w:bottom w:val="double" w:sz="8" w:space="0" w:color="000000"/>
              <w:right w:val="nil"/>
            </w:tcBorders>
            <w:tcMar>
              <w:top w:w="0" w:type="dxa"/>
              <w:left w:w="53" w:type="dxa"/>
              <w:bottom w:w="0" w:type="dxa"/>
              <w:right w:w="0" w:type="dxa"/>
            </w:tcMar>
            <w:vAlign w:val="bottom"/>
          </w:tcPr>
          <w:p w14:paraId="424084AF" w14:textId="77777777" w:rsidR="00CE153D" w:rsidRDefault="008A7CB9">
            <w:pPr>
              <w:keepNext/>
              <w:spacing w:before="53" w:after="30" w:line="200" w:lineRule="auto"/>
            </w:pPr>
            <w:r>
              <w:rPr>
                <w:color w:val="000000"/>
                <w:sz w:val="22"/>
              </w:rPr>
              <w:t>$</w:t>
            </w:r>
          </w:p>
        </w:tc>
        <w:tc>
          <w:tcPr>
            <w:tcW w:w="1045" w:type="dxa"/>
            <w:tcBorders>
              <w:top w:val="nil"/>
              <w:left w:val="nil"/>
              <w:bottom w:val="double" w:sz="8" w:space="0" w:color="000000"/>
              <w:right w:val="nil"/>
            </w:tcBorders>
            <w:tcMar>
              <w:top w:w="0" w:type="dxa"/>
              <w:left w:w="0" w:type="dxa"/>
              <w:bottom w:w="0" w:type="dxa"/>
              <w:right w:w="0" w:type="dxa"/>
            </w:tcMar>
            <w:vAlign w:val="bottom"/>
          </w:tcPr>
          <w:p w14:paraId="402F13B4" w14:textId="77777777" w:rsidR="00CE153D" w:rsidRDefault="008A7CB9">
            <w:pPr>
              <w:keepNext/>
              <w:spacing w:before="53" w:after="30" w:line="200" w:lineRule="auto"/>
              <w:jc w:val="right"/>
            </w:pPr>
            <w:r>
              <w:rPr>
                <w:color w:val="000000"/>
                <w:sz w:val="22"/>
              </w:rPr>
              <w:t>(0.68)</w:t>
            </w:r>
          </w:p>
        </w:tc>
        <w:tc>
          <w:tcPr>
            <w:tcW w:w="100" w:type="dxa"/>
            <w:tcBorders>
              <w:top w:val="nil"/>
              <w:left w:val="nil"/>
              <w:bottom w:val="double" w:sz="8" w:space="0" w:color="000000"/>
              <w:right w:val="nil"/>
            </w:tcBorders>
            <w:tcMar>
              <w:top w:w="0" w:type="dxa"/>
              <w:left w:w="0" w:type="dxa"/>
              <w:bottom w:w="0" w:type="dxa"/>
              <w:right w:w="15" w:type="dxa"/>
            </w:tcMar>
            <w:vAlign w:val="bottom"/>
          </w:tcPr>
          <w:p w14:paraId="6913A9F8"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15" w:type="dxa"/>
            </w:tcMar>
            <w:vAlign w:val="bottom"/>
          </w:tcPr>
          <w:p w14:paraId="326C772C" w14:textId="77777777" w:rsidR="00CE153D" w:rsidRDefault="00CE153D">
            <w:pPr>
              <w:keepNext/>
              <w:spacing w:before="53" w:after="30" w:line="200" w:lineRule="auto"/>
              <w:jc w:val="right"/>
            </w:pPr>
          </w:p>
        </w:tc>
        <w:tc>
          <w:tcPr>
            <w:tcW w:w="160" w:type="dxa"/>
            <w:tcBorders>
              <w:top w:val="nil"/>
              <w:left w:val="nil"/>
              <w:bottom w:val="double" w:sz="8" w:space="0" w:color="000000"/>
              <w:right w:val="nil"/>
            </w:tcBorders>
            <w:tcMar>
              <w:top w:w="0" w:type="dxa"/>
              <w:left w:w="53" w:type="dxa"/>
              <w:bottom w:w="0" w:type="dxa"/>
              <w:right w:w="0" w:type="dxa"/>
            </w:tcMar>
            <w:vAlign w:val="bottom"/>
          </w:tcPr>
          <w:p w14:paraId="062491EE" w14:textId="77777777" w:rsidR="00CE153D" w:rsidRDefault="008A7CB9">
            <w:pPr>
              <w:keepNext/>
              <w:spacing w:before="53" w:after="30" w:line="200" w:lineRule="auto"/>
            </w:pPr>
            <w:r>
              <w:rPr>
                <w:color w:val="000000"/>
                <w:sz w:val="22"/>
              </w:rPr>
              <w:t>$</w:t>
            </w:r>
          </w:p>
        </w:tc>
        <w:tc>
          <w:tcPr>
            <w:tcW w:w="1045" w:type="dxa"/>
            <w:tcBorders>
              <w:top w:val="nil"/>
              <w:left w:val="nil"/>
              <w:bottom w:val="double" w:sz="8" w:space="0" w:color="000000"/>
              <w:right w:val="nil"/>
            </w:tcBorders>
            <w:tcMar>
              <w:top w:w="0" w:type="dxa"/>
              <w:left w:w="0" w:type="dxa"/>
              <w:bottom w:w="0" w:type="dxa"/>
              <w:right w:w="0" w:type="dxa"/>
            </w:tcMar>
            <w:vAlign w:val="bottom"/>
          </w:tcPr>
          <w:p w14:paraId="43FEFAC1" w14:textId="77777777" w:rsidR="00CE153D" w:rsidRDefault="008A7CB9">
            <w:pPr>
              <w:keepNext/>
              <w:spacing w:before="53" w:after="30" w:line="200" w:lineRule="auto"/>
              <w:jc w:val="right"/>
            </w:pPr>
            <w:r>
              <w:rPr>
                <w:color w:val="000000"/>
                <w:sz w:val="22"/>
              </w:rPr>
              <w:t>(0.47)</w:t>
            </w:r>
          </w:p>
        </w:tc>
        <w:tc>
          <w:tcPr>
            <w:tcW w:w="100" w:type="dxa"/>
            <w:tcBorders>
              <w:top w:val="nil"/>
              <w:left w:val="nil"/>
              <w:bottom w:val="double" w:sz="8" w:space="0" w:color="000000"/>
              <w:right w:val="nil"/>
            </w:tcBorders>
            <w:tcMar>
              <w:top w:w="0" w:type="dxa"/>
              <w:left w:w="0" w:type="dxa"/>
              <w:bottom w:w="0" w:type="dxa"/>
              <w:right w:w="15" w:type="dxa"/>
            </w:tcMar>
            <w:vAlign w:val="bottom"/>
          </w:tcPr>
          <w:p w14:paraId="27E686CC" w14:textId="77777777" w:rsidR="00CE153D" w:rsidRDefault="00CE153D">
            <w:pPr>
              <w:keepNext/>
              <w:spacing w:before="53" w:after="30" w:line="200" w:lineRule="auto"/>
            </w:pPr>
          </w:p>
        </w:tc>
      </w:tr>
      <w:tr w:rsidR="00CE153D" w14:paraId="180A6EBD" w14:textId="77777777">
        <w:trPr>
          <w:cantSplit/>
          <w:trHeight w:hRule="exact" w:val="28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6620467D" w14:textId="77777777" w:rsidR="00CE153D" w:rsidRDefault="008A7CB9">
            <w:pPr>
              <w:keepNext/>
              <w:spacing w:before="53" w:after="30" w:line="200" w:lineRule="auto"/>
            </w:pPr>
            <w:r>
              <w:rPr>
                <w:color w:val="000000"/>
                <w:sz w:val="20"/>
              </w:rPr>
              <w:t>Diluted net loss per common share</w:t>
            </w:r>
          </w:p>
        </w:tc>
        <w:tc>
          <w:tcPr>
            <w:tcW w:w="160" w:type="dxa"/>
            <w:tcBorders>
              <w:top w:val="doub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F3D14EE" w14:textId="77777777" w:rsidR="00CE153D" w:rsidRDefault="008A7CB9">
            <w:pPr>
              <w:keepNext/>
              <w:spacing w:before="33" w:after="30" w:line="200" w:lineRule="auto"/>
            </w:pPr>
            <w:r>
              <w:rPr>
                <w:color w:val="000000"/>
                <w:sz w:val="22"/>
              </w:rPr>
              <w:t>$</w:t>
            </w:r>
          </w:p>
        </w:tc>
        <w:tc>
          <w:tcPr>
            <w:tcW w:w="1045" w:type="dxa"/>
            <w:tcBorders>
              <w:top w:val="doub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558E166" w14:textId="77777777" w:rsidR="00CE153D" w:rsidRDefault="008A7CB9">
            <w:pPr>
              <w:keepNext/>
              <w:spacing w:before="33" w:after="30" w:line="200" w:lineRule="auto"/>
              <w:jc w:val="right"/>
            </w:pPr>
            <w:r>
              <w:rPr>
                <w:color w:val="000000"/>
                <w:sz w:val="22"/>
              </w:rPr>
              <w:t>(0.06)</w:t>
            </w:r>
          </w:p>
        </w:tc>
        <w:tc>
          <w:tcPr>
            <w:tcW w:w="10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DCBF879"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15" w:type="dxa"/>
            </w:tcMar>
            <w:vAlign w:val="bottom"/>
          </w:tcPr>
          <w:p w14:paraId="3507FB72" w14:textId="77777777" w:rsidR="00CE153D" w:rsidRDefault="00CE153D">
            <w:pPr>
              <w:keepNext/>
              <w:spacing w:before="53" w:after="30" w:line="200" w:lineRule="auto"/>
              <w:jc w:val="right"/>
            </w:pPr>
          </w:p>
        </w:tc>
        <w:tc>
          <w:tcPr>
            <w:tcW w:w="160" w:type="dxa"/>
            <w:tcBorders>
              <w:top w:val="doub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E4614D1" w14:textId="77777777" w:rsidR="00CE153D" w:rsidRDefault="008A7CB9">
            <w:pPr>
              <w:keepNext/>
              <w:spacing w:before="33" w:after="30" w:line="200" w:lineRule="auto"/>
            </w:pPr>
            <w:r>
              <w:rPr>
                <w:color w:val="000000"/>
                <w:sz w:val="22"/>
              </w:rPr>
              <w:t>$</w:t>
            </w:r>
          </w:p>
        </w:tc>
        <w:tc>
          <w:tcPr>
            <w:tcW w:w="1045" w:type="dxa"/>
            <w:tcBorders>
              <w:top w:val="doub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1994595" w14:textId="77777777" w:rsidR="00CE153D" w:rsidRDefault="008A7CB9">
            <w:pPr>
              <w:keepNext/>
              <w:spacing w:before="33" w:after="30" w:line="200" w:lineRule="auto"/>
              <w:jc w:val="right"/>
            </w:pPr>
            <w:r>
              <w:rPr>
                <w:color w:val="000000"/>
                <w:sz w:val="22"/>
              </w:rPr>
              <w:t>(0.13)</w:t>
            </w:r>
          </w:p>
        </w:tc>
        <w:tc>
          <w:tcPr>
            <w:tcW w:w="10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00F2CAF"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1322152" w14:textId="77777777" w:rsidR="00CE153D" w:rsidRDefault="00CE153D">
            <w:pPr>
              <w:keepNext/>
              <w:spacing w:before="53" w:after="30" w:line="200" w:lineRule="auto"/>
              <w:jc w:val="right"/>
            </w:pPr>
          </w:p>
        </w:tc>
        <w:tc>
          <w:tcPr>
            <w:tcW w:w="160" w:type="dxa"/>
            <w:tcBorders>
              <w:top w:val="doub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3B352845" w14:textId="77777777" w:rsidR="00CE153D" w:rsidRDefault="008A7CB9">
            <w:pPr>
              <w:keepNext/>
              <w:spacing w:before="33" w:after="30" w:line="200" w:lineRule="auto"/>
            </w:pPr>
            <w:r>
              <w:rPr>
                <w:color w:val="000000"/>
                <w:sz w:val="22"/>
              </w:rPr>
              <w:t>$</w:t>
            </w:r>
          </w:p>
        </w:tc>
        <w:tc>
          <w:tcPr>
            <w:tcW w:w="1045" w:type="dxa"/>
            <w:tcBorders>
              <w:top w:val="doub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156C4F9" w14:textId="77777777" w:rsidR="00CE153D" w:rsidRDefault="008A7CB9">
            <w:pPr>
              <w:keepNext/>
              <w:spacing w:before="33" w:after="30" w:line="200" w:lineRule="auto"/>
              <w:jc w:val="right"/>
            </w:pPr>
            <w:r>
              <w:rPr>
                <w:color w:val="000000"/>
                <w:sz w:val="22"/>
              </w:rPr>
              <w:t>(0.68)</w:t>
            </w:r>
          </w:p>
        </w:tc>
        <w:tc>
          <w:tcPr>
            <w:tcW w:w="10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8CF3921"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15" w:type="dxa"/>
            </w:tcMar>
            <w:vAlign w:val="bottom"/>
          </w:tcPr>
          <w:p w14:paraId="40CF9B6E" w14:textId="77777777" w:rsidR="00CE153D" w:rsidRDefault="00CE153D">
            <w:pPr>
              <w:keepNext/>
              <w:spacing w:before="53" w:after="30" w:line="200" w:lineRule="auto"/>
              <w:jc w:val="right"/>
            </w:pPr>
          </w:p>
        </w:tc>
        <w:tc>
          <w:tcPr>
            <w:tcW w:w="160" w:type="dxa"/>
            <w:tcBorders>
              <w:top w:val="doub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778A9450" w14:textId="77777777" w:rsidR="00CE153D" w:rsidRDefault="008A7CB9">
            <w:pPr>
              <w:keepNext/>
              <w:spacing w:before="33" w:after="30" w:line="200" w:lineRule="auto"/>
            </w:pPr>
            <w:r>
              <w:rPr>
                <w:color w:val="000000"/>
                <w:sz w:val="22"/>
              </w:rPr>
              <w:t>$</w:t>
            </w:r>
          </w:p>
        </w:tc>
        <w:tc>
          <w:tcPr>
            <w:tcW w:w="1045" w:type="dxa"/>
            <w:tcBorders>
              <w:top w:val="doub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A68BA99" w14:textId="77777777" w:rsidR="00CE153D" w:rsidRDefault="008A7CB9">
            <w:pPr>
              <w:keepNext/>
              <w:spacing w:before="33" w:after="30" w:line="200" w:lineRule="auto"/>
              <w:jc w:val="right"/>
            </w:pPr>
            <w:r>
              <w:rPr>
                <w:color w:val="000000"/>
                <w:sz w:val="22"/>
              </w:rPr>
              <w:t>(0.57)</w:t>
            </w:r>
          </w:p>
        </w:tc>
        <w:tc>
          <w:tcPr>
            <w:tcW w:w="100"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ECB4B09" w14:textId="77777777" w:rsidR="00CE153D" w:rsidRDefault="00CE153D">
            <w:pPr>
              <w:keepNext/>
              <w:spacing w:before="33" w:after="30" w:line="200" w:lineRule="auto"/>
            </w:pPr>
          </w:p>
        </w:tc>
      </w:tr>
      <w:tr w:rsidR="00CE153D" w14:paraId="098C9AD4" w14:textId="77777777">
        <w:trPr>
          <w:cantSplit/>
          <w:trHeight w:hRule="exact" w:val="285"/>
        </w:trPr>
        <w:tc>
          <w:tcPr>
            <w:tcW w:w="4905" w:type="dxa"/>
            <w:tcBorders>
              <w:top w:val="nil"/>
              <w:left w:val="nil"/>
              <w:bottom w:val="nil"/>
              <w:right w:val="nil"/>
            </w:tcBorders>
            <w:tcMar>
              <w:top w:w="0" w:type="dxa"/>
              <w:left w:w="53" w:type="dxa"/>
              <w:bottom w:w="0" w:type="dxa"/>
              <w:right w:w="53" w:type="dxa"/>
            </w:tcMar>
            <w:vAlign w:val="bottom"/>
          </w:tcPr>
          <w:p w14:paraId="634713A9" w14:textId="77777777" w:rsidR="00CE153D" w:rsidRDefault="00CE153D">
            <w:pPr>
              <w:keepNext/>
              <w:spacing w:before="53" w:after="30" w:line="200" w:lineRule="auto"/>
            </w:pPr>
          </w:p>
        </w:tc>
        <w:tc>
          <w:tcPr>
            <w:tcW w:w="1305" w:type="dxa"/>
            <w:gridSpan w:val="3"/>
            <w:tcBorders>
              <w:top w:val="double" w:sz="8" w:space="0" w:color="000000"/>
              <w:left w:val="nil"/>
              <w:bottom w:val="nil"/>
              <w:right w:val="nil"/>
            </w:tcBorders>
            <w:tcMar>
              <w:top w:w="0" w:type="dxa"/>
              <w:left w:w="53" w:type="dxa"/>
              <w:bottom w:w="0" w:type="dxa"/>
              <w:right w:w="15" w:type="dxa"/>
            </w:tcMar>
            <w:vAlign w:val="bottom"/>
          </w:tcPr>
          <w:p w14:paraId="38CA33C7"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15" w:type="dxa"/>
            </w:tcMar>
            <w:vAlign w:val="bottom"/>
          </w:tcPr>
          <w:p w14:paraId="40313D06" w14:textId="77777777" w:rsidR="00CE153D" w:rsidRDefault="00CE153D">
            <w:pPr>
              <w:keepNext/>
              <w:spacing w:before="53" w:after="30" w:line="200" w:lineRule="auto"/>
              <w:jc w:val="right"/>
            </w:pPr>
          </w:p>
        </w:tc>
        <w:tc>
          <w:tcPr>
            <w:tcW w:w="1305" w:type="dxa"/>
            <w:gridSpan w:val="3"/>
            <w:tcBorders>
              <w:top w:val="double" w:sz="8" w:space="0" w:color="000000"/>
              <w:left w:val="nil"/>
              <w:bottom w:val="nil"/>
              <w:right w:val="nil"/>
            </w:tcBorders>
            <w:tcMar>
              <w:top w:w="0" w:type="dxa"/>
              <w:left w:w="53" w:type="dxa"/>
              <w:bottom w:w="0" w:type="dxa"/>
              <w:right w:w="15" w:type="dxa"/>
            </w:tcMar>
            <w:vAlign w:val="bottom"/>
          </w:tcPr>
          <w:p w14:paraId="3BFEDFF4"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15" w:type="dxa"/>
            </w:tcMar>
            <w:vAlign w:val="bottom"/>
          </w:tcPr>
          <w:p w14:paraId="3BE26623" w14:textId="77777777" w:rsidR="00CE153D" w:rsidRDefault="00CE153D">
            <w:pPr>
              <w:keepNext/>
              <w:spacing w:before="53" w:after="30" w:line="200" w:lineRule="auto"/>
              <w:jc w:val="right"/>
            </w:pPr>
          </w:p>
        </w:tc>
        <w:tc>
          <w:tcPr>
            <w:tcW w:w="1305" w:type="dxa"/>
            <w:gridSpan w:val="3"/>
            <w:tcBorders>
              <w:top w:val="double" w:sz="8" w:space="0" w:color="000000"/>
              <w:left w:val="nil"/>
              <w:bottom w:val="nil"/>
              <w:right w:val="nil"/>
            </w:tcBorders>
            <w:tcMar>
              <w:top w:w="0" w:type="dxa"/>
              <w:left w:w="53" w:type="dxa"/>
              <w:bottom w:w="0" w:type="dxa"/>
              <w:right w:w="15" w:type="dxa"/>
            </w:tcMar>
            <w:vAlign w:val="bottom"/>
          </w:tcPr>
          <w:p w14:paraId="77752607"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15" w:type="dxa"/>
            </w:tcMar>
            <w:vAlign w:val="bottom"/>
          </w:tcPr>
          <w:p w14:paraId="6440C829" w14:textId="77777777" w:rsidR="00CE153D" w:rsidRDefault="00CE153D">
            <w:pPr>
              <w:keepNext/>
              <w:spacing w:before="53" w:after="30" w:line="200" w:lineRule="auto"/>
              <w:jc w:val="right"/>
            </w:pPr>
          </w:p>
        </w:tc>
        <w:tc>
          <w:tcPr>
            <w:tcW w:w="1305" w:type="dxa"/>
            <w:gridSpan w:val="3"/>
            <w:tcBorders>
              <w:top w:val="double" w:sz="8" w:space="0" w:color="000000"/>
              <w:left w:val="nil"/>
              <w:bottom w:val="nil"/>
              <w:right w:val="nil"/>
            </w:tcBorders>
            <w:tcMar>
              <w:top w:w="0" w:type="dxa"/>
              <w:left w:w="53" w:type="dxa"/>
              <w:bottom w:w="0" w:type="dxa"/>
              <w:right w:w="15" w:type="dxa"/>
            </w:tcMar>
            <w:vAlign w:val="bottom"/>
          </w:tcPr>
          <w:p w14:paraId="244BC335" w14:textId="77777777" w:rsidR="00CE153D" w:rsidRDefault="00CE153D">
            <w:pPr>
              <w:keepNext/>
              <w:spacing w:before="33" w:after="30" w:line="200" w:lineRule="auto"/>
              <w:jc w:val="right"/>
            </w:pPr>
          </w:p>
        </w:tc>
      </w:tr>
      <w:tr w:rsidR="00CE153D" w14:paraId="014A3DF9" w14:textId="77777777">
        <w:trPr>
          <w:cantSplit/>
          <w:trHeight w:hRule="exact" w:val="525"/>
        </w:trPr>
        <w:tc>
          <w:tcPr>
            <w:tcW w:w="4905" w:type="dxa"/>
            <w:tcBorders>
              <w:top w:val="nil"/>
              <w:left w:val="nil"/>
              <w:bottom w:val="nil"/>
              <w:right w:val="nil"/>
            </w:tcBorders>
            <w:shd w:val="clear" w:color="auto" w:fill="CCEEFF"/>
            <w:tcMar>
              <w:top w:w="0" w:type="dxa"/>
              <w:left w:w="53" w:type="dxa"/>
              <w:bottom w:w="0" w:type="dxa"/>
              <w:right w:w="53" w:type="dxa"/>
            </w:tcMar>
            <w:vAlign w:val="bottom"/>
          </w:tcPr>
          <w:p w14:paraId="721C70EF" w14:textId="77777777" w:rsidR="00CE153D" w:rsidRDefault="008A7CB9">
            <w:pPr>
              <w:keepNext/>
              <w:spacing w:before="53" w:after="30" w:line="200" w:lineRule="auto"/>
            </w:pPr>
            <w:r>
              <w:rPr>
                <w:color w:val="000000"/>
                <w:sz w:val="20"/>
              </w:rPr>
              <w:t>Basic weighted average number of common shares outstanding</w:t>
            </w:r>
          </w:p>
        </w:tc>
        <w:tc>
          <w:tcPr>
            <w:tcW w:w="120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48256A53" w14:textId="77777777" w:rsidR="00CE153D" w:rsidRDefault="008A7CB9">
            <w:pPr>
              <w:keepNext/>
              <w:spacing w:before="53" w:after="30" w:line="200" w:lineRule="auto"/>
              <w:jc w:val="right"/>
            </w:pPr>
            <w:r>
              <w:rPr>
                <w:color w:val="000000"/>
                <w:sz w:val="20"/>
              </w:rPr>
              <w:t>124,940 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E6CC266"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15" w:type="dxa"/>
            </w:tcMar>
            <w:vAlign w:val="bottom"/>
          </w:tcPr>
          <w:p w14:paraId="0D6AB181" w14:textId="77777777" w:rsidR="00CE153D" w:rsidRDefault="00CE153D">
            <w:pPr>
              <w:keepNext/>
              <w:spacing w:before="53" w:after="30" w:line="200" w:lineRule="auto"/>
              <w:jc w:val="right"/>
            </w:pPr>
          </w:p>
        </w:tc>
        <w:tc>
          <w:tcPr>
            <w:tcW w:w="120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51284B4C" w14:textId="77777777" w:rsidR="00CE153D" w:rsidRDefault="008A7CB9">
            <w:pPr>
              <w:keepNext/>
              <w:spacing w:before="53" w:after="30" w:line="200" w:lineRule="auto"/>
              <w:jc w:val="right"/>
            </w:pPr>
            <w:r>
              <w:rPr>
                <w:color w:val="000000"/>
                <w:sz w:val="20"/>
              </w:rPr>
              <w:t>89,091 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11DD8D9C"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7B8E5BD5" w14:textId="77777777" w:rsidR="00CE153D" w:rsidRDefault="00CE153D">
            <w:pPr>
              <w:keepNext/>
              <w:spacing w:before="53" w:after="30" w:line="200" w:lineRule="auto"/>
              <w:jc w:val="right"/>
            </w:pPr>
          </w:p>
        </w:tc>
        <w:tc>
          <w:tcPr>
            <w:tcW w:w="120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1F65E322" w14:textId="77777777" w:rsidR="00CE153D" w:rsidRDefault="008A7CB9">
            <w:pPr>
              <w:keepNext/>
              <w:spacing w:before="53" w:after="30" w:line="200" w:lineRule="auto"/>
              <w:jc w:val="right"/>
            </w:pPr>
            <w:r>
              <w:rPr>
                <w:color w:val="000000"/>
                <w:sz w:val="20"/>
              </w:rPr>
              <w:t>114,085 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2C7406F"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15" w:type="dxa"/>
            </w:tcMar>
            <w:vAlign w:val="bottom"/>
          </w:tcPr>
          <w:p w14:paraId="50FF94D3" w14:textId="77777777" w:rsidR="00CE153D" w:rsidRDefault="00CE153D">
            <w:pPr>
              <w:keepNext/>
              <w:spacing w:before="53" w:after="30" w:line="200" w:lineRule="auto"/>
              <w:jc w:val="right"/>
            </w:pPr>
          </w:p>
        </w:tc>
        <w:tc>
          <w:tcPr>
            <w:tcW w:w="120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77FD4CD3" w14:textId="77777777" w:rsidR="00CE153D" w:rsidRDefault="008A7CB9">
            <w:pPr>
              <w:keepNext/>
              <w:spacing w:before="53" w:after="30" w:line="200" w:lineRule="auto"/>
              <w:jc w:val="right"/>
            </w:pPr>
            <w:r>
              <w:rPr>
                <w:color w:val="000000"/>
                <w:sz w:val="20"/>
              </w:rPr>
              <w:t>84,880 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4B792340" w14:textId="77777777" w:rsidR="00CE153D" w:rsidRDefault="00CE153D">
            <w:pPr>
              <w:keepNext/>
              <w:spacing w:before="53" w:after="30" w:line="200" w:lineRule="auto"/>
            </w:pPr>
          </w:p>
        </w:tc>
      </w:tr>
      <w:tr w:rsidR="00CE153D" w14:paraId="79DD9918" w14:textId="77777777">
        <w:trPr>
          <w:cantSplit/>
          <w:trHeight w:hRule="exact" w:val="525"/>
        </w:trPr>
        <w:tc>
          <w:tcPr>
            <w:tcW w:w="4905" w:type="dxa"/>
            <w:tcBorders>
              <w:top w:val="nil"/>
              <w:left w:val="nil"/>
              <w:bottom w:val="nil"/>
              <w:right w:val="nil"/>
            </w:tcBorders>
            <w:tcMar>
              <w:top w:w="0" w:type="dxa"/>
              <w:left w:w="53" w:type="dxa"/>
              <w:bottom w:w="0" w:type="dxa"/>
              <w:right w:w="53" w:type="dxa"/>
            </w:tcMar>
            <w:vAlign w:val="bottom"/>
          </w:tcPr>
          <w:p w14:paraId="18382644" w14:textId="77777777" w:rsidR="00CE153D" w:rsidRDefault="008A7CB9">
            <w:pPr>
              <w:spacing w:before="53" w:after="30" w:line="200" w:lineRule="auto"/>
            </w:pPr>
            <w:r>
              <w:rPr>
                <w:color w:val="000000"/>
                <w:sz w:val="20"/>
              </w:rPr>
              <w:t>Diluted weighted average number of common shares outstanding</w:t>
            </w:r>
          </w:p>
        </w:tc>
        <w:tc>
          <w:tcPr>
            <w:tcW w:w="1205" w:type="dxa"/>
            <w:gridSpan w:val="2"/>
            <w:tcBorders>
              <w:top w:val="double" w:sz="8" w:space="0" w:color="000000"/>
              <w:left w:val="nil"/>
              <w:bottom w:val="double" w:sz="8" w:space="0" w:color="000000"/>
              <w:right w:val="nil"/>
            </w:tcBorders>
            <w:tcMar>
              <w:top w:w="0" w:type="dxa"/>
              <w:left w:w="53" w:type="dxa"/>
              <w:bottom w:w="0" w:type="dxa"/>
              <w:right w:w="0" w:type="dxa"/>
            </w:tcMar>
            <w:vAlign w:val="bottom"/>
          </w:tcPr>
          <w:p w14:paraId="3D20CA02" w14:textId="77777777" w:rsidR="00CE153D" w:rsidRDefault="008A7CB9">
            <w:pPr>
              <w:spacing w:before="33" w:after="30" w:line="200" w:lineRule="auto"/>
              <w:jc w:val="right"/>
            </w:pPr>
            <w:r>
              <w:rPr>
                <w:color w:val="000000"/>
                <w:sz w:val="20"/>
              </w:rPr>
              <w:t>124,940 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14:paraId="2DF282C3" w14:textId="77777777" w:rsidR="00CE153D" w:rsidRDefault="00CE153D">
            <w:pPr>
              <w:spacing w:before="33" w:after="30" w:line="200" w:lineRule="auto"/>
            </w:pPr>
          </w:p>
        </w:tc>
        <w:tc>
          <w:tcPr>
            <w:tcW w:w="225" w:type="dxa"/>
            <w:tcBorders>
              <w:top w:val="nil"/>
              <w:left w:val="nil"/>
              <w:bottom w:val="nil"/>
              <w:right w:val="nil"/>
            </w:tcBorders>
            <w:tcMar>
              <w:top w:w="0" w:type="dxa"/>
              <w:left w:w="53" w:type="dxa"/>
              <w:bottom w:w="0" w:type="dxa"/>
              <w:right w:w="15" w:type="dxa"/>
            </w:tcMar>
            <w:vAlign w:val="bottom"/>
          </w:tcPr>
          <w:p w14:paraId="4B8F2E55" w14:textId="77777777" w:rsidR="00CE153D" w:rsidRDefault="00CE153D">
            <w:pPr>
              <w:spacing w:before="53" w:after="30" w:line="200" w:lineRule="auto"/>
              <w:jc w:val="right"/>
            </w:pPr>
          </w:p>
        </w:tc>
        <w:tc>
          <w:tcPr>
            <w:tcW w:w="1205" w:type="dxa"/>
            <w:gridSpan w:val="2"/>
            <w:tcBorders>
              <w:top w:val="double" w:sz="8" w:space="0" w:color="000000"/>
              <w:left w:val="nil"/>
              <w:bottom w:val="double" w:sz="8" w:space="0" w:color="000000"/>
              <w:right w:val="nil"/>
            </w:tcBorders>
            <w:tcMar>
              <w:top w:w="0" w:type="dxa"/>
              <w:left w:w="53" w:type="dxa"/>
              <w:bottom w:w="0" w:type="dxa"/>
              <w:right w:w="0" w:type="dxa"/>
            </w:tcMar>
            <w:vAlign w:val="bottom"/>
          </w:tcPr>
          <w:p w14:paraId="4EF15542" w14:textId="77777777" w:rsidR="00CE153D" w:rsidRDefault="008A7CB9">
            <w:pPr>
              <w:spacing w:before="33" w:after="30" w:line="200" w:lineRule="auto"/>
              <w:jc w:val="right"/>
            </w:pPr>
            <w:r>
              <w:rPr>
                <w:color w:val="000000"/>
                <w:sz w:val="20"/>
              </w:rPr>
              <w:t>89,091 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14:paraId="1B60B1C6" w14:textId="77777777" w:rsidR="00CE153D" w:rsidRDefault="00CE153D">
            <w:pPr>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6790C8E0" w14:textId="77777777" w:rsidR="00CE153D" w:rsidRDefault="00CE153D">
            <w:pPr>
              <w:spacing w:before="53" w:after="30" w:line="200" w:lineRule="auto"/>
              <w:jc w:val="right"/>
            </w:pPr>
          </w:p>
        </w:tc>
        <w:tc>
          <w:tcPr>
            <w:tcW w:w="1205" w:type="dxa"/>
            <w:gridSpan w:val="2"/>
            <w:tcBorders>
              <w:top w:val="double" w:sz="8" w:space="0" w:color="000000"/>
              <w:left w:val="nil"/>
              <w:bottom w:val="double" w:sz="8" w:space="0" w:color="000000"/>
              <w:right w:val="nil"/>
            </w:tcBorders>
            <w:tcMar>
              <w:top w:w="0" w:type="dxa"/>
              <w:left w:w="53" w:type="dxa"/>
              <w:bottom w:w="0" w:type="dxa"/>
              <w:right w:w="0" w:type="dxa"/>
            </w:tcMar>
            <w:vAlign w:val="bottom"/>
          </w:tcPr>
          <w:p w14:paraId="3877324F" w14:textId="77777777" w:rsidR="00CE153D" w:rsidRDefault="008A7CB9">
            <w:pPr>
              <w:spacing w:before="33" w:after="30" w:line="200" w:lineRule="auto"/>
              <w:jc w:val="right"/>
            </w:pPr>
            <w:r>
              <w:rPr>
                <w:color w:val="000000"/>
                <w:sz w:val="20"/>
              </w:rPr>
              <w:t>114,085 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14:paraId="4FD1E0FB" w14:textId="77777777" w:rsidR="00CE153D" w:rsidRDefault="00CE153D">
            <w:pPr>
              <w:spacing w:before="33" w:after="30" w:line="200" w:lineRule="auto"/>
            </w:pPr>
          </w:p>
        </w:tc>
        <w:tc>
          <w:tcPr>
            <w:tcW w:w="225" w:type="dxa"/>
            <w:tcBorders>
              <w:top w:val="nil"/>
              <w:left w:val="nil"/>
              <w:bottom w:val="nil"/>
              <w:right w:val="nil"/>
            </w:tcBorders>
            <w:tcMar>
              <w:top w:w="0" w:type="dxa"/>
              <w:left w:w="53" w:type="dxa"/>
              <w:bottom w:w="0" w:type="dxa"/>
              <w:right w:w="15" w:type="dxa"/>
            </w:tcMar>
            <w:vAlign w:val="bottom"/>
          </w:tcPr>
          <w:p w14:paraId="41B0E6AF" w14:textId="77777777" w:rsidR="00CE153D" w:rsidRDefault="00CE153D">
            <w:pPr>
              <w:spacing w:before="53" w:after="30" w:line="200" w:lineRule="auto"/>
              <w:jc w:val="right"/>
            </w:pPr>
          </w:p>
        </w:tc>
        <w:tc>
          <w:tcPr>
            <w:tcW w:w="1205" w:type="dxa"/>
            <w:gridSpan w:val="2"/>
            <w:tcBorders>
              <w:top w:val="double" w:sz="8" w:space="0" w:color="000000"/>
              <w:left w:val="nil"/>
              <w:bottom w:val="double" w:sz="8" w:space="0" w:color="000000"/>
              <w:right w:val="nil"/>
            </w:tcBorders>
            <w:tcMar>
              <w:top w:w="0" w:type="dxa"/>
              <w:left w:w="53" w:type="dxa"/>
              <w:bottom w:w="0" w:type="dxa"/>
              <w:right w:w="0" w:type="dxa"/>
            </w:tcMar>
            <w:vAlign w:val="bottom"/>
          </w:tcPr>
          <w:p w14:paraId="3A8E97D3" w14:textId="77777777" w:rsidR="00CE153D" w:rsidRDefault="008A7CB9">
            <w:pPr>
              <w:spacing w:before="33" w:after="30" w:line="200" w:lineRule="auto"/>
              <w:jc w:val="right"/>
            </w:pPr>
            <w:r>
              <w:rPr>
                <w:color w:val="000000"/>
                <w:sz w:val="20"/>
              </w:rPr>
              <w:t>84,896 </w:t>
            </w:r>
          </w:p>
        </w:tc>
        <w:tc>
          <w:tcPr>
            <w:tcW w:w="100" w:type="dxa"/>
            <w:tcBorders>
              <w:top w:val="double" w:sz="8" w:space="0" w:color="000000"/>
              <w:left w:val="nil"/>
              <w:bottom w:val="double" w:sz="8" w:space="0" w:color="000000"/>
              <w:right w:val="nil"/>
            </w:tcBorders>
            <w:tcMar>
              <w:top w:w="0" w:type="dxa"/>
              <w:left w:w="0" w:type="dxa"/>
              <w:bottom w:w="0" w:type="dxa"/>
              <w:right w:w="15" w:type="dxa"/>
            </w:tcMar>
            <w:vAlign w:val="bottom"/>
          </w:tcPr>
          <w:p w14:paraId="0B6341BD" w14:textId="77777777" w:rsidR="00CE153D" w:rsidRDefault="00CE153D">
            <w:pPr>
              <w:spacing w:before="33" w:after="30" w:line="200" w:lineRule="auto"/>
            </w:pPr>
          </w:p>
        </w:tc>
      </w:tr>
    </w:tbl>
    <w:p w14:paraId="454718B7" w14:textId="77777777" w:rsidR="00A77B3E" w:rsidRDefault="00A77B3E">
      <w:pPr>
        <w:spacing w:before="120" w:line="248" w:lineRule="auto"/>
        <w:rPr>
          <w:rFonts w:ascii="Arial" w:eastAsia="Arial" w:hAnsi="Arial" w:cs="Arial"/>
          <w:sz w:val="22"/>
        </w:rPr>
      </w:pPr>
    </w:p>
    <w:p w14:paraId="538C0D01" w14:textId="77777777" w:rsidR="00A77B3E" w:rsidRDefault="008A7CB9">
      <w:pPr>
        <w:pageBreakBefore/>
        <w:spacing w:before="2" w:line="248" w:lineRule="auto"/>
        <w:jc w:val="center"/>
        <w:rPr>
          <w:rFonts w:ascii="Arial" w:eastAsia="Arial" w:hAnsi="Arial" w:cs="Arial"/>
          <w:sz w:val="18"/>
        </w:rPr>
      </w:pPr>
      <w:r>
        <w:rPr>
          <w:rFonts w:ascii="Arial" w:eastAsia="Arial" w:hAnsi="Arial" w:cs="Arial"/>
          <w:b/>
          <w:sz w:val="16"/>
        </w:rPr>
        <w:lastRenderedPageBreak/>
        <w:t>KUSHCO HOLDINGS, INC.</w:t>
      </w:r>
    </w:p>
    <w:p w14:paraId="3EDBC81D" w14:textId="77777777" w:rsidR="00A77B3E" w:rsidRDefault="008A7CB9">
      <w:pPr>
        <w:spacing w:before="2" w:line="248" w:lineRule="auto"/>
        <w:jc w:val="center"/>
        <w:rPr>
          <w:rFonts w:ascii="Arial" w:eastAsia="Arial" w:hAnsi="Arial" w:cs="Arial"/>
          <w:sz w:val="18"/>
        </w:rPr>
      </w:pPr>
      <w:r>
        <w:rPr>
          <w:rFonts w:ascii="Arial" w:eastAsia="Arial" w:hAnsi="Arial" w:cs="Arial"/>
          <w:b/>
          <w:sz w:val="16"/>
        </w:rPr>
        <w:t>CONDENSED CONSOLIDATED BALANCE SHEETS</w:t>
      </w:r>
    </w:p>
    <w:p w14:paraId="1098D7D4" w14:textId="77777777" w:rsidR="00A77B3E" w:rsidRDefault="008A7CB9">
      <w:pPr>
        <w:spacing w:before="2" w:line="248" w:lineRule="auto"/>
        <w:jc w:val="center"/>
        <w:rPr>
          <w:rFonts w:ascii="Arial" w:eastAsia="Arial" w:hAnsi="Arial" w:cs="Arial"/>
          <w:sz w:val="18"/>
        </w:rPr>
      </w:pPr>
      <w:r>
        <w:rPr>
          <w:rFonts w:ascii="Arial" w:eastAsia="Arial" w:hAnsi="Arial" w:cs="Arial"/>
          <w:b/>
          <w:sz w:val="16"/>
        </w:rPr>
        <w:t>(In thousands)</w:t>
      </w:r>
    </w:p>
    <w:p w14:paraId="529CAAF1" w14:textId="77777777" w:rsidR="00A77B3E" w:rsidRDefault="008A7CB9">
      <w:pPr>
        <w:spacing w:before="2" w:line="248" w:lineRule="auto"/>
        <w:jc w:val="center"/>
        <w:rPr>
          <w:rFonts w:ascii="Arial" w:eastAsia="Arial" w:hAnsi="Arial" w:cs="Arial"/>
          <w:sz w:val="18"/>
        </w:rPr>
      </w:pPr>
      <w:r>
        <w:rPr>
          <w:rFonts w:ascii="Arial" w:eastAsia="Arial" w:hAnsi="Arial" w:cs="Arial"/>
          <w:b/>
          <w:sz w:val="16"/>
        </w:rPr>
        <w:t>(Unaudited)</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6"/>
        <w:gridCol w:w="163"/>
        <w:gridCol w:w="1265"/>
        <w:gridCol w:w="102"/>
        <w:gridCol w:w="230"/>
        <w:gridCol w:w="163"/>
        <w:gridCol w:w="1265"/>
        <w:gridCol w:w="102"/>
      </w:tblGrid>
      <w:tr w:rsidR="00CE153D" w14:paraId="174CD65F"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5F56D1F7" w14:textId="77777777" w:rsidR="00CE153D" w:rsidRDefault="00CE153D">
            <w:pPr>
              <w:keepNext/>
              <w:spacing w:before="53" w:after="30" w:line="200" w:lineRule="auto"/>
            </w:pPr>
          </w:p>
        </w:tc>
        <w:tc>
          <w:tcPr>
            <w:tcW w:w="1500" w:type="dxa"/>
            <w:gridSpan w:val="3"/>
            <w:tcBorders>
              <w:top w:val="nil"/>
              <w:left w:val="nil"/>
              <w:bottom w:val="single" w:sz="8" w:space="0" w:color="000000"/>
              <w:right w:val="nil"/>
            </w:tcBorders>
            <w:tcMar>
              <w:top w:w="0" w:type="dxa"/>
              <w:left w:w="53" w:type="dxa"/>
              <w:bottom w:w="0" w:type="dxa"/>
              <w:right w:w="53" w:type="dxa"/>
            </w:tcMar>
            <w:vAlign w:val="bottom"/>
          </w:tcPr>
          <w:p w14:paraId="20C1D895" w14:textId="77777777" w:rsidR="00CE153D" w:rsidRDefault="008A7CB9">
            <w:pPr>
              <w:keepNext/>
              <w:spacing w:before="53" w:after="30" w:line="200" w:lineRule="auto"/>
              <w:jc w:val="center"/>
            </w:pPr>
            <w:r>
              <w:rPr>
                <w:b/>
                <w:color w:val="000000"/>
                <w:sz w:val="20"/>
              </w:rPr>
              <w:t>August 31, 2020</w:t>
            </w:r>
          </w:p>
        </w:tc>
        <w:tc>
          <w:tcPr>
            <w:tcW w:w="225" w:type="dxa"/>
            <w:tcBorders>
              <w:top w:val="nil"/>
              <w:left w:val="nil"/>
              <w:bottom w:val="nil"/>
              <w:right w:val="nil"/>
            </w:tcBorders>
            <w:tcMar>
              <w:top w:w="0" w:type="dxa"/>
              <w:left w:w="53" w:type="dxa"/>
              <w:bottom w:w="0" w:type="dxa"/>
              <w:right w:w="53" w:type="dxa"/>
            </w:tcMar>
            <w:vAlign w:val="bottom"/>
          </w:tcPr>
          <w:p w14:paraId="479E9C87" w14:textId="77777777" w:rsidR="00CE153D" w:rsidRDefault="00CE153D">
            <w:pPr>
              <w:keepNext/>
              <w:spacing w:before="53" w:after="30" w:line="200" w:lineRule="auto"/>
            </w:pPr>
          </w:p>
        </w:tc>
        <w:tc>
          <w:tcPr>
            <w:tcW w:w="1500" w:type="dxa"/>
            <w:gridSpan w:val="3"/>
            <w:tcBorders>
              <w:top w:val="nil"/>
              <w:left w:val="nil"/>
              <w:bottom w:val="single" w:sz="8" w:space="0" w:color="000000"/>
              <w:right w:val="nil"/>
            </w:tcBorders>
            <w:tcMar>
              <w:top w:w="0" w:type="dxa"/>
              <w:left w:w="53" w:type="dxa"/>
              <w:bottom w:w="0" w:type="dxa"/>
              <w:right w:w="53" w:type="dxa"/>
            </w:tcMar>
            <w:vAlign w:val="bottom"/>
          </w:tcPr>
          <w:p w14:paraId="2AE7BD10" w14:textId="77777777" w:rsidR="00CE153D" w:rsidRDefault="008A7CB9">
            <w:pPr>
              <w:keepNext/>
              <w:spacing w:before="53" w:after="30" w:line="200" w:lineRule="auto"/>
              <w:jc w:val="center"/>
            </w:pPr>
            <w:r>
              <w:rPr>
                <w:b/>
                <w:color w:val="000000"/>
                <w:sz w:val="20"/>
              </w:rPr>
              <w:t>August 31, 2019</w:t>
            </w:r>
          </w:p>
        </w:tc>
      </w:tr>
      <w:tr w:rsidR="00CE153D" w14:paraId="5FBAA054"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79C8BFE4" w14:textId="77777777" w:rsidR="00CE153D" w:rsidRDefault="008A7CB9">
            <w:pPr>
              <w:keepNext/>
              <w:spacing w:before="53" w:after="30" w:line="200" w:lineRule="auto"/>
              <w:jc w:val="center"/>
            </w:pPr>
            <w:r>
              <w:rPr>
                <w:b/>
                <w:color w:val="000000"/>
                <w:sz w:val="20"/>
              </w:rPr>
              <w:t>ASSETS</w:t>
            </w:r>
          </w:p>
        </w:tc>
        <w:tc>
          <w:tcPr>
            <w:tcW w:w="1500"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57695AD"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158CD76" w14:textId="77777777" w:rsidR="00CE153D" w:rsidRDefault="00CE153D">
            <w:pPr>
              <w:keepNext/>
              <w:spacing w:before="53" w:after="30" w:line="200" w:lineRule="auto"/>
            </w:pPr>
          </w:p>
        </w:tc>
        <w:tc>
          <w:tcPr>
            <w:tcW w:w="1500" w:type="dxa"/>
            <w:gridSpan w:val="3"/>
            <w:tcBorders>
              <w:top w:val="single" w:sz="8" w:space="0" w:color="000000"/>
              <w:left w:val="nil"/>
              <w:bottom w:val="nil"/>
              <w:right w:val="nil"/>
            </w:tcBorders>
            <w:shd w:val="clear" w:color="auto" w:fill="CCEEFF"/>
            <w:tcMar>
              <w:top w:w="0" w:type="dxa"/>
              <w:left w:w="53" w:type="dxa"/>
              <w:bottom w:w="0" w:type="dxa"/>
              <w:right w:w="53" w:type="dxa"/>
            </w:tcMar>
            <w:vAlign w:val="bottom"/>
          </w:tcPr>
          <w:p w14:paraId="56CF09DF" w14:textId="77777777" w:rsidR="00CE153D" w:rsidRDefault="00CE153D">
            <w:pPr>
              <w:keepNext/>
              <w:spacing w:before="33" w:after="30" w:line="200" w:lineRule="auto"/>
            </w:pPr>
          </w:p>
        </w:tc>
      </w:tr>
      <w:tr w:rsidR="00CE153D" w14:paraId="5E4C13C1"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15A59B13" w14:textId="77777777" w:rsidR="00CE153D" w:rsidRDefault="008A7CB9">
            <w:pPr>
              <w:keepNext/>
              <w:spacing w:before="53" w:after="30" w:line="200" w:lineRule="auto"/>
            </w:pPr>
            <w:r>
              <w:rPr>
                <w:b/>
                <w:color w:val="000000"/>
                <w:sz w:val="20"/>
              </w:rPr>
              <w:t>CURRENT ASSETS</w:t>
            </w:r>
          </w:p>
        </w:tc>
        <w:tc>
          <w:tcPr>
            <w:tcW w:w="1500" w:type="dxa"/>
            <w:gridSpan w:val="3"/>
            <w:tcBorders>
              <w:top w:val="nil"/>
              <w:left w:val="nil"/>
              <w:bottom w:val="nil"/>
              <w:right w:val="nil"/>
            </w:tcBorders>
            <w:tcMar>
              <w:top w:w="0" w:type="dxa"/>
              <w:left w:w="53" w:type="dxa"/>
              <w:bottom w:w="0" w:type="dxa"/>
              <w:right w:w="53" w:type="dxa"/>
            </w:tcMar>
            <w:vAlign w:val="bottom"/>
          </w:tcPr>
          <w:p w14:paraId="0D3AD23E"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4A039B1" w14:textId="77777777" w:rsidR="00CE153D" w:rsidRDefault="00CE153D">
            <w:pPr>
              <w:keepNext/>
              <w:spacing w:before="53" w:after="30" w:line="200" w:lineRule="auto"/>
            </w:pPr>
          </w:p>
        </w:tc>
        <w:tc>
          <w:tcPr>
            <w:tcW w:w="1500" w:type="dxa"/>
            <w:gridSpan w:val="3"/>
            <w:tcBorders>
              <w:top w:val="nil"/>
              <w:left w:val="nil"/>
              <w:bottom w:val="nil"/>
              <w:right w:val="nil"/>
            </w:tcBorders>
            <w:tcMar>
              <w:top w:w="0" w:type="dxa"/>
              <w:left w:w="53" w:type="dxa"/>
              <w:bottom w:w="0" w:type="dxa"/>
              <w:right w:w="53" w:type="dxa"/>
            </w:tcMar>
            <w:vAlign w:val="bottom"/>
          </w:tcPr>
          <w:p w14:paraId="31D1F260" w14:textId="77777777" w:rsidR="00CE153D" w:rsidRDefault="00CE153D">
            <w:pPr>
              <w:keepNext/>
              <w:spacing w:before="53" w:after="30" w:line="200" w:lineRule="auto"/>
            </w:pPr>
          </w:p>
        </w:tc>
      </w:tr>
      <w:tr w:rsidR="00CE153D" w14:paraId="722DCFC0"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279ECCE0" w14:textId="77777777" w:rsidR="00CE153D" w:rsidRDefault="008A7CB9">
            <w:pPr>
              <w:keepNext/>
              <w:spacing w:before="53" w:after="30" w:line="200" w:lineRule="auto"/>
              <w:ind w:left="360"/>
            </w:pPr>
            <w:r>
              <w:rPr>
                <w:color w:val="000000"/>
                <w:sz w:val="20"/>
              </w:rPr>
              <w:t>Cash</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2266739" w14:textId="77777777" w:rsidR="00CE153D" w:rsidRDefault="008A7CB9">
            <w:pPr>
              <w:keepNext/>
              <w:spacing w:before="53" w:after="30" w:line="200" w:lineRule="auto"/>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6652B1DF" w14:textId="77777777" w:rsidR="00CE153D" w:rsidRDefault="008A7CB9">
            <w:pPr>
              <w:keepNext/>
              <w:spacing w:before="53" w:after="30" w:line="200" w:lineRule="auto"/>
              <w:jc w:val="right"/>
            </w:pPr>
            <w:r>
              <w:rPr>
                <w:color w:val="000000"/>
                <w:sz w:val="20"/>
              </w:rPr>
              <w:t>10,476 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D7EB2BF"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509C1118" w14:textId="77777777" w:rsidR="00CE153D" w:rsidRDefault="00CE153D">
            <w:pPr>
              <w:keepNext/>
              <w:spacing w:before="53" w:after="30" w:line="200" w:lineRule="auto"/>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E48990B" w14:textId="77777777" w:rsidR="00CE153D" w:rsidRDefault="008A7CB9">
            <w:pPr>
              <w:keepNext/>
              <w:spacing w:before="53" w:after="30" w:line="200" w:lineRule="auto"/>
            </w:pPr>
            <w:r>
              <w:rPr>
                <w:color w:val="000000"/>
                <w:sz w:val="20"/>
              </w:rPr>
              <w:t>$</w:t>
            </w:r>
          </w:p>
        </w:tc>
        <w:tc>
          <w:tcPr>
            <w:tcW w:w="1240" w:type="dxa"/>
            <w:tcBorders>
              <w:top w:val="nil"/>
              <w:left w:val="nil"/>
              <w:bottom w:val="nil"/>
              <w:right w:val="nil"/>
            </w:tcBorders>
            <w:shd w:val="clear" w:color="auto" w:fill="CCEEFF"/>
            <w:tcMar>
              <w:top w:w="0" w:type="dxa"/>
              <w:left w:w="0" w:type="dxa"/>
              <w:bottom w:w="0" w:type="dxa"/>
              <w:right w:w="0" w:type="dxa"/>
            </w:tcMar>
            <w:vAlign w:val="bottom"/>
          </w:tcPr>
          <w:p w14:paraId="1223EDE0" w14:textId="77777777" w:rsidR="00CE153D" w:rsidRDefault="008A7CB9">
            <w:pPr>
              <w:keepNext/>
              <w:spacing w:before="53" w:after="30" w:line="200" w:lineRule="auto"/>
              <w:jc w:val="right"/>
            </w:pPr>
            <w:r>
              <w:rPr>
                <w:color w:val="000000"/>
                <w:sz w:val="20"/>
              </w:rPr>
              <w:t>3,944 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7696AAB" w14:textId="77777777" w:rsidR="00CE153D" w:rsidRDefault="00CE153D">
            <w:pPr>
              <w:keepNext/>
              <w:spacing w:before="53" w:after="30" w:line="200" w:lineRule="auto"/>
            </w:pPr>
          </w:p>
        </w:tc>
      </w:tr>
      <w:tr w:rsidR="00CE153D" w14:paraId="4B5639F4"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6287EA57" w14:textId="77777777" w:rsidR="00CE153D" w:rsidRDefault="008A7CB9">
            <w:pPr>
              <w:keepNext/>
              <w:spacing w:before="53" w:after="30" w:line="200" w:lineRule="auto"/>
              <w:ind w:left="360"/>
            </w:pPr>
            <w:r>
              <w:rPr>
                <w:color w:val="000000"/>
                <w:sz w:val="20"/>
              </w:rPr>
              <w:t>Accounts receivable, net</w:t>
            </w:r>
          </w:p>
        </w:tc>
        <w:tc>
          <w:tcPr>
            <w:tcW w:w="1400" w:type="dxa"/>
            <w:gridSpan w:val="2"/>
            <w:tcBorders>
              <w:top w:val="nil"/>
              <w:left w:val="nil"/>
              <w:bottom w:val="nil"/>
              <w:right w:val="nil"/>
            </w:tcBorders>
            <w:tcMar>
              <w:top w:w="0" w:type="dxa"/>
              <w:left w:w="53" w:type="dxa"/>
              <w:bottom w:w="0" w:type="dxa"/>
              <w:right w:w="0" w:type="dxa"/>
            </w:tcMar>
            <w:vAlign w:val="bottom"/>
          </w:tcPr>
          <w:p w14:paraId="1335F389" w14:textId="77777777" w:rsidR="00CE153D" w:rsidRDefault="008A7CB9">
            <w:pPr>
              <w:keepNext/>
              <w:spacing w:before="53" w:after="30" w:line="200" w:lineRule="auto"/>
              <w:jc w:val="right"/>
            </w:pPr>
            <w:r>
              <w:rPr>
                <w:color w:val="000000"/>
                <w:sz w:val="20"/>
              </w:rPr>
              <w:t>9,427 </w:t>
            </w:r>
          </w:p>
        </w:tc>
        <w:tc>
          <w:tcPr>
            <w:tcW w:w="100" w:type="dxa"/>
            <w:tcBorders>
              <w:top w:val="nil"/>
              <w:left w:val="nil"/>
              <w:bottom w:val="nil"/>
              <w:right w:val="nil"/>
            </w:tcBorders>
            <w:tcMar>
              <w:top w:w="0" w:type="dxa"/>
              <w:left w:w="0" w:type="dxa"/>
              <w:bottom w:w="0" w:type="dxa"/>
              <w:right w:w="15" w:type="dxa"/>
            </w:tcMar>
            <w:vAlign w:val="bottom"/>
          </w:tcPr>
          <w:p w14:paraId="17CC7FC7"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1B4EA0D4" w14:textId="77777777" w:rsidR="00CE153D" w:rsidRDefault="00CE153D">
            <w:pPr>
              <w:keepNext/>
              <w:spacing w:before="53" w:after="30" w:line="200" w:lineRule="auto"/>
              <w:jc w:val="right"/>
            </w:pPr>
          </w:p>
        </w:tc>
        <w:tc>
          <w:tcPr>
            <w:tcW w:w="1400" w:type="dxa"/>
            <w:gridSpan w:val="2"/>
            <w:tcBorders>
              <w:top w:val="nil"/>
              <w:left w:val="nil"/>
              <w:bottom w:val="nil"/>
              <w:right w:val="nil"/>
            </w:tcBorders>
            <w:tcMar>
              <w:top w:w="0" w:type="dxa"/>
              <w:left w:w="53" w:type="dxa"/>
              <w:bottom w:w="0" w:type="dxa"/>
              <w:right w:w="0" w:type="dxa"/>
            </w:tcMar>
            <w:vAlign w:val="bottom"/>
          </w:tcPr>
          <w:p w14:paraId="327CACF3" w14:textId="77777777" w:rsidR="00CE153D" w:rsidRDefault="008A7CB9">
            <w:pPr>
              <w:keepNext/>
              <w:spacing w:before="53" w:after="30" w:line="200" w:lineRule="auto"/>
              <w:jc w:val="right"/>
            </w:pPr>
            <w:r>
              <w:rPr>
                <w:color w:val="000000"/>
                <w:sz w:val="20"/>
              </w:rPr>
              <w:t>25,972 </w:t>
            </w:r>
          </w:p>
        </w:tc>
        <w:tc>
          <w:tcPr>
            <w:tcW w:w="100" w:type="dxa"/>
            <w:tcBorders>
              <w:top w:val="nil"/>
              <w:left w:val="nil"/>
              <w:bottom w:val="nil"/>
              <w:right w:val="nil"/>
            </w:tcBorders>
            <w:tcMar>
              <w:top w:w="0" w:type="dxa"/>
              <w:left w:w="0" w:type="dxa"/>
              <w:bottom w:w="0" w:type="dxa"/>
              <w:right w:w="15" w:type="dxa"/>
            </w:tcMar>
            <w:vAlign w:val="bottom"/>
          </w:tcPr>
          <w:p w14:paraId="7403A823" w14:textId="77777777" w:rsidR="00CE153D" w:rsidRDefault="00CE153D">
            <w:pPr>
              <w:keepNext/>
              <w:spacing w:before="53" w:after="30" w:line="200" w:lineRule="auto"/>
            </w:pPr>
          </w:p>
        </w:tc>
      </w:tr>
      <w:tr w:rsidR="00CE153D" w14:paraId="7CF82871"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45FA2D91" w14:textId="77777777" w:rsidR="00CE153D" w:rsidRDefault="008A7CB9">
            <w:pPr>
              <w:keepNext/>
              <w:spacing w:before="53" w:after="30" w:line="200" w:lineRule="auto"/>
              <w:ind w:left="360"/>
            </w:pPr>
            <w:r>
              <w:rPr>
                <w:color w:val="000000"/>
                <w:sz w:val="20"/>
              </w:rPr>
              <w:t>Inventory</w:t>
            </w: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29B2EB0B" w14:textId="77777777" w:rsidR="00CE153D" w:rsidRDefault="008A7CB9">
            <w:pPr>
              <w:keepNext/>
              <w:spacing w:before="53" w:after="30" w:line="200" w:lineRule="auto"/>
              <w:jc w:val="right"/>
            </w:pPr>
            <w:r>
              <w:rPr>
                <w:color w:val="000000"/>
                <w:sz w:val="20"/>
              </w:rPr>
              <w:t>28,049 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FEFD6E4"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3F13D71F" w14:textId="77777777" w:rsidR="00CE153D" w:rsidRDefault="00CE153D">
            <w:pPr>
              <w:keepNext/>
              <w:spacing w:before="53" w:after="30" w:line="200" w:lineRule="auto"/>
              <w:jc w:val="righ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7730A87C" w14:textId="77777777" w:rsidR="00CE153D" w:rsidRDefault="008A7CB9">
            <w:pPr>
              <w:keepNext/>
              <w:spacing w:before="53" w:after="30" w:line="200" w:lineRule="auto"/>
              <w:jc w:val="right"/>
            </w:pPr>
            <w:r>
              <w:rPr>
                <w:color w:val="000000"/>
                <w:sz w:val="20"/>
              </w:rPr>
              <w:t>43,768 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0BC904A" w14:textId="77777777" w:rsidR="00CE153D" w:rsidRDefault="00CE153D">
            <w:pPr>
              <w:keepNext/>
              <w:spacing w:before="53" w:after="30" w:line="200" w:lineRule="auto"/>
            </w:pPr>
          </w:p>
        </w:tc>
      </w:tr>
      <w:tr w:rsidR="00CE153D" w14:paraId="44BC3E4F"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573474C8" w14:textId="77777777" w:rsidR="00CE153D" w:rsidRDefault="008A7CB9">
            <w:pPr>
              <w:keepNext/>
              <w:spacing w:before="53" w:after="30" w:line="200" w:lineRule="auto"/>
              <w:ind w:left="360"/>
            </w:pPr>
            <w:r>
              <w:rPr>
                <w:color w:val="000000"/>
                <w:sz w:val="20"/>
              </w:rPr>
              <w:t>Prepaid expenses and other current assets</w:t>
            </w:r>
          </w:p>
        </w:tc>
        <w:tc>
          <w:tcPr>
            <w:tcW w:w="1400" w:type="dxa"/>
            <w:gridSpan w:val="2"/>
            <w:tcBorders>
              <w:top w:val="nil"/>
              <w:left w:val="nil"/>
              <w:bottom w:val="single" w:sz="8" w:space="0" w:color="000000"/>
              <w:right w:val="nil"/>
            </w:tcBorders>
            <w:tcMar>
              <w:top w:w="0" w:type="dxa"/>
              <w:left w:w="53" w:type="dxa"/>
              <w:bottom w:w="0" w:type="dxa"/>
              <w:right w:w="0" w:type="dxa"/>
            </w:tcMar>
            <w:vAlign w:val="bottom"/>
          </w:tcPr>
          <w:p w14:paraId="1270EEB5" w14:textId="77777777" w:rsidR="00CE153D" w:rsidRDefault="008A7CB9">
            <w:pPr>
              <w:keepNext/>
              <w:spacing w:before="53" w:after="30" w:line="200" w:lineRule="auto"/>
              <w:jc w:val="right"/>
            </w:pPr>
            <w:r>
              <w:rPr>
                <w:color w:val="000000"/>
                <w:sz w:val="20"/>
              </w:rPr>
              <w:t>9,054 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11824543"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4DA7D4F6" w14:textId="77777777" w:rsidR="00CE153D" w:rsidRDefault="00CE153D">
            <w:pPr>
              <w:keepNext/>
              <w:spacing w:before="53" w:after="30" w:line="200" w:lineRule="auto"/>
              <w:jc w:val="right"/>
            </w:pPr>
          </w:p>
        </w:tc>
        <w:tc>
          <w:tcPr>
            <w:tcW w:w="1400" w:type="dxa"/>
            <w:gridSpan w:val="2"/>
            <w:tcBorders>
              <w:top w:val="nil"/>
              <w:left w:val="nil"/>
              <w:bottom w:val="single" w:sz="8" w:space="0" w:color="000000"/>
              <w:right w:val="nil"/>
            </w:tcBorders>
            <w:tcMar>
              <w:top w:w="0" w:type="dxa"/>
              <w:left w:w="53" w:type="dxa"/>
              <w:bottom w:w="0" w:type="dxa"/>
              <w:right w:w="0" w:type="dxa"/>
            </w:tcMar>
            <w:vAlign w:val="bottom"/>
          </w:tcPr>
          <w:p w14:paraId="3AA1AEFE" w14:textId="77777777" w:rsidR="00CE153D" w:rsidRDefault="008A7CB9">
            <w:pPr>
              <w:keepNext/>
              <w:spacing w:before="53" w:after="30" w:line="200" w:lineRule="auto"/>
              <w:jc w:val="right"/>
            </w:pPr>
            <w:r>
              <w:rPr>
                <w:color w:val="000000"/>
                <w:sz w:val="20"/>
              </w:rPr>
              <w:t>12,209 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7C32701" w14:textId="77777777" w:rsidR="00CE153D" w:rsidRDefault="00CE153D">
            <w:pPr>
              <w:keepNext/>
              <w:spacing w:before="53" w:after="30" w:line="200" w:lineRule="auto"/>
            </w:pPr>
          </w:p>
        </w:tc>
      </w:tr>
      <w:tr w:rsidR="00CE153D" w14:paraId="4154E3EF"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04AF3A97" w14:textId="77777777" w:rsidR="00CE153D" w:rsidRDefault="008A7CB9">
            <w:pPr>
              <w:keepNext/>
              <w:spacing w:before="53" w:after="30" w:line="200" w:lineRule="auto"/>
            </w:pPr>
            <w:r>
              <w:rPr>
                <w:color w:val="000000"/>
                <w:sz w:val="20"/>
              </w:rPr>
              <w:t>Total current assets</w:t>
            </w:r>
          </w:p>
        </w:tc>
        <w:tc>
          <w:tcPr>
            <w:tcW w:w="140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16756D2" w14:textId="77777777" w:rsidR="00CE153D" w:rsidRDefault="008A7CB9">
            <w:pPr>
              <w:keepNext/>
              <w:spacing w:before="33" w:after="30" w:line="200" w:lineRule="auto"/>
              <w:jc w:val="right"/>
            </w:pPr>
            <w:r>
              <w:rPr>
                <w:color w:val="000000"/>
                <w:sz w:val="20"/>
              </w:rPr>
              <w:t>57,006 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47A9753"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E0C073E" w14:textId="77777777" w:rsidR="00CE153D" w:rsidRDefault="00CE153D">
            <w:pPr>
              <w:keepNext/>
              <w:spacing w:before="53" w:after="30" w:line="200" w:lineRule="auto"/>
              <w:jc w:val="right"/>
            </w:pPr>
          </w:p>
        </w:tc>
        <w:tc>
          <w:tcPr>
            <w:tcW w:w="140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14:paraId="5E7EC949" w14:textId="77777777" w:rsidR="00CE153D" w:rsidRDefault="008A7CB9">
            <w:pPr>
              <w:keepNext/>
              <w:spacing w:before="33" w:after="30" w:line="200" w:lineRule="auto"/>
              <w:jc w:val="right"/>
            </w:pPr>
            <w:r>
              <w:rPr>
                <w:color w:val="000000"/>
                <w:sz w:val="20"/>
              </w:rPr>
              <w:t>85,893 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0FCE7C9" w14:textId="77777777" w:rsidR="00CE153D" w:rsidRDefault="00CE153D">
            <w:pPr>
              <w:keepNext/>
              <w:spacing w:before="33" w:after="30" w:line="200" w:lineRule="auto"/>
            </w:pPr>
          </w:p>
        </w:tc>
      </w:tr>
      <w:tr w:rsidR="00CE153D" w14:paraId="10C38E5E"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70B92076" w14:textId="77777777" w:rsidR="00CE153D" w:rsidRDefault="00CE153D">
            <w:pPr>
              <w:keepNext/>
              <w:spacing w:before="53" w:after="30" w:line="200" w:lineRule="auto"/>
            </w:pPr>
          </w:p>
        </w:tc>
        <w:tc>
          <w:tcPr>
            <w:tcW w:w="1500" w:type="dxa"/>
            <w:gridSpan w:val="3"/>
            <w:tcBorders>
              <w:top w:val="nil"/>
              <w:left w:val="nil"/>
              <w:bottom w:val="nil"/>
              <w:right w:val="nil"/>
            </w:tcBorders>
            <w:tcMar>
              <w:top w:w="0" w:type="dxa"/>
              <w:left w:w="53" w:type="dxa"/>
              <w:bottom w:w="0" w:type="dxa"/>
              <w:right w:w="15" w:type="dxa"/>
            </w:tcMar>
            <w:vAlign w:val="bottom"/>
          </w:tcPr>
          <w:p w14:paraId="091F4A81" w14:textId="77777777" w:rsidR="00CE153D" w:rsidRDefault="00CE153D">
            <w:pPr>
              <w:keepNext/>
              <w:spacing w:before="5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1079DF41" w14:textId="77777777" w:rsidR="00CE153D" w:rsidRDefault="00CE153D">
            <w:pPr>
              <w:keepNext/>
              <w:spacing w:before="53" w:after="30" w:line="200" w:lineRule="auto"/>
              <w:jc w:val="right"/>
            </w:pPr>
          </w:p>
        </w:tc>
        <w:tc>
          <w:tcPr>
            <w:tcW w:w="1500" w:type="dxa"/>
            <w:gridSpan w:val="3"/>
            <w:tcBorders>
              <w:top w:val="nil"/>
              <w:left w:val="nil"/>
              <w:bottom w:val="nil"/>
              <w:right w:val="nil"/>
            </w:tcBorders>
            <w:tcMar>
              <w:top w:w="0" w:type="dxa"/>
              <w:left w:w="53" w:type="dxa"/>
              <w:bottom w:w="0" w:type="dxa"/>
              <w:right w:w="15" w:type="dxa"/>
            </w:tcMar>
            <w:vAlign w:val="bottom"/>
          </w:tcPr>
          <w:p w14:paraId="2E76706B" w14:textId="77777777" w:rsidR="00CE153D" w:rsidRDefault="00CE153D">
            <w:pPr>
              <w:keepNext/>
              <w:spacing w:before="53" w:after="30" w:line="200" w:lineRule="auto"/>
              <w:jc w:val="right"/>
            </w:pPr>
          </w:p>
        </w:tc>
      </w:tr>
      <w:tr w:rsidR="00CE153D" w14:paraId="13B432CC"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3939694A" w14:textId="77777777" w:rsidR="00CE153D" w:rsidRDefault="008A7CB9">
            <w:pPr>
              <w:keepNext/>
              <w:spacing w:before="53" w:after="30" w:line="200" w:lineRule="auto"/>
            </w:pPr>
            <w:r>
              <w:rPr>
                <w:color w:val="000000"/>
                <w:sz w:val="20"/>
              </w:rPr>
              <w:t>Goodwill</w:t>
            </w: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6A891E1D" w14:textId="77777777" w:rsidR="00CE153D" w:rsidRDefault="008A7CB9">
            <w:pPr>
              <w:keepNext/>
              <w:spacing w:before="53" w:after="30" w:line="200" w:lineRule="auto"/>
              <w:jc w:val="right"/>
            </w:pPr>
            <w:r>
              <w:rPr>
                <w:color w:val="000000"/>
                <w:sz w:val="20"/>
              </w:rPr>
              <w:t>52,267 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9551D65"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15583E2" w14:textId="77777777" w:rsidR="00CE153D" w:rsidRDefault="00CE153D">
            <w:pPr>
              <w:keepNext/>
              <w:spacing w:before="53" w:after="30" w:line="200" w:lineRule="auto"/>
              <w:jc w:val="righ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08B146ED" w14:textId="77777777" w:rsidR="00CE153D" w:rsidRDefault="008A7CB9">
            <w:pPr>
              <w:keepNext/>
              <w:spacing w:before="53" w:after="30" w:line="200" w:lineRule="auto"/>
              <w:jc w:val="right"/>
            </w:pPr>
            <w:r>
              <w:rPr>
                <w:color w:val="000000"/>
                <w:sz w:val="20"/>
              </w:rPr>
              <w:t>52,267 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FAB310" w14:textId="77777777" w:rsidR="00CE153D" w:rsidRDefault="00CE153D">
            <w:pPr>
              <w:keepNext/>
              <w:spacing w:before="53" w:after="30" w:line="200" w:lineRule="auto"/>
            </w:pPr>
          </w:p>
        </w:tc>
      </w:tr>
      <w:tr w:rsidR="00CE153D" w14:paraId="6D51AFCE"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030D889D" w14:textId="77777777" w:rsidR="00CE153D" w:rsidRDefault="008A7CB9">
            <w:pPr>
              <w:keepNext/>
              <w:spacing w:before="53" w:after="30" w:line="200" w:lineRule="auto"/>
            </w:pPr>
            <w:r>
              <w:rPr>
                <w:color w:val="000000"/>
                <w:sz w:val="20"/>
              </w:rPr>
              <w:t>Intangible assets, net</w:t>
            </w:r>
          </w:p>
        </w:tc>
        <w:tc>
          <w:tcPr>
            <w:tcW w:w="1400" w:type="dxa"/>
            <w:gridSpan w:val="2"/>
            <w:tcBorders>
              <w:top w:val="nil"/>
              <w:left w:val="nil"/>
              <w:bottom w:val="nil"/>
              <w:right w:val="nil"/>
            </w:tcBorders>
            <w:tcMar>
              <w:top w:w="0" w:type="dxa"/>
              <w:left w:w="53" w:type="dxa"/>
              <w:bottom w:w="0" w:type="dxa"/>
              <w:right w:w="0" w:type="dxa"/>
            </w:tcMar>
            <w:vAlign w:val="bottom"/>
          </w:tcPr>
          <w:p w14:paraId="393EB3F8" w14:textId="77777777" w:rsidR="00CE153D" w:rsidRDefault="008A7CB9">
            <w:pPr>
              <w:keepNext/>
              <w:spacing w:before="53" w:after="30" w:line="200" w:lineRule="auto"/>
              <w:jc w:val="right"/>
            </w:pPr>
            <w:r>
              <w:rPr>
                <w:color w:val="000000"/>
                <w:sz w:val="20"/>
              </w:rPr>
              <w:t>1,000 </w:t>
            </w:r>
          </w:p>
        </w:tc>
        <w:tc>
          <w:tcPr>
            <w:tcW w:w="100" w:type="dxa"/>
            <w:tcBorders>
              <w:top w:val="nil"/>
              <w:left w:val="nil"/>
              <w:bottom w:val="nil"/>
              <w:right w:val="nil"/>
            </w:tcBorders>
            <w:tcMar>
              <w:top w:w="0" w:type="dxa"/>
              <w:left w:w="0" w:type="dxa"/>
              <w:bottom w:w="0" w:type="dxa"/>
              <w:right w:w="15" w:type="dxa"/>
            </w:tcMar>
            <w:vAlign w:val="bottom"/>
          </w:tcPr>
          <w:p w14:paraId="358B0F22"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32D05442" w14:textId="77777777" w:rsidR="00CE153D" w:rsidRDefault="00CE153D">
            <w:pPr>
              <w:keepNext/>
              <w:spacing w:before="53" w:after="30" w:line="200" w:lineRule="auto"/>
              <w:jc w:val="right"/>
            </w:pPr>
          </w:p>
        </w:tc>
        <w:tc>
          <w:tcPr>
            <w:tcW w:w="1400" w:type="dxa"/>
            <w:gridSpan w:val="2"/>
            <w:tcBorders>
              <w:top w:val="nil"/>
              <w:left w:val="nil"/>
              <w:bottom w:val="nil"/>
              <w:right w:val="nil"/>
            </w:tcBorders>
            <w:tcMar>
              <w:top w:w="0" w:type="dxa"/>
              <w:left w:w="53" w:type="dxa"/>
              <w:bottom w:w="0" w:type="dxa"/>
              <w:right w:w="0" w:type="dxa"/>
            </w:tcMar>
            <w:vAlign w:val="bottom"/>
          </w:tcPr>
          <w:p w14:paraId="7D3D37B2" w14:textId="77777777" w:rsidR="00CE153D" w:rsidRDefault="008A7CB9">
            <w:pPr>
              <w:keepNext/>
              <w:spacing w:before="53" w:after="30" w:line="200" w:lineRule="auto"/>
              <w:jc w:val="right"/>
            </w:pPr>
            <w:r>
              <w:rPr>
                <w:color w:val="000000"/>
                <w:sz w:val="20"/>
              </w:rPr>
              <w:t>3,103 </w:t>
            </w:r>
          </w:p>
        </w:tc>
        <w:tc>
          <w:tcPr>
            <w:tcW w:w="100" w:type="dxa"/>
            <w:tcBorders>
              <w:top w:val="nil"/>
              <w:left w:val="nil"/>
              <w:bottom w:val="nil"/>
              <w:right w:val="nil"/>
            </w:tcBorders>
            <w:tcMar>
              <w:top w:w="0" w:type="dxa"/>
              <w:left w:w="0" w:type="dxa"/>
              <w:bottom w:w="0" w:type="dxa"/>
              <w:right w:w="15" w:type="dxa"/>
            </w:tcMar>
            <w:vAlign w:val="bottom"/>
          </w:tcPr>
          <w:p w14:paraId="308EB20F" w14:textId="77777777" w:rsidR="00CE153D" w:rsidRDefault="00CE153D">
            <w:pPr>
              <w:keepNext/>
              <w:spacing w:before="53" w:after="30" w:line="200" w:lineRule="auto"/>
            </w:pPr>
          </w:p>
        </w:tc>
      </w:tr>
      <w:tr w:rsidR="00CE153D" w14:paraId="43F7996F"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71D2612D" w14:textId="77777777" w:rsidR="00CE153D" w:rsidRDefault="008A7CB9">
            <w:pPr>
              <w:keepNext/>
              <w:spacing w:before="53" w:after="30" w:line="200" w:lineRule="auto"/>
            </w:pPr>
            <w:r>
              <w:rPr>
                <w:color w:val="000000"/>
                <w:sz w:val="20"/>
              </w:rPr>
              <w:t>Property and equipment, net</w:t>
            </w: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2EE6F88E" w14:textId="77777777" w:rsidR="00CE153D" w:rsidRDefault="008A7CB9">
            <w:pPr>
              <w:keepNext/>
              <w:spacing w:before="53" w:after="30" w:line="200" w:lineRule="auto"/>
              <w:jc w:val="right"/>
            </w:pPr>
            <w:r>
              <w:rPr>
                <w:color w:val="000000"/>
                <w:sz w:val="20"/>
              </w:rPr>
              <w:t>8,801 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DA2724"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51C7BD3" w14:textId="77777777" w:rsidR="00CE153D" w:rsidRDefault="00CE153D">
            <w:pPr>
              <w:keepNext/>
              <w:spacing w:before="53" w:after="30" w:line="200" w:lineRule="auto"/>
              <w:jc w:val="righ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10C72F4A" w14:textId="77777777" w:rsidR="00CE153D" w:rsidRDefault="008A7CB9">
            <w:pPr>
              <w:keepNext/>
              <w:spacing w:before="53" w:after="30" w:line="200" w:lineRule="auto"/>
              <w:jc w:val="right"/>
            </w:pPr>
            <w:r>
              <w:rPr>
                <w:color w:val="000000"/>
                <w:sz w:val="20"/>
              </w:rPr>
              <w:t>11,054 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46DD0FF" w14:textId="77777777" w:rsidR="00CE153D" w:rsidRDefault="00CE153D">
            <w:pPr>
              <w:keepNext/>
              <w:spacing w:before="53" w:after="30" w:line="200" w:lineRule="auto"/>
            </w:pPr>
          </w:p>
        </w:tc>
      </w:tr>
      <w:tr w:rsidR="00CE153D" w14:paraId="0F047EA5"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0CC60627" w14:textId="77777777" w:rsidR="00CE153D" w:rsidRDefault="008A7CB9">
            <w:pPr>
              <w:keepNext/>
              <w:spacing w:before="53" w:after="30" w:line="200" w:lineRule="auto"/>
            </w:pPr>
            <w:r>
              <w:rPr>
                <w:color w:val="000000"/>
                <w:sz w:val="20"/>
              </w:rPr>
              <w:t>Other assets</w:t>
            </w:r>
          </w:p>
        </w:tc>
        <w:tc>
          <w:tcPr>
            <w:tcW w:w="1400" w:type="dxa"/>
            <w:gridSpan w:val="2"/>
            <w:tcBorders>
              <w:top w:val="nil"/>
              <w:left w:val="nil"/>
              <w:bottom w:val="single" w:sz="8" w:space="0" w:color="000000"/>
              <w:right w:val="nil"/>
            </w:tcBorders>
            <w:tcMar>
              <w:top w:w="0" w:type="dxa"/>
              <w:left w:w="53" w:type="dxa"/>
              <w:bottom w:w="0" w:type="dxa"/>
              <w:right w:w="0" w:type="dxa"/>
            </w:tcMar>
            <w:vAlign w:val="bottom"/>
          </w:tcPr>
          <w:p w14:paraId="23E6BCF1" w14:textId="77777777" w:rsidR="00CE153D" w:rsidRDefault="008A7CB9">
            <w:pPr>
              <w:keepNext/>
              <w:spacing w:before="53" w:after="30" w:line="200" w:lineRule="auto"/>
              <w:jc w:val="right"/>
            </w:pPr>
            <w:r>
              <w:rPr>
                <w:color w:val="000000"/>
                <w:sz w:val="20"/>
              </w:rPr>
              <w:t>8,582 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5EB3AEC"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0C40539E" w14:textId="77777777" w:rsidR="00CE153D" w:rsidRDefault="00CE153D">
            <w:pPr>
              <w:keepNext/>
              <w:spacing w:before="53" w:after="30" w:line="200" w:lineRule="auto"/>
              <w:jc w:val="right"/>
            </w:pPr>
          </w:p>
        </w:tc>
        <w:tc>
          <w:tcPr>
            <w:tcW w:w="1400" w:type="dxa"/>
            <w:gridSpan w:val="2"/>
            <w:tcBorders>
              <w:top w:val="nil"/>
              <w:left w:val="nil"/>
              <w:bottom w:val="single" w:sz="8" w:space="0" w:color="000000"/>
              <w:right w:val="nil"/>
            </w:tcBorders>
            <w:tcMar>
              <w:top w:w="0" w:type="dxa"/>
              <w:left w:w="53" w:type="dxa"/>
              <w:bottom w:w="0" w:type="dxa"/>
              <w:right w:w="0" w:type="dxa"/>
            </w:tcMar>
            <w:vAlign w:val="bottom"/>
          </w:tcPr>
          <w:p w14:paraId="1AD48CBF" w14:textId="77777777" w:rsidR="00CE153D" w:rsidRDefault="008A7CB9">
            <w:pPr>
              <w:keepNext/>
              <w:spacing w:before="53" w:after="30" w:line="200" w:lineRule="auto"/>
              <w:jc w:val="right"/>
            </w:pPr>
            <w:r>
              <w:rPr>
                <w:color w:val="000000"/>
                <w:sz w:val="20"/>
              </w:rPr>
              <w:t>6,917 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72845A3" w14:textId="77777777" w:rsidR="00CE153D" w:rsidRDefault="00CE153D">
            <w:pPr>
              <w:keepNext/>
              <w:spacing w:before="53" w:after="30" w:line="200" w:lineRule="auto"/>
            </w:pPr>
          </w:p>
        </w:tc>
      </w:tr>
      <w:tr w:rsidR="00CE153D" w14:paraId="2F3E74A5"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3A7B4028" w14:textId="77777777" w:rsidR="00CE153D" w:rsidRDefault="008A7CB9">
            <w:pPr>
              <w:keepNext/>
              <w:spacing w:before="53" w:after="30" w:line="200" w:lineRule="auto"/>
            </w:pPr>
            <w:r>
              <w:rPr>
                <w:b/>
                <w:color w:val="000000"/>
                <w:sz w:val="20"/>
              </w:rPr>
              <w:t>TOTAL ASSETS</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5590B8F" w14:textId="77777777" w:rsidR="00CE153D" w:rsidRDefault="008A7CB9">
            <w:pPr>
              <w:keepNext/>
              <w:spacing w:before="33" w:after="30" w:line="200" w:lineRule="auto"/>
            </w:pPr>
            <w:r>
              <w:rPr>
                <w:b/>
                <w:color w:val="000000"/>
                <w:sz w:val="20"/>
              </w:rPr>
              <w:t>$</w:t>
            </w:r>
          </w:p>
        </w:tc>
        <w:tc>
          <w:tcPr>
            <w:tcW w:w="124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641D3C4C" w14:textId="77777777" w:rsidR="00CE153D" w:rsidRDefault="008A7CB9">
            <w:pPr>
              <w:keepNext/>
              <w:spacing w:before="33" w:after="30" w:line="200" w:lineRule="auto"/>
              <w:jc w:val="right"/>
            </w:pPr>
            <w:r>
              <w:rPr>
                <w:b/>
                <w:color w:val="000000"/>
                <w:sz w:val="20"/>
              </w:rPr>
              <w:t>127,656 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09F1729"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2485AC9" w14:textId="77777777" w:rsidR="00CE153D" w:rsidRDefault="00CE153D">
            <w:pPr>
              <w:keepNext/>
              <w:spacing w:before="53" w:after="30" w:line="200" w:lineRule="auto"/>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2CCF9129" w14:textId="77777777" w:rsidR="00CE153D" w:rsidRDefault="008A7CB9">
            <w:pPr>
              <w:keepNext/>
              <w:spacing w:before="33" w:after="30" w:line="200" w:lineRule="auto"/>
            </w:pPr>
            <w:r>
              <w:rPr>
                <w:b/>
                <w:color w:val="000000"/>
                <w:sz w:val="20"/>
              </w:rPr>
              <w:t>$</w:t>
            </w:r>
          </w:p>
        </w:tc>
        <w:tc>
          <w:tcPr>
            <w:tcW w:w="124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20097F5" w14:textId="77777777" w:rsidR="00CE153D" w:rsidRDefault="008A7CB9">
            <w:pPr>
              <w:keepNext/>
              <w:spacing w:before="33" w:after="30" w:line="200" w:lineRule="auto"/>
              <w:jc w:val="right"/>
            </w:pPr>
            <w:r>
              <w:rPr>
                <w:b/>
                <w:color w:val="000000"/>
                <w:sz w:val="20"/>
              </w:rPr>
              <w:t>159,234 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BD2561D" w14:textId="77777777" w:rsidR="00CE153D" w:rsidRDefault="00CE153D">
            <w:pPr>
              <w:keepNext/>
              <w:spacing w:before="33" w:after="30" w:line="200" w:lineRule="auto"/>
            </w:pPr>
          </w:p>
        </w:tc>
      </w:tr>
      <w:tr w:rsidR="00CE153D" w14:paraId="54B5638C"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0A0DBD2E" w14:textId="77777777" w:rsidR="00CE153D" w:rsidRDefault="008A7CB9">
            <w:pPr>
              <w:keepNext/>
              <w:spacing w:before="53" w:after="30" w:line="200" w:lineRule="auto"/>
              <w:jc w:val="center"/>
            </w:pPr>
            <w:r>
              <w:rPr>
                <w:b/>
                <w:color w:val="000000"/>
                <w:sz w:val="20"/>
              </w:rPr>
              <w:t>LIABILITIES AND STOCKHOLDERS' EQUITY</w:t>
            </w:r>
          </w:p>
        </w:tc>
        <w:tc>
          <w:tcPr>
            <w:tcW w:w="1500" w:type="dxa"/>
            <w:gridSpan w:val="3"/>
            <w:tcBorders>
              <w:top w:val="double" w:sz="8" w:space="0" w:color="000000"/>
              <w:left w:val="nil"/>
              <w:bottom w:val="nil"/>
              <w:right w:val="nil"/>
            </w:tcBorders>
            <w:tcMar>
              <w:top w:w="0" w:type="dxa"/>
              <w:left w:w="53" w:type="dxa"/>
              <w:bottom w:w="0" w:type="dxa"/>
              <w:right w:w="53" w:type="dxa"/>
            </w:tcMar>
            <w:vAlign w:val="bottom"/>
          </w:tcPr>
          <w:p w14:paraId="4C1F3C04" w14:textId="77777777" w:rsidR="00CE153D" w:rsidRDefault="00CE153D">
            <w:pPr>
              <w:keepNext/>
              <w:spacing w:before="33" w:after="30" w:line="200" w:lineRule="auto"/>
              <w:jc w:val="right"/>
            </w:pPr>
          </w:p>
        </w:tc>
        <w:tc>
          <w:tcPr>
            <w:tcW w:w="225" w:type="dxa"/>
            <w:tcBorders>
              <w:top w:val="nil"/>
              <w:left w:val="nil"/>
              <w:bottom w:val="nil"/>
              <w:right w:val="nil"/>
            </w:tcBorders>
            <w:tcMar>
              <w:top w:w="0" w:type="dxa"/>
              <w:left w:w="53" w:type="dxa"/>
              <w:bottom w:w="0" w:type="dxa"/>
              <w:right w:w="53" w:type="dxa"/>
            </w:tcMar>
            <w:vAlign w:val="bottom"/>
          </w:tcPr>
          <w:p w14:paraId="654E4908" w14:textId="77777777" w:rsidR="00CE153D" w:rsidRDefault="00CE153D">
            <w:pPr>
              <w:keepNext/>
              <w:spacing w:before="53" w:after="30" w:line="200" w:lineRule="auto"/>
              <w:jc w:val="right"/>
            </w:pPr>
          </w:p>
        </w:tc>
        <w:tc>
          <w:tcPr>
            <w:tcW w:w="1500" w:type="dxa"/>
            <w:gridSpan w:val="3"/>
            <w:tcBorders>
              <w:top w:val="double" w:sz="8" w:space="0" w:color="000000"/>
              <w:left w:val="nil"/>
              <w:bottom w:val="nil"/>
              <w:right w:val="nil"/>
            </w:tcBorders>
            <w:tcMar>
              <w:top w:w="0" w:type="dxa"/>
              <w:left w:w="53" w:type="dxa"/>
              <w:bottom w:w="0" w:type="dxa"/>
              <w:right w:w="53" w:type="dxa"/>
            </w:tcMar>
            <w:vAlign w:val="bottom"/>
          </w:tcPr>
          <w:p w14:paraId="0754A11C" w14:textId="77777777" w:rsidR="00CE153D" w:rsidRDefault="00CE153D">
            <w:pPr>
              <w:keepNext/>
              <w:spacing w:before="33" w:after="30" w:line="200" w:lineRule="auto"/>
              <w:jc w:val="right"/>
            </w:pPr>
          </w:p>
        </w:tc>
      </w:tr>
      <w:tr w:rsidR="00CE153D" w14:paraId="155953A4"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4DB8CA6D" w14:textId="77777777" w:rsidR="00CE153D" w:rsidRDefault="008A7CB9">
            <w:pPr>
              <w:keepNext/>
              <w:spacing w:before="53" w:after="30" w:line="200" w:lineRule="auto"/>
            </w:pPr>
            <w:r>
              <w:rPr>
                <w:b/>
                <w:color w:val="000000"/>
                <w:sz w:val="20"/>
              </w:rPr>
              <w:t>CURRENT LIABILITIES</w:t>
            </w:r>
          </w:p>
        </w:tc>
        <w:tc>
          <w:tcPr>
            <w:tcW w:w="1500" w:type="dxa"/>
            <w:gridSpan w:val="3"/>
            <w:tcBorders>
              <w:top w:val="nil"/>
              <w:left w:val="nil"/>
              <w:bottom w:val="nil"/>
              <w:right w:val="nil"/>
            </w:tcBorders>
            <w:shd w:val="clear" w:color="auto" w:fill="CCEEFF"/>
            <w:tcMar>
              <w:top w:w="0" w:type="dxa"/>
              <w:left w:w="53" w:type="dxa"/>
              <w:bottom w:w="0" w:type="dxa"/>
              <w:right w:w="53" w:type="dxa"/>
            </w:tcMar>
            <w:vAlign w:val="bottom"/>
          </w:tcPr>
          <w:p w14:paraId="453A85E6" w14:textId="77777777" w:rsidR="00CE153D" w:rsidRDefault="00CE153D">
            <w:pPr>
              <w:keepNext/>
              <w:spacing w:before="5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712F9B46" w14:textId="77777777" w:rsidR="00CE153D" w:rsidRDefault="00CE153D">
            <w:pPr>
              <w:keepNext/>
              <w:spacing w:before="53" w:after="30" w:line="200" w:lineRule="auto"/>
              <w:jc w:val="right"/>
            </w:pPr>
          </w:p>
        </w:tc>
        <w:tc>
          <w:tcPr>
            <w:tcW w:w="1500" w:type="dxa"/>
            <w:gridSpan w:val="3"/>
            <w:tcBorders>
              <w:top w:val="nil"/>
              <w:left w:val="nil"/>
              <w:bottom w:val="nil"/>
              <w:right w:val="nil"/>
            </w:tcBorders>
            <w:shd w:val="clear" w:color="auto" w:fill="CCEEFF"/>
            <w:tcMar>
              <w:top w:w="0" w:type="dxa"/>
              <w:left w:w="53" w:type="dxa"/>
              <w:bottom w:w="0" w:type="dxa"/>
              <w:right w:w="53" w:type="dxa"/>
            </w:tcMar>
            <w:vAlign w:val="bottom"/>
          </w:tcPr>
          <w:p w14:paraId="4A64BAA6" w14:textId="77777777" w:rsidR="00CE153D" w:rsidRDefault="00CE153D">
            <w:pPr>
              <w:keepNext/>
              <w:spacing w:before="53" w:after="30" w:line="200" w:lineRule="auto"/>
              <w:jc w:val="right"/>
            </w:pPr>
          </w:p>
        </w:tc>
      </w:tr>
      <w:tr w:rsidR="00CE153D" w14:paraId="40215A5C"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1EEA6C2F" w14:textId="77777777" w:rsidR="00CE153D" w:rsidRDefault="008A7CB9">
            <w:pPr>
              <w:keepNext/>
              <w:spacing w:before="53" w:after="30" w:line="200" w:lineRule="auto"/>
              <w:ind w:left="360"/>
            </w:pPr>
            <w:r>
              <w:rPr>
                <w:color w:val="000000"/>
                <w:sz w:val="20"/>
              </w:rPr>
              <w:t>Accounts payable</w:t>
            </w:r>
          </w:p>
        </w:tc>
        <w:tc>
          <w:tcPr>
            <w:tcW w:w="160" w:type="dxa"/>
            <w:tcBorders>
              <w:top w:val="nil"/>
              <w:left w:val="nil"/>
              <w:bottom w:val="nil"/>
              <w:right w:val="nil"/>
            </w:tcBorders>
            <w:tcMar>
              <w:top w:w="0" w:type="dxa"/>
              <w:left w:w="53" w:type="dxa"/>
              <w:bottom w:w="0" w:type="dxa"/>
              <w:right w:w="0" w:type="dxa"/>
            </w:tcMar>
            <w:vAlign w:val="bottom"/>
          </w:tcPr>
          <w:p w14:paraId="224503FE" w14:textId="77777777" w:rsidR="00CE153D" w:rsidRDefault="008A7CB9">
            <w:pPr>
              <w:keepNext/>
              <w:spacing w:before="53" w:after="30" w:line="200" w:lineRule="auto"/>
            </w:pPr>
            <w:r>
              <w:rPr>
                <w:color w:val="000000"/>
                <w:sz w:val="20"/>
              </w:rPr>
              <w:t>$</w:t>
            </w:r>
          </w:p>
        </w:tc>
        <w:tc>
          <w:tcPr>
            <w:tcW w:w="1240" w:type="dxa"/>
            <w:tcBorders>
              <w:top w:val="nil"/>
              <w:left w:val="nil"/>
              <w:bottom w:val="nil"/>
              <w:right w:val="nil"/>
            </w:tcBorders>
            <w:tcMar>
              <w:top w:w="0" w:type="dxa"/>
              <w:left w:w="0" w:type="dxa"/>
              <w:bottom w:w="0" w:type="dxa"/>
              <w:right w:w="0" w:type="dxa"/>
            </w:tcMar>
            <w:vAlign w:val="bottom"/>
          </w:tcPr>
          <w:p w14:paraId="4CB6F499" w14:textId="77777777" w:rsidR="00CE153D" w:rsidRDefault="008A7CB9">
            <w:pPr>
              <w:keepNext/>
              <w:spacing w:before="53" w:after="30" w:line="200" w:lineRule="auto"/>
              <w:jc w:val="right"/>
            </w:pPr>
            <w:r>
              <w:rPr>
                <w:color w:val="000000"/>
                <w:sz w:val="20"/>
              </w:rPr>
              <w:t>4,282 </w:t>
            </w:r>
          </w:p>
        </w:tc>
        <w:tc>
          <w:tcPr>
            <w:tcW w:w="100" w:type="dxa"/>
            <w:tcBorders>
              <w:top w:val="nil"/>
              <w:left w:val="nil"/>
              <w:bottom w:val="nil"/>
              <w:right w:val="nil"/>
            </w:tcBorders>
            <w:tcMar>
              <w:top w:w="0" w:type="dxa"/>
              <w:left w:w="0" w:type="dxa"/>
              <w:bottom w:w="0" w:type="dxa"/>
              <w:right w:w="15" w:type="dxa"/>
            </w:tcMar>
            <w:vAlign w:val="bottom"/>
          </w:tcPr>
          <w:p w14:paraId="21D27CCE"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30AC1E8" w14:textId="77777777" w:rsidR="00CE153D" w:rsidRDefault="00CE153D">
            <w:pPr>
              <w:keepNext/>
              <w:spacing w:before="53" w:after="30" w:line="200" w:lineRule="auto"/>
              <w:jc w:val="right"/>
            </w:pPr>
          </w:p>
        </w:tc>
        <w:tc>
          <w:tcPr>
            <w:tcW w:w="160" w:type="dxa"/>
            <w:tcBorders>
              <w:top w:val="nil"/>
              <w:left w:val="nil"/>
              <w:bottom w:val="nil"/>
              <w:right w:val="nil"/>
            </w:tcBorders>
            <w:tcMar>
              <w:top w:w="0" w:type="dxa"/>
              <w:left w:w="53" w:type="dxa"/>
              <w:bottom w:w="0" w:type="dxa"/>
              <w:right w:w="0" w:type="dxa"/>
            </w:tcMar>
            <w:vAlign w:val="bottom"/>
          </w:tcPr>
          <w:p w14:paraId="6EBD974D" w14:textId="77777777" w:rsidR="00CE153D" w:rsidRDefault="008A7CB9">
            <w:pPr>
              <w:keepNext/>
              <w:spacing w:before="53" w:after="30" w:line="200" w:lineRule="auto"/>
            </w:pPr>
            <w:r>
              <w:rPr>
                <w:color w:val="000000"/>
                <w:sz w:val="20"/>
              </w:rPr>
              <w:t>$</w:t>
            </w:r>
          </w:p>
        </w:tc>
        <w:tc>
          <w:tcPr>
            <w:tcW w:w="1240" w:type="dxa"/>
            <w:tcBorders>
              <w:top w:val="nil"/>
              <w:left w:val="nil"/>
              <w:bottom w:val="nil"/>
              <w:right w:val="nil"/>
            </w:tcBorders>
            <w:tcMar>
              <w:top w:w="0" w:type="dxa"/>
              <w:left w:w="0" w:type="dxa"/>
              <w:bottom w:w="0" w:type="dxa"/>
              <w:right w:w="0" w:type="dxa"/>
            </w:tcMar>
            <w:vAlign w:val="bottom"/>
          </w:tcPr>
          <w:p w14:paraId="7A6263C0" w14:textId="77777777" w:rsidR="00CE153D" w:rsidRDefault="008A7CB9">
            <w:pPr>
              <w:keepNext/>
              <w:spacing w:before="53" w:after="30" w:line="200" w:lineRule="auto"/>
              <w:jc w:val="right"/>
            </w:pPr>
            <w:r>
              <w:rPr>
                <w:color w:val="000000"/>
                <w:sz w:val="20"/>
              </w:rPr>
              <w:t>10,907 </w:t>
            </w:r>
          </w:p>
        </w:tc>
        <w:tc>
          <w:tcPr>
            <w:tcW w:w="100" w:type="dxa"/>
            <w:tcBorders>
              <w:top w:val="nil"/>
              <w:left w:val="nil"/>
              <w:bottom w:val="nil"/>
              <w:right w:val="nil"/>
            </w:tcBorders>
            <w:tcMar>
              <w:top w:w="0" w:type="dxa"/>
              <w:left w:w="0" w:type="dxa"/>
              <w:bottom w:w="0" w:type="dxa"/>
              <w:right w:w="15" w:type="dxa"/>
            </w:tcMar>
            <w:vAlign w:val="bottom"/>
          </w:tcPr>
          <w:p w14:paraId="2B99A37A" w14:textId="77777777" w:rsidR="00CE153D" w:rsidRDefault="00CE153D">
            <w:pPr>
              <w:keepNext/>
              <w:spacing w:before="53" w:after="30" w:line="200" w:lineRule="auto"/>
            </w:pPr>
          </w:p>
        </w:tc>
      </w:tr>
      <w:tr w:rsidR="00CE153D" w14:paraId="3DAAF38A"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5A94497F" w14:textId="77777777" w:rsidR="00CE153D" w:rsidRDefault="008A7CB9">
            <w:pPr>
              <w:keepNext/>
              <w:spacing w:before="53" w:after="30" w:line="200" w:lineRule="auto"/>
              <w:ind w:left="360"/>
            </w:pPr>
            <w:r>
              <w:rPr>
                <w:color w:val="000000"/>
                <w:sz w:val="20"/>
              </w:rPr>
              <w:t>Accrued expenses and other current liabilities</w:t>
            </w: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05D47152" w14:textId="77777777" w:rsidR="00CE153D" w:rsidRDefault="008A7CB9">
            <w:pPr>
              <w:keepNext/>
              <w:spacing w:before="53" w:after="30" w:line="200" w:lineRule="auto"/>
              <w:jc w:val="right"/>
            </w:pPr>
            <w:r>
              <w:rPr>
                <w:color w:val="000000"/>
                <w:sz w:val="20"/>
              </w:rPr>
              <w:t>11,383 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20C04A5"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21B0E13" w14:textId="77777777" w:rsidR="00CE153D" w:rsidRDefault="00CE153D">
            <w:pPr>
              <w:keepNext/>
              <w:spacing w:before="53" w:after="30" w:line="200" w:lineRule="auto"/>
              <w:jc w:val="righ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42F7CA77" w14:textId="77777777" w:rsidR="00CE153D" w:rsidRDefault="008A7CB9">
            <w:pPr>
              <w:keepNext/>
              <w:spacing w:before="53" w:after="30" w:line="200" w:lineRule="auto"/>
              <w:jc w:val="right"/>
            </w:pPr>
            <w:r>
              <w:rPr>
                <w:color w:val="000000"/>
                <w:sz w:val="20"/>
              </w:rPr>
              <w:t>9,460 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71F0FB9" w14:textId="77777777" w:rsidR="00CE153D" w:rsidRDefault="00CE153D">
            <w:pPr>
              <w:keepNext/>
              <w:spacing w:before="53" w:after="30" w:line="200" w:lineRule="auto"/>
            </w:pPr>
          </w:p>
        </w:tc>
      </w:tr>
      <w:tr w:rsidR="00CE153D" w14:paraId="35B58862"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624DCBF9" w14:textId="77777777" w:rsidR="00CE153D" w:rsidRDefault="008A7CB9">
            <w:pPr>
              <w:keepNext/>
              <w:spacing w:before="53" w:after="30" w:line="200" w:lineRule="auto"/>
              <w:ind w:left="360"/>
            </w:pPr>
            <w:r>
              <w:rPr>
                <w:color w:val="000000"/>
                <w:sz w:val="20"/>
              </w:rPr>
              <w:t>Current portion of notes payable</w:t>
            </w:r>
          </w:p>
        </w:tc>
        <w:tc>
          <w:tcPr>
            <w:tcW w:w="1400" w:type="dxa"/>
            <w:gridSpan w:val="2"/>
            <w:tcBorders>
              <w:top w:val="nil"/>
              <w:left w:val="nil"/>
              <w:bottom w:val="nil"/>
              <w:right w:val="nil"/>
            </w:tcBorders>
            <w:tcMar>
              <w:top w:w="0" w:type="dxa"/>
              <w:left w:w="53" w:type="dxa"/>
              <w:bottom w:w="0" w:type="dxa"/>
              <w:right w:w="0" w:type="dxa"/>
            </w:tcMar>
            <w:vAlign w:val="bottom"/>
          </w:tcPr>
          <w:p w14:paraId="5D96FD4D" w14:textId="77777777" w:rsidR="00CE153D" w:rsidRDefault="008A7CB9">
            <w:pPr>
              <w:keepNext/>
              <w:spacing w:before="53" w:after="30" w:line="200" w:lineRule="auto"/>
              <w:jc w:val="right"/>
            </w:pPr>
            <w:r>
              <w:rPr>
                <w:color w:val="000000"/>
                <w:sz w:val="20"/>
              </w:rPr>
              <w:t>20,692 </w:t>
            </w:r>
          </w:p>
        </w:tc>
        <w:tc>
          <w:tcPr>
            <w:tcW w:w="100" w:type="dxa"/>
            <w:tcBorders>
              <w:top w:val="nil"/>
              <w:left w:val="nil"/>
              <w:bottom w:val="nil"/>
              <w:right w:val="nil"/>
            </w:tcBorders>
            <w:tcMar>
              <w:top w:w="0" w:type="dxa"/>
              <w:left w:w="0" w:type="dxa"/>
              <w:bottom w:w="0" w:type="dxa"/>
              <w:right w:w="15" w:type="dxa"/>
            </w:tcMar>
            <w:vAlign w:val="bottom"/>
          </w:tcPr>
          <w:p w14:paraId="048057C1"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4AB3465A" w14:textId="77777777" w:rsidR="00CE153D" w:rsidRDefault="00CE153D">
            <w:pPr>
              <w:keepNext/>
              <w:spacing w:before="53" w:after="30" w:line="200" w:lineRule="auto"/>
              <w:jc w:val="right"/>
            </w:pPr>
          </w:p>
        </w:tc>
        <w:tc>
          <w:tcPr>
            <w:tcW w:w="1400" w:type="dxa"/>
            <w:gridSpan w:val="2"/>
            <w:tcBorders>
              <w:top w:val="nil"/>
              <w:left w:val="nil"/>
              <w:bottom w:val="nil"/>
              <w:right w:val="nil"/>
            </w:tcBorders>
            <w:tcMar>
              <w:top w:w="0" w:type="dxa"/>
              <w:left w:w="53" w:type="dxa"/>
              <w:bottom w:w="0" w:type="dxa"/>
              <w:right w:w="0" w:type="dxa"/>
            </w:tcMar>
            <w:vAlign w:val="bottom"/>
          </w:tcPr>
          <w:p w14:paraId="5A9ED03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19A6F945" w14:textId="77777777" w:rsidR="00CE153D" w:rsidRDefault="00CE153D">
            <w:pPr>
              <w:keepNext/>
              <w:spacing w:before="53" w:after="30" w:line="200" w:lineRule="auto"/>
            </w:pPr>
          </w:p>
        </w:tc>
      </w:tr>
      <w:tr w:rsidR="00CE153D" w14:paraId="65E93DBB"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103DF9E9" w14:textId="77777777" w:rsidR="00CE153D" w:rsidRDefault="008A7CB9">
            <w:pPr>
              <w:keepNext/>
              <w:spacing w:before="53" w:after="30" w:line="200" w:lineRule="auto"/>
              <w:ind w:left="360"/>
            </w:pPr>
            <w:r>
              <w:rPr>
                <w:color w:val="000000"/>
                <w:sz w:val="20"/>
              </w:rPr>
              <w:t>Line of credit</w:t>
            </w:r>
          </w:p>
        </w:tc>
        <w:tc>
          <w:tcPr>
            <w:tcW w:w="14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4A91F1C"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71B493E"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CD5A1B8" w14:textId="77777777" w:rsidR="00CE153D" w:rsidRDefault="00CE153D">
            <w:pPr>
              <w:keepNext/>
              <w:spacing w:before="53" w:after="30" w:line="200" w:lineRule="auto"/>
              <w:jc w:val="right"/>
            </w:pPr>
          </w:p>
        </w:tc>
        <w:tc>
          <w:tcPr>
            <w:tcW w:w="14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3AA9F3A6" w14:textId="77777777" w:rsidR="00CE153D" w:rsidRDefault="008A7CB9">
            <w:pPr>
              <w:keepNext/>
              <w:spacing w:before="53" w:after="30" w:line="200" w:lineRule="auto"/>
              <w:jc w:val="right"/>
            </w:pPr>
            <w:r>
              <w:rPr>
                <w:color w:val="000000"/>
                <w:sz w:val="20"/>
              </w:rPr>
              <w:t>12,261 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F4FF0C" w14:textId="77777777" w:rsidR="00CE153D" w:rsidRDefault="00CE153D">
            <w:pPr>
              <w:keepNext/>
              <w:spacing w:before="53" w:after="30" w:line="200" w:lineRule="auto"/>
            </w:pPr>
          </w:p>
        </w:tc>
      </w:tr>
      <w:tr w:rsidR="00CE153D" w14:paraId="1BCB925B"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3FF22EFD" w14:textId="77777777" w:rsidR="00CE153D" w:rsidRDefault="008A7CB9">
            <w:pPr>
              <w:keepNext/>
              <w:spacing w:before="53" w:after="30" w:line="200" w:lineRule="auto"/>
            </w:pPr>
            <w:r>
              <w:rPr>
                <w:color w:val="000000"/>
                <w:sz w:val="20"/>
              </w:rPr>
              <w:t>Total current liabilities</w:t>
            </w:r>
          </w:p>
        </w:tc>
        <w:tc>
          <w:tcPr>
            <w:tcW w:w="1400"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490163A5" w14:textId="77777777" w:rsidR="00CE153D" w:rsidRDefault="008A7CB9">
            <w:pPr>
              <w:keepNext/>
              <w:spacing w:before="33" w:after="30" w:line="200" w:lineRule="auto"/>
              <w:jc w:val="right"/>
            </w:pPr>
            <w:r>
              <w:rPr>
                <w:color w:val="000000"/>
                <w:sz w:val="20"/>
              </w:rPr>
              <w:t>36,357 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55589292"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41FBDEE1" w14:textId="77777777" w:rsidR="00CE153D" w:rsidRDefault="00CE153D">
            <w:pPr>
              <w:keepNext/>
              <w:spacing w:before="53" w:after="30" w:line="200" w:lineRule="auto"/>
              <w:jc w:val="right"/>
            </w:pPr>
          </w:p>
        </w:tc>
        <w:tc>
          <w:tcPr>
            <w:tcW w:w="1400"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76A23088" w14:textId="77777777" w:rsidR="00CE153D" w:rsidRDefault="008A7CB9">
            <w:pPr>
              <w:keepNext/>
              <w:spacing w:before="33" w:after="30" w:line="200" w:lineRule="auto"/>
              <w:jc w:val="right"/>
            </w:pPr>
            <w:r>
              <w:rPr>
                <w:color w:val="000000"/>
                <w:sz w:val="20"/>
              </w:rPr>
              <w:t>32,628 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472CC698" w14:textId="77777777" w:rsidR="00CE153D" w:rsidRDefault="00CE153D">
            <w:pPr>
              <w:keepNext/>
              <w:spacing w:before="33" w:after="30" w:line="200" w:lineRule="auto"/>
            </w:pPr>
          </w:p>
        </w:tc>
      </w:tr>
      <w:tr w:rsidR="00CE153D" w14:paraId="00ED338A"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6BBA7E6E" w14:textId="77777777" w:rsidR="00CE153D" w:rsidRDefault="00CE153D">
            <w:pPr>
              <w:keepNext/>
              <w:spacing w:before="53" w:after="30" w:line="200" w:lineRule="auto"/>
            </w:pPr>
          </w:p>
        </w:tc>
        <w:tc>
          <w:tcPr>
            <w:tcW w:w="1500" w:type="dxa"/>
            <w:gridSpan w:val="3"/>
            <w:tcBorders>
              <w:top w:val="single" w:sz="8" w:space="0" w:color="000000"/>
              <w:left w:val="nil"/>
              <w:bottom w:val="nil"/>
              <w:right w:val="nil"/>
            </w:tcBorders>
            <w:shd w:val="clear" w:color="auto" w:fill="CCEEFF"/>
            <w:tcMar>
              <w:top w:w="0" w:type="dxa"/>
              <w:left w:w="53" w:type="dxa"/>
              <w:bottom w:w="0" w:type="dxa"/>
              <w:right w:w="15" w:type="dxa"/>
            </w:tcMar>
            <w:vAlign w:val="bottom"/>
          </w:tcPr>
          <w:p w14:paraId="6C9125D7" w14:textId="77777777" w:rsidR="00CE153D" w:rsidRDefault="00CE153D">
            <w:pPr>
              <w:keepNext/>
              <w:spacing w:before="33" w:after="30" w:line="200" w:lineRule="auto"/>
              <w:jc w:val="right"/>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176587E4" w14:textId="77777777" w:rsidR="00CE153D" w:rsidRDefault="00CE153D">
            <w:pPr>
              <w:keepNext/>
              <w:spacing w:before="53" w:after="30" w:line="200" w:lineRule="auto"/>
              <w:jc w:val="right"/>
            </w:pPr>
          </w:p>
        </w:tc>
        <w:tc>
          <w:tcPr>
            <w:tcW w:w="1500" w:type="dxa"/>
            <w:gridSpan w:val="3"/>
            <w:tcBorders>
              <w:top w:val="single" w:sz="8" w:space="0" w:color="000000"/>
              <w:left w:val="nil"/>
              <w:bottom w:val="nil"/>
              <w:right w:val="nil"/>
            </w:tcBorders>
            <w:shd w:val="clear" w:color="auto" w:fill="CCEEFF"/>
            <w:tcMar>
              <w:top w:w="0" w:type="dxa"/>
              <w:left w:w="53" w:type="dxa"/>
              <w:bottom w:w="0" w:type="dxa"/>
              <w:right w:w="15" w:type="dxa"/>
            </w:tcMar>
            <w:vAlign w:val="bottom"/>
          </w:tcPr>
          <w:p w14:paraId="2D1B0720" w14:textId="77777777" w:rsidR="00CE153D" w:rsidRDefault="00CE153D">
            <w:pPr>
              <w:keepNext/>
              <w:spacing w:before="33" w:after="30" w:line="200" w:lineRule="auto"/>
              <w:jc w:val="right"/>
            </w:pPr>
          </w:p>
        </w:tc>
      </w:tr>
      <w:tr w:rsidR="00CE153D" w14:paraId="2A73DD42"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26DEF19A" w14:textId="77777777" w:rsidR="00CE153D" w:rsidRDefault="008A7CB9">
            <w:pPr>
              <w:keepNext/>
              <w:spacing w:before="53" w:after="30" w:line="200" w:lineRule="auto"/>
            </w:pPr>
            <w:r>
              <w:rPr>
                <w:color w:val="000000"/>
                <w:sz w:val="20"/>
              </w:rPr>
              <w:t>Notes payable</w:t>
            </w:r>
          </w:p>
        </w:tc>
        <w:tc>
          <w:tcPr>
            <w:tcW w:w="1400" w:type="dxa"/>
            <w:gridSpan w:val="2"/>
            <w:tcBorders>
              <w:top w:val="nil"/>
              <w:left w:val="nil"/>
              <w:bottom w:val="nil"/>
              <w:right w:val="nil"/>
            </w:tcBorders>
            <w:tcMar>
              <w:top w:w="0" w:type="dxa"/>
              <w:left w:w="53" w:type="dxa"/>
              <w:bottom w:w="0" w:type="dxa"/>
              <w:right w:w="0" w:type="dxa"/>
            </w:tcMar>
            <w:vAlign w:val="bottom"/>
          </w:tcPr>
          <w:p w14:paraId="51E76AD3"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35FA09BD"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54547B2A" w14:textId="77777777" w:rsidR="00CE153D" w:rsidRDefault="00CE153D">
            <w:pPr>
              <w:keepNext/>
              <w:spacing w:before="53" w:after="30" w:line="200" w:lineRule="auto"/>
              <w:jc w:val="right"/>
            </w:pPr>
          </w:p>
        </w:tc>
        <w:tc>
          <w:tcPr>
            <w:tcW w:w="1400" w:type="dxa"/>
            <w:gridSpan w:val="2"/>
            <w:tcBorders>
              <w:top w:val="nil"/>
              <w:left w:val="nil"/>
              <w:bottom w:val="nil"/>
              <w:right w:val="nil"/>
            </w:tcBorders>
            <w:tcMar>
              <w:top w:w="0" w:type="dxa"/>
              <w:left w:w="53" w:type="dxa"/>
              <w:bottom w:w="0" w:type="dxa"/>
              <w:right w:w="0" w:type="dxa"/>
            </w:tcMar>
            <w:vAlign w:val="bottom"/>
          </w:tcPr>
          <w:p w14:paraId="4805DC7D" w14:textId="77777777" w:rsidR="00CE153D" w:rsidRDefault="008A7CB9">
            <w:pPr>
              <w:keepNext/>
              <w:spacing w:before="53" w:after="30" w:line="200" w:lineRule="auto"/>
              <w:jc w:val="right"/>
            </w:pPr>
            <w:r>
              <w:rPr>
                <w:color w:val="000000"/>
                <w:sz w:val="20"/>
              </w:rPr>
              <w:t>18,975 </w:t>
            </w:r>
          </w:p>
        </w:tc>
        <w:tc>
          <w:tcPr>
            <w:tcW w:w="100" w:type="dxa"/>
            <w:tcBorders>
              <w:top w:val="nil"/>
              <w:left w:val="nil"/>
              <w:bottom w:val="nil"/>
              <w:right w:val="nil"/>
            </w:tcBorders>
            <w:tcMar>
              <w:top w:w="0" w:type="dxa"/>
              <w:left w:w="0" w:type="dxa"/>
              <w:bottom w:w="0" w:type="dxa"/>
              <w:right w:w="15" w:type="dxa"/>
            </w:tcMar>
            <w:vAlign w:val="bottom"/>
          </w:tcPr>
          <w:p w14:paraId="23E88645" w14:textId="77777777" w:rsidR="00CE153D" w:rsidRDefault="00CE153D">
            <w:pPr>
              <w:keepNext/>
              <w:spacing w:before="53" w:after="30" w:line="200" w:lineRule="auto"/>
            </w:pPr>
          </w:p>
        </w:tc>
      </w:tr>
      <w:tr w:rsidR="00CE153D" w14:paraId="4199FE58"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39FBFECD" w14:textId="77777777" w:rsidR="00CE153D" w:rsidRDefault="008A7CB9">
            <w:pPr>
              <w:keepNext/>
              <w:spacing w:before="53" w:after="30" w:line="200" w:lineRule="auto"/>
            </w:pPr>
            <w:r>
              <w:rPr>
                <w:color w:val="000000"/>
                <w:sz w:val="20"/>
              </w:rPr>
              <w:t>Warrant liability</w:t>
            </w: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136ABF70" w14:textId="77777777" w:rsidR="00CE153D" w:rsidRDefault="008A7CB9">
            <w:pPr>
              <w:keepNext/>
              <w:spacing w:before="53" w:after="30" w:line="200" w:lineRule="auto"/>
              <w:jc w:val="right"/>
            </w:pPr>
            <w:r>
              <w:rPr>
                <w:color w:val="000000"/>
                <w:sz w:val="20"/>
              </w:rPr>
              <w:t>365 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13EF1AD"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66CA1FFC" w14:textId="77777777" w:rsidR="00CE153D" w:rsidRDefault="00CE153D">
            <w:pPr>
              <w:keepNext/>
              <w:spacing w:before="53" w:after="30" w:line="200" w:lineRule="auto"/>
              <w:jc w:val="right"/>
            </w:pPr>
          </w:p>
        </w:tc>
        <w:tc>
          <w:tcPr>
            <w:tcW w:w="1400" w:type="dxa"/>
            <w:gridSpan w:val="2"/>
            <w:tcBorders>
              <w:top w:val="nil"/>
              <w:left w:val="nil"/>
              <w:bottom w:val="nil"/>
              <w:right w:val="nil"/>
            </w:tcBorders>
            <w:shd w:val="clear" w:color="auto" w:fill="CCEEFF"/>
            <w:tcMar>
              <w:top w:w="0" w:type="dxa"/>
              <w:left w:w="53" w:type="dxa"/>
              <w:bottom w:w="0" w:type="dxa"/>
              <w:right w:w="0" w:type="dxa"/>
            </w:tcMar>
            <w:vAlign w:val="bottom"/>
          </w:tcPr>
          <w:p w14:paraId="7339F1D8" w14:textId="77777777" w:rsidR="00CE153D" w:rsidRDefault="008A7CB9">
            <w:pPr>
              <w:keepNext/>
              <w:spacing w:before="53" w:after="30" w:line="200" w:lineRule="auto"/>
              <w:jc w:val="right"/>
            </w:pPr>
            <w:r>
              <w:rPr>
                <w:color w:val="000000"/>
                <w:sz w:val="20"/>
              </w:rPr>
              <w:t>5,444 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FFD4F9" w14:textId="77777777" w:rsidR="00CE153D" w:rsidRDefault="00CE153D">
            <w:pPr>
              <w:keepNext/>
              <w:spacing w:before="53" w:after="30" w:line="200" w:lineRule="auto"/>
            </w:pPr>
          </w:p>
        </w:tc>
      </w:tr>
      <w:tr w:rsidR="00CE153D" w14:paraId="2B57AA09"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4BBF3E0D" w14:textId="77777777" w:rsidR="00CE153D" w:rsidRDefault="008A7CB9">
            <w:pPr>
              <w:keepNext/>
              <w:spacing w:before="53" w:after="30" w:line="200" w:lineRule="auto"/>
            </w:pPr>
            <w:r>
              <w:rPr>
                <w:color w:val="000000"/>
                <w:sz w:val="20"/>
              </w:rPr>
              <w:t>Other non-current liabilities</w:t>
            </w:r>
          </w:p>
        </w:tc>
        <w:tc>
          <w:tcPr>
            <w:tcW w:w="1400" w:type="dxa"/>
            <w:gridSpan w:val="2"/>
            <w:tcBorders>
              <w:top w:val="nil"/>
              <w:left w:val="nil"/>
              <w:bottom w:val="single" w:sz="8" w:space="0" w:color="000000"/>
              <w:right w:val="nil"/>
            </w:tcBorders>
            <w:tcMar>
              <w:top w:w="0" w:type="dxa"/>
              <w:left w:w="53" w:type="dxa"/>
              <w:bottom w:w="0" w:type="dxa"/>
              <w:right w:w="0" w:type="dxa"/>
            </w:tcMar>
            <w:vAlign w:val="bottom"/>
          </w:tcPr>
          <w:p w14:paraId="02BC4886" w14:textId="77777777" w:rsidR="00CE153D" w:rsidRDefault="008A7CB9">
            <w:pPr>
              <w:keepNext/>
              <w:spacing w:before="53" w:after="30" w:line="200" w:lineRule="auto"/>
              <w:jc w:val="right"/>
            </w:pPr>
            <w:r>
              <w:rPr>
                <w:color w:val="000000"/>
                <w:sz w:val="20"/>
              </w:rPr>
              <w:t>4,205 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C370151" w14:textId="77777777" w:rsidR="00CE153D" w:rsidRDefault="00CE153D">
            <w:pPr>
              <w:keepNext/>
              <w:spacing w:before="5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353A4297" w14:textId="77777777" w:rsidR="00CE153D" w:rsidRDefault="00CE153D">
            <w:pPr>
              <w:keepNext/>
              <w:spacing w:before="53" w:after="30" w:line="200" w:lineRule="auto"/>
              <w:jc w:val="right"/>
            </w:pPr>
          </w:p>
        </w:tc>
        <w:tc>
          <w:tcPr>
            <w:tcW w:w="1400" w:type="dxa"/>
            <w:gridSpan w:val="2"/>
            <w:tcBorders>
              <w:top w:val="nil"/>
              <w:left w:val="nil"/>
              <w:bottom w:val="single" w:sz="8" w:space="0" w:color="000000"/>
              <w:right w:val="nil"/>
            </w:tcBorders>
            <w:tcMar>
              <w:top w:w="0" w:type="dxa"/>
              <w:left w:w="53" w:type="dxa"/>
              <w:bottom w:w="0" w:type="dxa"/>
              <w:right w:w="0" w:type="dxa"/>
            </w:tcMar>
            <w:vAlign w:val="bottom"/>
          </w:tcPr>
          <w:p w14:paraId="1719743D" w14:textId="77777777" w:rsidR="00CE153D" w:rsidRDefault="008A7CB9">
            <w:pPr>
              <w:keepNext/>
              <w:spacing w:before="53" w:after="30" w:line="200" w:lineRule="auto"/>
              <w:jc w:val="right"/>
            </w:pPr>
            <w:r>
              <w:rPr>
                <w:color w:val="000000"/>
                <w:sz w:val="20"/>
              </w:rPr>
              <w:t>833 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468D0723" w14:textId="77777777" w:rsidR="00CE153D" w:rsidRDefault="00CE153D">
            <w:pPr>
              <w:keepNext/>
              <w:spacing w:before="53" w:after="30" w:line="200" w:lineRule="auto"/>
            </w:pPr>
          </w:p>
        </w:tc>
      </w:tr>
      <w:tr w:rsidR="00CE153D" w14:paraId="57DAF7D3"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5D22F508" w14:textId="77777777" w:rsidR="00CE153D" w:rsidRDefault="008A7CB9">
            <w:pPr>
              <w:keepNext/>
              <w:spacing w:before="53" w:after="30" w:line="200" w:lineRule="auto"/>
            </w:pPr>
            <w:r>
              <w:rPr>
                <w:color w:val="000000"/>
                <w:sz w:val="20"/>
              </w:rPr>
              <w:t>Total long-term liabilities</w:t>
            </w:r>
          </w:p>
        </w:tc>
        <w:tc>
          <w:tcPr>
            <w:tcW w:w="14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211F24FA" w14:textId="77777777" w:rsidR="00CE153D" w:rsidRDefault="008A7CB9">
            <w:pPr>
              <w:keepNext/>
              <w:spacing w:before="33" w:after="30" w:line="200" w:lineRule="auto"/>
              <w:jc w:val="right"/>
            </w:pPr>
            <w:r>
              <w:rPr>
                <w:color w:val="000000"/>
                <w:sz w:val="20"/>
              </w:rPr>
              <w:t>4,570 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2DA41F8" w14:textId="77777777" w:rsidR="00CE153D" w:rsidRDefault="00CE153D">
            <w:pPr>
              <w:keepNext/>
              <w:spacing w:before="3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4A2194F2" w14:textId="77777777" w:rsidR="00CE153D" w:rsidRDefault="00CE153D">
            <w:pPr>
              <w:keepNext/>
              <w:spacing w:before="53" w:after="30" w:line="200" w:lineRule="auto"/>
              <w:jc w:val="right"/>
            </w:pPr>
          </w:p>
        </w:tc>
        <w:tc>
          <w:tcPr>
            <w:tcW w:w="140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055BD731" w14:textId="77777777" w:rsidR="00CE153D" w:rsidRDefault="008A7CB9">
            <w:pPr>
              <w:keepNext/>
              <w:spacing w:before="33" w:after="30" w:line="200" w:lineRule="auto"/>
              <w:jc w:val="right"/>
            </w:pPr>
            <w:r>
              <w:rPr>
                <w:color w:val="000000"/>
                <w:sz w:val="20"/>
              </w:rPr>
              <w:t>25,252 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F5B2D05" w14:textId="77777777" w:rsidR="00CE153D" w:rsidRDefault="00CE153D">
            <w:pPr>
              <w:keepNext/>
              <w:spacing w:before="33" w:after="30" w:line="200" w:lineRule="auto"/>
            </w:pPr>
          </w:p>
        </w:tc>
      </w:tr>
      <w:tr w:rsidR="00CE153D" w14:paraId="55728550"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06623FC9" w14:textId="77777777" w:rsidR="00CE153D" w:rsidRDefault="008A7CB9">
            <w:pPr>
              <w:keepNext/>
              <w:spacing w:before="53" w:after="30" w:line="200" w:lineRule="auto"/>
            </w:pPr>
            <w:r>
              <w:rPr>
                <w:b/>
                <w:color w:val="000000"/>
                <w:sz w:val="20"/>
              </w:rPr>
              <w:t>TOTAL LIABILITIES</w:t>
            </w:r>
          </w:p>
        </w:tc>
        <w:tc>
          <w:tcPr>
            <w:tcW w:w="1400" w:type="dxa"/>
            <w:gridSpan w:val="2"/>
            <w:tcBorders>
              <w:top w:val="single" w:sz="8" w:space="0" w:color="000000"/>
              <w:left w:val="nil"/>
              <w:bottom w:val="nil"/>
              <w:right w:val="nil"/>
            </w:tcBorders>
            <w:tcMar>
              <w:top w:w="0" w:type="dxa"/>
              <w:left w:w="53" w:type="dxa"/>
              <w:bottom w:w="0" w:type="dxa"/>
              <w:right w:w="0" w:type="dxa"/>
            </w:tcMar>
            <w:vAlign w:val="bottom"/>
          </w:tcPr>
          <w:p w14:paraId="0235A53D" w14:textId="77777777" w:rsidR="00CE153D" w:rsidRDefault="008A7CB9">
            <w:pPr>
              <w:keepNext/>
              <w:spacing w:before="33" w:after="30" w:line="200" w:lineRule="auto"/>
              <w:jc w:val="right"/>
            </w:pPr>
            <w:r>
              <w:rPr>
                <w:color w:val="000000"/>
                <w:sz w:val="20"/>
              </w:rPr>
              <w:t>40,927 </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5F10D6DF" w14:textId="77777777" w:rsidR="00CE153D" w:rsidRDefault="00CE153D">
            <w:pPr>
              <w:keepNext/>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24100E52" w14:textId="77777777" w:rsidR="00CE153D" w:rsidRDefault="00CE153D">
            <w:pPr>
              <w:keepNext/>
              <w:spacing w:before="53" w:after="30" w:line="200" w:lineRule="auto"/>
              <w:jc w:val="right"/>
            </w:pPr>
          </w:p>
        </w:tc>
        <w:tc>
          <w:tcPr>
            <w:tcW w:w="1400" w:type="dxa"/>
            <w:gridSpan w:val="2"/>
            <w:tcBorders>
              <w:top w:val="single" w:sz="8" w:space="0" w:color="000000"/>
              <w:left w:val="nil"/>
              <w:bottom w:val="nil"/>
              <w:right w:val="nil"/>
            </w:tcBorders>
            <w:tcMar>
              <w:top w:w="0" w:type="dxa"/>
              <w:left w:w="53" w:type="dxa"/>
              <w:bottom w:w="0" w:type="dxa"/>
              <w:right w:w="0" w:type="dxa"/>
            </w:tcMar>
            <w:vAlign w:val="bottom"/>
          </w:tcPr>
          <w:p w14:paraId="17021A16" w14:textId="77777777" w:rsidR="00CE153D" w:rsidRDefault="008A7CB9">
            <w:pPr>
              <w:keepNext/>
              <w:spacing w:before="33" w:after="30" w:line="200" w:lineRule="auto"/>
              <w:jc w:val="right"/>
            </w:pPr>
            <w:r>
              <w:rPr>
                <w:color w:val="000000"/>
                <w:sz w:val="20"/>
              </w:rPr>
              <w:t>57,880 </w:t>
            </w:r>
          </w:p>
        </w:tc>
        <w:tc>
          <w:tcPr>
            <w:tcW w:w="100" w:type="dxa"/>
            <w:tcBorders>
              <w:top w:val="single" w:sz="8" w:space="0" w:color="000000"/>
              <w:left w:val="nil"/>
              <w:bottom w:val="nil"/>
              <w:right w:val="nil"/>
            </w:tcBorders>
            <w:tcMar>
              <w:top w:w="0" w:type="dxa"/>
              <w:left w:w="0" w:type="dxa"/>
              <w:bottom w:w="0" w:type="dxa"/>
              <w:right w:w="15" w:type="dxa"/>
            </w:tcMar>
            <w:vAlign w:val="bottom"/>
          </w:tcPr>
          <w:p w14:paraId="46AF7D9B" w14:textId="77777777" w:rsidR="00CE153D" w:rsidRDefault="00CE153D">
            <w:pPr>
              <w:keepNext/>
              <w:spacing w:before="33" w:after="30" w:line="200" w:lineRule="auto"/>
            </w:pPr>
          </w:p>
        </w:tc>
      </w:tr>
      <w:tr w:rsidR="00CE153D" w14:paraId="4F9FCC24" w14:textId="77777777">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14:paraId="25713E62" w14:textId="77777777" w:rsidR="00CE153D" w:rsidRDefault="008A7CB9">
            <w:pPr>
              <w:keepNext/>
              <w:spacing w:before="53" w:after="30" w:line="200" w:lineRule="auto"/>
            </w:pPr>
            <w:r>
              <w:rPr>
                <w:color w:val="000000"/>
                <w:sz w:val="20"/>
              </w:rPr>
              <w:t>Total stockholders' equity</w:t>
            </w:r>
          </w:p>
        </w:tc>
        <w:tc>
          <w:tcPr>
            <w:tcW w:w="14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0472F3CC" w14:textId="77777777" w:rsidR="00CE153D" w:rsidRDefault="008A7CB9">
            <w:pPr>
              <w:keepNext/>
              <w:spacing w:before="53" w:after="30" w:line="200" w:lineRule="auto"/>
              <w:jc w:val="right"/>
            </w:pPr>
            <w:r>
              <w:rPr>
                <w:color w:val="000000"/>
                <w:sz w:val="20"/>
              </w:rPr>
              <w:t>86,729 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8FF8372" w14:textId="77777777" w:rsidR="00CE153D" w:rsidRDefault="00CE153D">
            <w:pPr>
              <w:keepNext/>
              <w:spacing w:before="53" w:after="30" w:line="200" w:lineRule="auto"/>
            </w:pPr>
          </w:p>
        </w:tc>
        <w:tc>
          <w:tcPr>
            <w:tcW w:w="225" w:type="dxa"/>
            <w:tcBorders>
              <w:top w:val="nil"/>
              <w:left w:val="nil"/>
              <w:bottom w:val="nil"/>
              <w:right w:val="nil"/>
            </w:tcBorders>
            <w:shd w:val="clear" w:color="auto" w:fill="CCEEFF"/>
            <w:tcMar>
              <w:top w:w="0" w:type="dxa"/>
              <w:left w:w="53" w:type="dxa"/>
              <w:bottom w:w="0" w:type="dxa"/>
              <w:right w:w="53" w:type="dxa"/>
            </w:tcMar>
            <w:vAlign w:val="bottom"/>
          </w:tcPr>
          <w:p w14:paraId="0D6277F2" w14:textId="77777777" w:rsidR="00CE153D" w:rsidRDefault="00CE153D">
            <w:pPr>
              <w:keepNext/>
              <w:spacing w:before="53" w:after="30" w:line="200" w:lineRule="auto"/>
              <w:jc w:val="right"/>
            </w:pPr>
          </w:p>
        </w:tc>
        <w:tc>
          <w:tcPr>
            <w:tcW w:w="1400" w:type="dxa"/>
            <w:gridSpan w:val="2"/>
            <w:tcBorders>
              <w:top w:val="nil"/>
              <w:left w:val="nil"/>
              <w:bottom w:val="single" w:sz="8" w:space="0" w:color="000000"/>
              <w:right w:val="nil"/>
            </w:tcBorders>
            <w:shd w:val="clear" w:color="auto" w:fill="CCEEFF"/>
            <w:tcMar>
              <w:top w:w="0" w:type="dxa"/>
              <w:left w:w="53" w:type="dxa"/>
              <w:bottom w:w="0" w:type="dxa"/>
              <w:right w:w="0" w:type="dxa"/>
            </w:tcMar>
            <w:vAlign w:val="bottom"/>
          </w:tcPr>
          <w:p w14:paraId="15A035FD" w14:textId="77777777" w:rsidR="00CE153D" w:rsidRDefault="008A7CB9">
            <w:pPr>
              <w:keepNext/>
              <w:spacing w:before="53" w:after="30" w:line="200" w:lineRule="auto"/>
              <w:jc w:val="right"/>
            </w:pPr>
            <w:r>
              <w:rPr>
                <w:color w:val="000000"/>
                <w:sz w:val="20"/>
              </w:rPr>
              <w:t>101,354 </w:t>
            </w:r>
          </w:p>
        </w:tc>
        <w:tc>
          <w:tcPr>
            <w:tcW w:w="1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43F1CB" w14:textId="77777777" w:rsidR="00CE153D" w:rsidRDefault="00CE153D">
            <w:pPr>
              <w:keepNext/>
              <w:spacing w:before="53" w:after="30" w:line="200" w:lineRule="auto"/>
            </w:pPr>
          </w:p>
        </w:tc>
      </w:tr>
      <w:tr w:rsidR="00CE153D" w14:paraId="4B4C8708" w14:textId="77777777">
        <w:trPr>
          <w:cantSplit/>
          <w:trHeight w:hRule="exact" w:val="285"/>
        </w:trPr>
        <w:tc>
          <w:tcPr>
            <w:tcW w:w="7575" w:type="dxa"/>
            <w:tcBorders>
              <w:top w:val="nil"/>
              <w:left w:val="nil"/>
              <w:bottom w:val="nil"/>
              <w:right w:val="nil"/>
            </w:tcBorders>
            <w:tcMar>
              <w:top w:w="0" w:type="dxa"/>
              <w:left w:w="53" w:type="dxa"/>
              <w:bottom w:w="0" w:type="dxa"/>
              <w:right w:w="53" w:type="dxa"/>
            </w:tcMar>
            <w:vAlign w:val="bottom"/>
          </w:tcPr>
          <w:p w14:paraId="40676149" w14:textId="77777777" w:rsidR="00CE153D" w:rsidRDefault="008A7CB9">
            <w:pPr>
              <w:spacing w:before="53" w:after="30" w:line="200" w:lineRule="auto"/>
            </w:pPr>
            <w:r>
              <w:rPr>
                <w:b/>
                <w:color w:val="000000"/>
                <w:sz w:val="20"/>
              </w:rPr>
              <w:t>TOTAL LIABILITIES AND STOCKHOLDERS’ EQUITY</w:t>
            </w: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590C100D" w14:textId="77777777" w:rsidR="00CE153D" w:rsidRDefault="008A7CB9">
            <w:pPr>
              <w:spacing w:before="33" w:after="30" w:line="200" w:lineRule="auto"/>
            </w:pPr>
            <w:r>
              <w:rPr>
                <w:b/>
                <w:color w:val="000000"/>
                <w:sz w:val="20"/>
              </w:rPr>
              <w:t>$</w:t>
            </w:r>
          </w:p>
        </w:tc>
        <w:tc>
          <w:tcPr>
            <w:tcW w:w="1240" w:type="dxa"/>
            <w:tcBorders>
              <w:top w:val="single" w:sz="8" w:space="0" w:color="000000"/>
              <w:left w:val="nil"/>
              <w:bottom w:val="double" w:sz="8" w:space="0" w:color="000000"/>
              <w:right w:val="nil"/>
            </w:tcBorders>
            <w:tcMar>
              <w:top w:w="0" w:type="dxa"/>
              <w:left w:w="0" w:type="dxa"/>
              <w:bottom w:w="0" w:type="dxa"/>
              <w:right w:w="0" w:type="dxa"/>
            </w:tcMar>
            <w:vAlign w:val="bottom"/>
          </w:tcPr>
          <w:p w14:paraId="3ED09718" w14:textId="77777777" w:rsidR="00CE153D" w:rsidRDefault="008A7CB9">
            <w:pPr>
              <w:spacing w:before="33" w:after="30" w:line="200" w:lineRule="auto"/>
              <w:jc w:val="right"/>
            </w:pPr>
            <w:r>
              <w:rPr>
                <w:b/>
                <w:color w:val="000000"/>
                <w:sz w:val="20"/>
              </w:rPr>
              <w:t>127,656 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63413B6C" w14:textId="77777777" w:rsidR="00CE153D" w:rsidRDefault="00CE153D">
            <w:pPr>
              <w:spacing w:before="33" w:after="30" w:line="200" w:lineRule="auto"/>
            </w:pPr>
          </w:p>
        </w:tc>
        <w:tc>
          <w:tcPr>
            <w:tcW w:w="225" w:type="dxa"/>
            <w:tcBorders>
              <w:top w:val="nil"/>
              <w:left w:val="nil"/>
              <w:bottom w:val="nil"/>
              <w:right w:val="nil"/>
            </w:tcBorders>
            <w:tcMar>
              <w:top w:w="0" w:type="dxa"/>
              <w:left w:w="53" w:type="dxa"/>
              <w:bottom w:w="0" w:type="dxa"/>
              <w:right w:w="53" w:type="dxa"/>
            </w:tcMar>
            <w:vAlign w:val="bottom"/>
          </w:tcPr>
          <w:p w14:paraId="589197EB" w14:textId="77777777" w:rsidR="00CE153D" w:rsidRDefault="00CE153D">
            <w:pPr>
              <w:spacing w:before="53" w:after="30" w:line="200" w:lineRule="auto"/>
              <w:jc w:val="right"/>
            </w:pPr>
          </w:p>
        </w:tc>
        <w:tc>
          <w:tcPr>
            <w:tcW w:w="160" w:type="dxa"/>
            <w:tcBorders>
              <w:top w:val="single" w:sz="8" w:space="0" w:color="000000"/>
              <w:left w:val="nil"/>
              <w:bottom w:val="double" w:sz="8" w:space="0" w:color="000000"/>
              <w:right w:val="nil"/>
            </w:tcBorders>
            <w:tcMar>
              <w:top w:w="0" w:type="dxa"/>
              <w:left w:w="53" w:type="dxa"/>
              <w:bottom w:w="0" w:type="dxa"/>
              <w:right w:w="0" w:type="dxa"/>
            </w:tcMar>
            <w:vAlign w:val="bottom"/>
          </w:tcPr>
          <w:p w14:paraId="647DEB9C" w14:textId="77777777" w:rsidR="00CE153D" w:rsidRDefault="008A7CB9">
            <w:pPr>
              <w:spacing w:before="33" w:after="30" w:line="200" w:lineRule="auto"/>
            </w:pPr>
            <w:r>
              <w:rPr>
                <w:b/>
                <w:color w:val="000000"/>
                <w:sz w:val="20"/>
              </w:rPr>
              <w:t>$</w:t>
            </w:r>
          </w:p>
        </w:tc>
        <w:tc>
          <w:tcPr>
            <w:tcW w:w="1240" w:type="dxa"/>
            <w:tcBorders>
              <w:top w:val="single" w:sz="8" w:space="0" w:color="000000"/>
              <w:left w:val="nil"/>
              <w:bottom w:val="double" w:sz="8" w:space="0" w:color="000000"/>
              <w:right w:val="nil"/>
            </w:tcBorders>
            <w:tcMar>
              <w:top w:w="0" w:type="dxa"/>
              <w:left w:w="0" w:type="dxa"/>
              <w:bottom w:w="0" w:type="dxa"/>
              <w:right w:w="0" w:type="dxa"/>
            </w:tcMar>
            <w:vAlign w:val="bottom"/>
          </w:tcPr>
          <w:p w14:paraId="4DC4A653" w14:textId="77777777" w:rsidR="00CE153D" w:rsidRDefault="008A7CB9">
            <w:pPr>
              <w:spacing w:before="33" w:after="30" w:line="200" w:lineRule="auto"/>
              <w:jc w:val="right"/>
            </w:pPr>
            <w:r>
              <w:rPr>
                <w:b/>
                <w:color w:val="000000"/>
                <w:sz w:val="20"/>
              </w:rPr>
              <w:t>159,234 </w:t>
            </w:r>
          </w:p>
        </w:tc>
        <w:tc>
          <w:tcPr>
            <w:tcW w:w="1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0C2D9227" w14:textId="77777777" w:rsidR="00CE153D" w:rsidRDefault="00CE153D">
            <w:pPr>
              <w:spacing w:before="33" w:after="30" w:line="200" w:lineRule="auto"/>
            </w:pPr>
          </w:p>
        </w:tc>
      </w:tr>
    </w:tbl>
    <w:p w14:paraId="51E525D5" w14:textId="77777777" w:rsidR="00A77B3E" w:rsidRDefault="00A77B3E">
      <w:pPr>
        <w:spacing w:before="122" w:line="248" w:lineRule="auto"/>
        <w:jc w:val="center"/>
        <w:rPr>
          <w:rFonts w:ascii="Arial" w:eastAsia="Arial" w:hAnsi="Arial" w:cs="Arial"/>
          <w:sz w:val="18"/>
        </w:rPr>
      </w:pPr>
    </w:p>
    <w:p w14:paraId="5EE933BE" w14:textId="77777777" w:rsidR="00A77B3E" w:rsidRDefault="00A77B3E">
      <w:pPr>
        <w:spacing w:line="248" w:lineRule="auto"/>
        <w:jc w:val="center"/>
        <w:rPr>
          <w:rFonts w:ascii="Arial" w:eastAsia="Arial" w:hAnsi="Arial" w:cs="Arial"/>
          <w:sz w:val="22"/>
        </w:rPr>
      </w:pPr>
    </w:p>
    <w:p w14:paraId="3372F849" w14:textId="77777777" w:rsidR="00A77B3E" w:rsidRDefault="00A77B3E">
      <w:pPr>
        <w:spacing w:line="248" w:lineRule="auto"/>
        <w:jc w:val="center"/>
        <w:rPr>
          <w:rFonts w:ascii="Arial" w:eastAsia="Arial" w:hAnsi="Arial" w:cs="Arial"/>
          <w:sz w:val="22"/>
        </w:rPr>
      </w:pPr>
    </w:p>
    <w:p w14:paraId="5CABD073" w14:textId="77777777" w:rsidR="00A77B3E" w:rsidRDefault="00A77B3E">
      <w:pPr>
        <w:spacing w:line="248" w:lineRule="auto"/>
        <w:jc w:val="center"/>
        <w:rPr>
          <w:rFonts w:ascii="Arial" w:eastAsia="Arial" w:hAnsi="Arial" w:cs="Arial"/>
          <w:sz w:val="22"/>
        </w:rPr>
      </w:pPr>
    </w:p>
    <w:p w14:paraId="4668B401" w14:textId="77777777" w:rsidR="00A77B3E" w:rsidRDefault="00A77B3E">
      <w:pPr>
        <w:spacing w:line="248" w:lineRule="auto"/>
        <w:jc w:val="center"/>
        <w:rPr>
          <w:rFonts w:ascii="Arial" w:eastAsia="Arial" w:hAnsi="Arial" w:cs="Arial"/>
          <w:sz w:val="22"/>
        </w:rPr>
      </w:pPr>
    </w:p>
    <w:p w14:paraId="39CE573E" w14:textId="77777777" w:rsidR="00A77B3E" w:rsidRDefault="00A77B3E">
      <w:pPr>
        <w:spacing w:line="248" w:lineRule="auto"/>
        <w:jc w:val="center"/>
        <w:rPr>
          <w:rFonts w:ascii="Arial" w:eastAsia="Arial" w:hAnsi="Arial" w:cs="Arial"/>
          <w:sz w:val="22"/>
        </w:rPr>
      </w:pPr>
    </w:p>
    <w:p w14:paraId="3BF5A6F0" w14:textId="77777777" w:rsidR="00A77B3E" w:rsidRDefault="00A77B3E">
      <w:pPr>
        <w:spacing w:line="248" w:lineRule="auto"/>
        <w:jc w:val="center"/>
        <w:rPr>
          <w:rFonts w:ascii="Arial" w:eastAsia="Arial" w:hAnsi="Arial" w:cs="Arial"/>
          <w:sz w:val="22"/>
        </w:rPr>
      </w:pPr>
    </w:p>
    <w:p w14:paraId="5A120E9E" w14:textId="77777777" w:rsidR="00A77B3E" w:rsidRDefault="00A77B3E">
      <w:pPr>
        <w:spacing w:line="248" w:lineRule="auto"/>
        <w:jc w:val="center"/>
        <w:rPr>
          <w:rFonts w:ascii="Arial" w:eastAsia="Arial" w:hAnsi="Arial" w:cs="Arial"/>
          <w:sz w:val="22"/>
        </w:rPr>
      </w:pPr>
    </w:p>
    <w:p w14:paraId="01C79D8B" w14:textId="77777777" w:rsidR="00A77B3E" w:rsidRDefault="00A77B3E">
      <w:pPr>
        <w:spacing w:line="248" w:lineRule="auto"/>
        <w:jc w:val="center"/>
        <w:rPr>
          <w:rFonts w:ascii="Arial" w:eastAsia="Arial" w:hAnsi="Arial" w:cs="Arial"/>
          <w:sz w:val="22"/>
        </w:rPr>
      </w:pPr>
    </w:p>
    <w:p w14:paraId="61F37E50" w14:textId="77777777" w:rsidR="00A77B3E" w:rsidRDefault="00A77B3E">
      <w:pPr>
        <w:spacing w:line="248" w:lineRule="auto"/>
        <w:jc w:val="center"/>
        <w:rPr>
          <w:rFonts w:ascii="Arial" w:eastAsia="Arial" w:hAnsi="Arial" w:cs="Arial"/>
          <w:sz w:val="22"/>
        </w:rPr>
      </w:pPr>
    </w:p>
    <w:p w14:paraId="5541B255" w14:textId="77777777" w:rsidR="00A77B3E" w:rsidRDefault="00A77B3E">
      <w:pPr>
        <w:spacing w:line="248" w:lineRule="auto"/>
        <w:jc w:val="center"/>
        <w:rPr>
          <w:rFonts w:ascii="Arial" w:eastAsia="Arial" w:hAnsi="Arial" w:cs="Arial"/>
          <w:sz w:val="22"/>
        </w:rPr>
      </w:pPr>
    </w:p>
    <w:p w14:paraId="54634D9B" w14:textId="77777777" w:rsidR="00A77B3E" w:rsidRDefault="00A77B3E">
      <w:pPr>
        <w:spacing w:line="248" w:lineRule="auto"/>
        <w:jc w:val="center"/>
        <w:rPr>
          <w:rFonts w:ascii="Arial" w:eastAsia="Arial" w:hAnsi="Arial" w:cs="Arial"/>
          <w:sz w:val="22"/>
        </w:rPr>
      </w:pPr>
    </w:p>
    <w:p w14:paraId="00A50E47" w14:textId="77777777" w:rsidR="00A77B3E" w:rsidRDefault="00A77B3E">
      <w:pPr>
        <w:spacing w:line="248" w:lineRule="auto"/>
        <w:jc w:val="center"/>
        <w:rPr>
          <w:rFonts w:ascii="Arial" w:eastAsia="Arial" w:hAnsi="Arial" w:cs="Arial"/>
          <w:sz w:val="22"/>
        </w:rPr>
      </w:pPr>
    </w:p>
    <w:p w14:paraId="57215A89" w14:textId="77777777" w:rsidR="00A77B3E" w:rsidRDefault="00A77B3E">
      <w:pPr>
        <w:spacing w:line="248" w:lineRule="auto"/>
        <w:jc w:val="center"/>
        <w:rPr>
          <w:rFonts w:ascii="Arial" w:eastAsia="Arial" w:hAnsi="Arial" w:cs="Arial"/>
          <w:sz w:val="22"/>
        </w:rPr>
      </w:pPr>
    </w:p>
    <w:p w14:paraId="359B2212" w14:textId="77777777" w:rsidR="00A77B3E" w:rsidRDefault="00A77B3E">
      <w:pPr>
        <w:spacing w:line="248" w:lineRule="auto"/>
        <w:jc w:val="center"/>
        <w:rPr>
          <w:rFonts w:ascii="Arial" w:eastAsia="Arial" w:hAnsi="Arial" w:cs="Arial"/>
          <w:sz w:val="22"/>
        </w:rPr>
      </w:pPr>
    </w:p>
    <w:p w14:paraId="1B76EBDA" w14:textId="77777777" w:rsidR="00A77B3E" w:rsidRDefault="00A77B3E">
      <w:pPr>
        <w:spacing w:line="248" w:lineRule="auto"/>
        <w:jc w:val="center"/>
        <w:rPr>
          <w:rFonts w:ascii="Arial" w:eastAsia="Arial" w:hAnsi="Arial" w:cs="Arial"/>
          <w:sz w:val="22"/>
        </w:rPr>
      </w:pPr>
    </w:p>
    <w:p w14:paraId="3C42BF78" w14:textId="77777777" w:rsidR="00A77B3E" w:rsidRDefault="00A77B3E">
      <w:pPr>
        <w:spacing w:line="248" w:lineRule="auto"/>
        <w:jc w:val="center"/>
        <w:rPr>
          <w:rFonts w:ascii="Arial" w:eastAsia="Arial" w:hAnsi="Arial" w:cs="Arial"/>
          <w:sz w:val="22"/>
        </w:rPr>
      </w:pPr>
    </w:p>
    <w:p w14:paraId="67B83E0D" w14:textId="77777777" w:rsidR="00A77B3E" w:rsidRDefault="00A77B3E">
      <w:pPr>
        <w:spacing w:line="248" w:lineRule="auto"/>
        <w:jc w:val="center"/>
        <w:rPr>
          <w:rFonts w:ascii="Arial" w:eastAsia="Arial" w:hAnsi="Arial" w:cs="Arial"/>
          <w:sz w:val="22"/>
        </w:rPr>
      </w:pPr>
    </w:p>
    <w:p w14:paraId="2231624C" w14:textId="77777777" w:rsidR="00A77B3E" w:rsidRDefault="00A77B3E">
      <w:pPr>
        <w:spacing w:line="248" w:lineRule="auto"/>
        <w:jc w:val="center"/>
        <w:rPr>
          <w:rFonts w:ascii="Arial" w:eastAsia="Arial" w:hAnsi="Arial" w:cs="Arial"/>
          <w:sz w:val="22"/>
        </w:rPr>
      </w:pPr>
    </w:p>
    <w:p w14:paraId="5B94D4D3" w14:textId="77777777" w:rsidR="00A77B3E" w:rsidRDefault="00A77B3E">
      <w:pPr>
        <w:spacing w:line="248" w:lineRule="auto"/>
        <w:jc w:val="center"/>
        <w:rPr>
          <w:rFonts w:ascii="Arial" w:eastAsia="Arial" w:hAnsi="Arial" w:cs="Arial"/>
          <w:sz w:val="22"/>
        </w:rPr>
      </w:pPr>
    </w:p>
    <w:p w14:paraId="77B58CF9" w14:textId="77777777" w:rsidR="00A77B3E" w:rsidRDefault="00A77B3E">
      <w:pPr>
        <w:spacing w:line="248" w:lineRule="auto"/>
        <w:jc w:val="center"/>
        <w:rPr>
          <w:rFonts w:ascii="Arial" w:eastAsia="Arial" w:hAnsi="Arial" w:cs="Arial"/>
          <w:sz w:val="22"/>
        </w:rPr>
      </w:pPr>
    </w:p>
    <w:p w14:paraId="0AEE22FF" w14:textId="77777777" w:rsidR="00A77B3E" w:rsidRDefault="008A7CB9">
      <w:pPr>
        <w:spacing w:line="248" w:lineRule="auto"/>
        <w:jc w:val="center"/>
        <w:rPr>
          <w:rFonts w:ascii="Arial" w:eastAsia="Arial" w:hAnsi="Arial" w:cs="Arial"/>
          <w:sz w:val="18"/>
        </w:rPr>
      </w:pPr>
      <w:r>
        <w:rPr>
          <w:rFonts w:ascii="Arial" w:eastAsia="Arial" w:hAnsi="Arial" w:cs="Arial"/>
          <w:b/>
          <w:sz w:val="16"/>
        </w:rPr>
        <w:lastRenderedPageBreak/>
        <w:t>KUSHCO HOLDINGS, INC.</w:t>
      </w:r>
    </w:p>
    <w:p w14:paraId="6CC151E6" w14:textId="77777777" w:rsidR="00A77B3E" w:rsidRDefault="008A7CB9">
      <w:pPr>
        <w:spacing w:before="2" w:line="248" w:lineRule="auto"/>
        <w:jc w:val="center"/>
        <w:rPr>
          <w:rFonts w:ascii="Arial" w:eastAsia="Arial" w:hAnsi="Arial" w:cs="Arial"/>
          <w:sz w:val="18"/>
        </w:rPr>
      </w:pPr>
      <w:r>
        <w:rPr>
          <w:rFonts w:ascii="Arial" w:eastAsia="Arial" w:hAnsi="Arial" w:cs="Arial"/>
          <w:b/>
          <w:sz w:val="16"/>
        </w:rPr>
        <w:t>RECONCILIATION OF GAAP TO NON-GAAP FINANCIAL MEASURES</w:t>
      </w:r>
    </w:p>
    <w:p w14:paraId="4F6FC669" w14:textId="77777777" w:rsidR="00A77B3E" w:rsidRDefault="008A7CB9">
      <w:pPr>
        <w:spacing w:before="2" w:line="248" w:lineRule="auto"/>
        <w:jc w:val="center"/>
        <w:rPr>
          <w:rFonts w:ascii="Arial" w:eastAsia="Arial" w:hAnsi="Arial" w:cs="Arial"/>
          <w:sz w:val="18"/>
        </w:rPr>
      </w:pPr>
      <w:r>
        <w:rPr>
          <w:rFonts w:ascii="Arial" w:eastAsia="Arial" w:hAnsi="Arial" w:cs="Arial"/>
          <w:b/>
          <w:sz w:val="16"/>
        </w:rPr>
        <w:t>(In thousands, except per share amounts)</w:t>
      </w:r>
    </w:p>
    <w:p w14:paraId="0E1B8CAE" w14:textId="77777777" w:rsidR="00A77B3E" w:rsidRDefault="008A7CB9">
      <w:pPr>
        <w:spacing w:line="248" w:lineRule="auto"/>
        <w:jc w:val="center"/>
        <w:rPr>
          <w:rFonts w:ascii="Arial" w:eastAsia="Arial" w:hAnsi="Arial" w:cs="Arial"/>
          <w:sz w:val="22"/>
        </w:rPr>
      </w:pPr>
      <w:r>
        <w:rPr>
          <w:rFonts w:ascii="Arial" w:eastAsia="Arial" w:hAnsi="Arial" w:cs="Arial"/>
          <w:b/>
          <w:sz w:val="16"/>
        </w:rPr>
        <w:t>(Unaudited)</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163"/>
        <w:gridCol w:w="760"/>
        <w:gridCol w:w="102"/>
        <w:gridCol w:w="490"/>
        <w:gridCol w:w="163"/>
        <w:gridCol w:w="760"/>
        <w:gridCol w:w="102"/>
        <w:gridCol w:w="490"/>
        <w:gridCol w:w="163"/>
        <w:gridCol w:w="760"/>
        <w:gridCol w:w="102"/>
        <w:gridCol w:w="490"/>
        <w:gridCol w:w="163"/>
        <w:gridCol w:w="775"/>
        <w:gridCol w:w="102"/>
        <w:gridCol w:w="490"/>
      </w:tblGrid>
      <w:tr w:rsidR="00CE153D" w14:paraId="0F12BDC6" w14:textId="77777777">
        <w:trPr>
          <w:cantSplit/>
          <w:trHeight w:hRule="exact" w:val="525"/>
        </w:trPr>
        <w:tc>
          <w:tcPr>
            <w:tcW w:w="4845" w:type="dxa"/>
            <w:tcBorders>
              <w:top w:val="nil"/>
              <w:left w:val="nil"/>
              <w:bottom w:val="nil"/>
              <w:right w:val="nil"/>
            </w:tcBorders>
            <w:tcMar>
              <w:top w:w="0" w:type="dxa"/>
              <w:left w:w="53" w:type="dxa"/>
              <w:bottom w:w="0" w:type="dxa"/>
              <w:right w:w="53" w:type="dxa"/>
            </w:tcMar>
            <w:vAlign w:val="bottom"/>
          </w:tcPr>
          <w:p w14:paraId="51F09D37" w14:textId="77777777" w:rsidR="00CE153D" w:rsidRDefault="00CE153D">
            <w:pPr>
              <w:keepNext/>
              <w:spacing w:before="53" w:after="30" w:line="200" w:lineRule="auto"/>
              <w:jc w:val="center"/>
            </w:pPr>
          </w:p>
        </w:tc>
        <w:tc>
          <w:tcPr>
            <w:tcW w:w="2490" w:type="dxa"/>
            <w:gridSpan w:val="7"/>
            <w:tcBorders>
              <w:top w:val="nil"/>
              <w:left w:val="nil"/>
              <w:bottom w:val="single" w:sz="8" w:space="0" w:color="000000"/>
              <w:right w:val="nil"/>
            </w:tcBorders>
            <w:tcMar>
              <w:top w:w="0" w:type="dxa"/>
              <w:left w:w="53" w:type="dxa"/>
              <w:bottom w:w="0" w:type="dxa"/>
              <w:right w:w="53" w:type="dxa"/>
            </w:tcMar>
            <w:vAlign w:val="bottom"/>
          </w:tcPr>
          <w:p w14:paraId="16CC350E" w14:textId="77777777" w:rsidR="00CE153D" w:rsidRDefault="008A7CB9">
            <w:pPr>
              <w:keepNext/>
              <w:spacing w:before="53" w:after="30" w:line="200" w:lineRule="auto"/>
              <w:jc w:val="center"/>
            </w:pPr>
            <w:r>
              <w:rPr>
                <w:b/>
                <w:color w:val="000000"/>
                <w:sz w:val="20"/>
              </w:rPr>
              <w:t>Three Months Ended August 31,</w:t>
            </w:r>
          </w:p>
        </w:tc>
        <w:tc>
          <w:tcPr>
            <w:tcW w:w="480" w:type="dxa"/>
            <w:tcBorders>
              <w:top w:val="nil"/>
              <w:left w:val="nil"/>
              <w:bottom w:val="nil"/>
              <w:right w:val="nil"/>
            </w:tcBorders>
            <w:tcMar>
              <w:top w:w="0" w:type="dxa"/>
              <w:left w:w="53" w:type="dxa"/>
              <w:bottom w:w="0" w:type="dxa"/>
              <w:right w:w="53" w:type="dxa"/>
            </w:tcMar>
            <w:vAlign w:val="bottom"/>
          </w:tcPr>
          <w:p w14:paraId="331C070B" w14:textId="77777777" w:rsidR="00CE153D" w:rsidRDefault="00CE153D">
            <w:pPr>
              <w:keepNext/>
              <w:spacing w:before="53" w:after="30" w:line="200" w:lineRule="auto"/>
              <w:jc w:val="center"/>
            </w:pPr>
          </w:p>
        </w:tc>
        <w:tc>
          <w:tcPr>
            <w:tcW w:w="2505" w:type="dxa"/>
            <w:gridSpan w:val="7"/>
            <w:tcBorders>
              <w:top w:val="nil"/>
              <w:left w:val="nil"/>
              <w:bottom w:val="single" w:sz="8" w:space="0" w:color="000000"/>
              <w:right w:val="nil"/>
            </w:tcBorders>
            <w:tcMar>
              <w:top w:w="0" w:type="dxa"/>
              <w:left w:w="53" w:type="dxa"/>
              <w:bottom w:w="0" w:type="dxa"/>
              <w:right w:w="53" w:type="dxa"/>
            </w:tcMar>
            <w:vAlign w:val="bottom"/>
          </w:tcPr>
          <w:p w14:paraId="55470A3C" w14:textId="77777777" w:rsidR="00CE153D" w:rsidRDefault="008A7CB9">
            <w:pPr>
              <w:keepNext/>
              <w:spacing w:before="53" w:after="30" w:line="200" w:lineRule="auto"/>
              <w:jc w:val="center"/>
            </w:pPr>
            <w:r>
              <w:rPr>
                <w:b/>
                <w:color w:val="000000"/>
                <w:sz w:val="20"/>
              </w:rPr>
              <w:t>Year Ended August 31,</w:t>
            </w:r>
          </w:p>
        </w:tc>
        <w:tc>
          <w:tcPr>
            <w:tcW w:w="480" w:type="dxa"/>
            <w:tcBorders>
              <w:top w:val="nil"/>
              <w:left w:val="nil"/>
              <w:bottom w:val="nil"/>
              <w:right w:val="nil"/>
            </w:tcBorders>
            <w:tcMar>
              <w:top w:w="0" w:type="dxa"/>
              <w:left w:w="53" w:type="dxa"/>
              <w:bottom w:w="0" w:type="dxa"/>
              <w:right w:w="53" w:type="dxa"/>
            </w:tcMar>
            <w:vAlign w:val="bottom"/>
          </w:tcPr>
          <w:p w14:paraId="21608673" w14:textId="77777777" w:rsidR="00CE153D" w:rsidRDefault="00CE153D">
            <w:pPr>
              <w:keepNext/>
              <w:spacing w:before="53" w:after="30" w:line="200" w:lineRule="auto"/>
            </w:pPr>
          </w:p>
        </w:tc>
      </w:tr>
      <w:tr w:rsidR="00CE153D" w14:paraId="3FBF2561"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5D072028" w14:textId="77777777" w:rsidR="00CE153D" w:rsidRDefault="00CE153D">
            <w:pPr>
              <w:keepNext/>
              <w:spacing w:before="53" w:after="30" w:line="200" w:lineRule="auto"/>
              <w:jc w:val="center"/>
            </w:pPr>
          </w:p>
        </w:tc>
        <w:tc>
          <w:tcPr>
            <w:tcW w:w="1005" w:type="dxa"/>
            <w:gridSpan w:val="3"/>
            <w:tcBorders>
              <w:top w:val="nil"/>
              <w:left w:val="nil"/>
              <w:bottom w:val="single" w:sz="8" w:space="0" w:color="000000"/>
              <w:right w:val="nil"/>
            </w:tcBorders>
            <w:tcMar>
              <w:top w:w="0" w:type="dxa"/>
              <w:left w:w="53" w:type="dxa"/>
              <w:bottom w:w="0" w:type="dxa"/>
              <w:right w:w="53" w:type="dxa"/>
            </w:tcMar>
            <w:vAlign w:val="bottom"/>
          </w:tcPr>
          <w:p w14:paraId="75698674" w14:textId="77777777" w:rsidR="00CE153D" w:rsidRDefault="008A7CB9">
            <w:pPr>
              <w:keepNext/>
              <w:spacing w:before="33" w:after="30" w:line="200" w:lineRule="auto"/>
              <w:jc w:val="center"/>
            </w:pPr>
            <w:r>
              <w:rPr>
                <w:b/>
                <w:color w:val="000000"/>
                <w:sz w:val="20"/>
              </w:rPr>
              <w:t>2020</w:t>
            </w:r>
          </w:p>
        </w:tc>
        <w:tc>
          <w:tcPr>
            <w:tcW w:w="480" w:type="dxa"/>
            <w:tcBorders>
              <w:top w:val="single" w:sz="8" w:space="0" w:color="000000"/>
              <w:left w:val="nil"/>
              <w:bottom w:val="nil"/>
              <w:right w:val="nil"/>
            </w:tcBorders>
            <w:tcMar>
              <w:top w:w="0" w:type="dxa"/>
              <w:left w:w="53" w:type="dxa"/>
              <w:bottom w:w="0" w:type="dxa"/>
              <w:right w:w="53" w:type="dxa"/>
            </w:tcMar>
            <w:vAlign w:val="bottom"/>
          </w:tcPr>
          <w:p w14:paraId="6C580DDE" w14:textId="77777777" w:rsidR="00CE153D" w:rsidRDefault="00CE153D">
            <w:pPr>
              <w:keepNext/>
              <w:spacing w:before="33" w:after="30" w:line="200" w:lineRule="auto"/>
              <w:jc w:val="center"/>
            </w:pPr>
          </w:p>
        </w:tc>
        <w:tc>
          <w:tcPr>
            <w:tcW w:w="1005"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918F610" w14:textId="77777777" w:rsidR="00CE153D" w:rsidRDefault="008A7CB9">
            <w:pPr>
              <w:keepNext/>
              <w:spacing w:before="33" w:after="30" w:line="200" w:lineRule="auto"/>
              <w:jc w:val="center"/>
            </w:pPr>
            <w:r>
              <w:rPr>
                <w:b/>
                <w:color w:val="000000"/>
                <w:sz w:val="20"/>
              </w:rPr>
              <w:t>2019</w:t>
            </w:r>
          </w:p>
        </w:tc>
        <w:tc>
          <w:tcPr>
            <w:tcW w:w="480" w:type="dxa"/>
            <w:tcBorders>
              <w:top w:val="nil"/>
              <w:left w:val="nil"/>
              <w:bottom w:val="nil"/>
              <w:right w:val="nil"/>
            </w:tcBorders>
            <w:tcMar>
              <w:top w:w="0" w:type="dxa"/>
              <w:left w:w="53" w:type="dxa"/>
              <w:bottom w:w="0" w:type="dxa"/>
              <w:right w:w="53" w:type="dxa"/>
            </w:tcMar>
            <w:vAlign w:val="bottom"/>
          </w:tcPr>
          <w:p w14:paraId="1DA47365" w14:textId="77777777" w:rsidR="00CE153D" w:rsidRDefault="00CE153D">
            <w:pPr>
              <w:keepNext/>
              <w:spacing w:before="53" w:after="30" w:line="200" w:lineRule="auto"/>
              <w:jc w:val="center"/>
            </w:pPr>
          </w:p>
        </w:tc>
        <w:tc>
          <w:tcPr>
            <w:tcW w:w="1005" w:type="dxa"/>
            <w:gridSpan w:val="3"/>
            <w:tcBorders>
              <w:top w:val="nil"/>
              <w:left w:val="nil"/>
              <w:bottom w:val="single" w:sz="8" w:space="0" w:color="000000"/>
              <w:right w:val="nil"/>
            </w:tcBorders>
            <w:tcMar>
              <w:top w:w="0" w:type="dxa"/>
              <w:left w:w="53" w:type="dxa"/>
              <w:bottom w:w="0" w:type="dxa"/>
              <w:right w:w="53" w:type="dxa"/>
            </w:tcMar>
            <w:vAlign w:val="bottom"/>
          </w:tcPr>
          <w:p w14:paraId="48EBAA48" w14:textId="77777777" w:rsidR="00CE153D" w:rsidRDefault="008A7CB9">
            <w:pPr>
              <w:keepNext/>
              <w:spacing w:before="33" w:after="30" w:line="200" w:lineRule="auto"/>
              <w:jc w:val="center"/>
            </w:pPr>
            <w:r>
              <w:rPr>
                <w:b/>
                <w:color w:val="000000"/>
                <w:sz w:val="20"/>
              </w:rPr>
              <w:t>2020</w:t>
            </w:r>
          </w:p>
        </w:tc>
        <w:tc>
          <w:tcPr>
            <w:tcW w:w="480" w:type="dxa"/>
            <w:tcBorders>
              <w:top w:val="single" w:sz="8" w:space="0" w:color="000000"/>
              <w:left w:val="nil"/>
              <w:bottom w:val="nil"/>
              <w:right w:val="nil"/>
            </w:tcBorders>
            <w:tcMar>
              <w:top w:w="0" w:type="dxa"/>
              <w:left w:w="53" w:type="dxa"/>
              <w:bottom w:w="0" w:type="dxa"/>
              <w:right w:w="53" w:type="dxa"/>
            </w:tcMar>
            <w:vAlign w:val="bottom"/>
          </w:tcPr>
          <w:p w14:paraId="13F055AA" w14:textId="77777777" w:rsidR="00CE153D" w:rsidRDefault="00CE153D">
            <w:pPr>
              <w:keepNext/>
              <w:spacing w:before="33" w:after="30" w:line="200" w:lineRule="auto"/>
              <w:jc w:val="center"/>
            </w:pPr>
          </w:p>
        </w:tc>
        <w:tc>
          <w:tcPr>
            <w:tcW w:w="102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14:paraId="06131581" w14:textId="77777777" w:rsidR="00CE153D" w:rsidRDefault="008A7CB9">
            <w:pPr>
              <w:keepNext/>
              <w:spacing w:before="33" w:after="30" w:line="200" w:lineRule="auto"/>
              <w:jc w:val="center"/>
            </w:pPr>
            <w:r>
              <w:rPr>
                <w:b/>
                <w:color w:val="000000"/>
                <w:sz w:val="20"/>
              </w:rPr>
              <w:t>2019</w:t>
            </w:r>
          </w:p>
        </w:tc>
        <w:tc>
          <w:tcPr>
            <w:tcW w:w="480" w:type="dxa"/>
            <w:tcBorders>
              <w:top w:val="nil"/>
              <w:left w:val="nil"/>
              <w:bottom w:val="nil"/>
              <w:right w:val="nil"/>
            </w:tcBorders>
            <w:tcMar>
              <w:top w:w="0" w:type="dxa"/>
              <w:left w:w="53" w:type="dxa"/>
              <w:bottom w:w="0" w:type="dxa"/>
              <w:right w:w="53" w:type="dxa"/>
            </w:tcMar>
            <w:vAlign w:val="bottom"/>
          </w:tcPr>
          <w:p w14:paraId="252CB8ED" w14:textId="77777777" w:rsidR="00CE153D" w:rsidRDefault="00CE153D">
            <w:pPr>
              <w:keepNext/>
              <w:spacing w:before="53" w:after="30" w:line="200" w:lineRule="auto"/>
            </w:pPr>
          </w:p>
        </w:tc>
      </w:tr>
      <w:tr w:rsidR="00CE153D" w14:paraId="22BBBC73"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309C671" w14:textId="77777777" w:rsidR="00CE153D" w:rsidRDefault="008A7CB9">
            <w:pPr>
              <w:keepNext/>
              <w:spacing w:before="53" w:after="30" w:line="200" w:lineRule="auto"/>
            </w:pPr>
            <w:r>
              <w:rPr>
                <w:b/>
                <w:color w:val="000000"/>
                <w:sz w:val="20"/>
              </w:rPr>
              <w:t>Net revenue</w:t>
            </w: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90EAC79"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2FB8C7A" w14:textId="77777777" w:rsidR="00CE153D" w:rsidRDefault="008A7CB9">
            <w:pPr>
              <w:keepNext/>
              <w:spacing w:before="33" w:after="30" w:line="200" w:lineRule="auto"/>
              <w:jc w:val="right"/>
            </w:pPr>
            <w:r>
              <w:rPr>
                <w:b/>
                <w:color w:val="000000"/>
                <w:sz w:val="20"/>
              </w:rPr>
              <w:t>26,468 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748FB17"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65D561DE" w14:textId="77777777" w:rsidR="00CE153D" w:rsidRDefault="00CE153D">
            <w:pPr>
              <w:keepNext/>
              <w:spacing w:before="53" w:after="30" w:line="200" w:lineRule="auto"/>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6186A8C"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BC6217" w14:textId="77777777" w:rsidR="00CE153D" w:rsidRDefault="008A7CB9">
            <w:pPr>
              <w:keepNext/>
              <w:spacing w:before="33" w:after="30" w:line="200" w:lineRule="auto"/>
              <w:jc w:val="right"/>
            </w:pPr>
            <w:r>
              <w:rPr>
                <w:b/>
                <w:color w:val="000000"/>
                <w:sz w:val="20"/>
              </w:rPr>
              <w:t>46,972 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0BCF0B"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712A5CD" w14:textId="77777777" w:rsidR="00CE153D" w:rsidRDefault="00CE153D">
            <w:pPr>
              <w:keepNext/>
              <w:spacing w:before="53" w:after="30" w:line="200" w:lineRule="auto"/>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416F63EB"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58FBEB" w14:textId="77777777" w:rsidR="00CE153D" w:rsidRDefault="008A7CB9">
            <w:pPr>
              <w:keepNext/>
              <w:spacing w:before="33" w:after="30" w:line="200" w:lineRule="auto"/>
              <w:jc w:val="right"/>
            </w:pPr>
            <w:r>
              <w:rPr>
                <w:b/>
                <w:color w:val="000000"/>
                <w:sz w:val="20"/>
              </w:rPr>
              <w:t>113,837 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C56680"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0FA0734" w14:textId="77777777" w:rsidR="00CE153D" w:rsidRDefault="00CE153D">
            <w:pPr>
              <w:keepNext/>
              <w:spacing w:before="53" w:after="30" w:line="200" w:lineRule="auto"/>
            </w:pPr>
          </w:p>
        </w:tc>
        <w:tc>
          <w:tcPr>
            <w:tcW w:w="16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14:paraId="22F33367" w14:textId="77777777" w:rsidR="00CE153D" w:rsidRDefault="008A7CB9">
            <w:pPr>
              <w:keepNext/>
              <w:spacing w:before="33" w:after="30" w:line="200" w:lineRule="auto"/>
            </w:pPr>
            <w:r>
              <w:rPr>
                <w:b/>
                <w:color w:val="000000"/>
                <w:sz w:val="20"/>
              </w:rPr>
              <w:t>$</w:t>
            </w:r>
          </w:p>
        </w:tc>
        <w:tc>
          <w:tcPr>
            <w:tcW w:w="7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707C444" w14:textId="77777777" w:rsidR="00CE153D" w:rsidRDefault="008A7CB9">
            <w:pPr>
              <w:keepNext/>
              <w:spacing w:before="33" w:after="30" w:line="200" w:lineRule="auto"/>
              <w:jc w:val="right"/>
            </w:pPr>
            <w:r>
              <w:rPr>
                <w:b/>
                <w:color w:val="000000"/>
                <w:sz w:val="20"/>
              </w:rPr>
              <w:t>148,954 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015A58"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EF39C30" w14:textId="77777777" w:rsidR="00CE153D" w:rsidRDefault="00CE153D">
            <w:pPr>
              <w:keepNext/>
              <w:spacing w:before="53" w:after="30" w:line="200" w:lineRule="auto"/>
            </w:pPr>
          </w:p>
        </w:tc>
      </w:tr>
      <w:tr w:rsidR="00CE153D" w14:paraId="6D245FF1"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1739478B" w14:textId="77777777" w:rsidR="00CE153D" w:rsidRDefault="008A7CB9">
            <w:pPr>
              <w:keepNext/>
              <w:spacing w:before="53" w:after="30" w:line="200" w:lineRule="auto"/>
            </w:pPr>
            <w:r>
              <w:rPr>
                <w:color w:val="000000"/>
                <w:sz w:val="20"/>
              </w:rPr>
              <w:t>China tariff surcharge</w:t>
            </w: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0B7A6914" w14:textId="77777777" w:rsidR="00CE153D" w:rsidRDefault="008A7CB9">
            <w:pPr>
              <w:keepNext/>
              <w:spacing w:before="53" w:after="30" w:line="200" w:lineRule="auto"/>
              <w:jc w:val="right"/>
            </w:pPr>
            <w:r>
              <w:rPr>
                <w:color w:val="000000"/>
                <w:sz w:val="20"/>
              </w:rPr>
              <w:t>(2,444)</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21DE5FA"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000C8D21" w14:textId="77777777" w:rsidR="00CE153D" w:rsidRDefault="00CE153D">
            <w:pPr>
              <w:keepNext/>
              <w:spacing w:before="53" w:after="30" w:line="200" w:lineRule="auto"/>
              <w:jc w:val="center"/>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7C8ECE47"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D8C68D7"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5E9EC8B6" w14:textId="77777777" w:rsidR="00CE153D" w:rsidRDefault="00CE153D">
            <w:pPr>
              <w:keepNext/>
              <w:spacing w:before="53" w:after="30" w:line="200" w:lineRule="auto"/>
              <w:jc w:val="center"/>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0C86C856" w14:textId="77777777" w:rsidR="00CE153D" w:rsidRDefault="008A7CB9">
            <w:pPr>
              <w:keepNext/>
              <w:spacing w:before="53" w:after="30" w:line="200" w:lineRule="auto"/>
              <w:jc w:val="right"/>
            </w:pPr>
            <w:r>
              <w:rPr>
                <w:color w:val="000000"/>
                <w:sz w:val="20"/>
              </w:rPr>
              <w:t>(9,976)</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29C03308"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4D727EB1" w14:textId="77777777" w:rsidR="00CE153D" w:rsidRDefault="00CE153D">
            <w:pPr>
              <w:keepNext/>
              <w:spacing w:before="53" w:after="30" w:line="200" w:lineRule="auto"/>
              <w:jc w:val="center"/>
            </w:pPr>
          </w:p>
        </w:tc>
        <w:tc>
          <w:tcPr>
            <w:tcW w:w="920" w:type="dxa"/>
            <w:gridSpan w:val="2"/>
            <w:tcBorders>
              <w:top w:val="nil"/>
              <w:left w:val="nil"/>
              <w:bottom w:val="single" w:sz="8" w:space="0" w:color="000000"/>
              <w:right w:val="nil"/>
            </w:tcBorders>
            <w:tcMar>
              <w:top w:w="0" w:type="dxa"/>
              <w:left w:w="53" w:type="dxa"/>
              <w:bottom w:w="0" w:type="dxa"/>
              <w:right w:w="0" w:type="dxa"/>
            </w:tcMar>
            <w:vAlign w:val="bottom"/>
          </w:tcPr>
          <w:p w14:paraId="3C731C66"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27155590"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78804D5A" w14:textId="77777777" w:rsidR="00CE153D" w:rsidRDefault="00CE153D">
            <w:pPr>
              <w:keepNext/>
              <w:spacing w:before="53" w:after="30" w:line="200" w:lineRule="auto"/>
            </w:pPr>
          </w:p>
        </w:tc>
      </w:tr>
      <w:tr w:rsidR="00CE153D" w14:paraId="7621346E"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7819045" w14:textId="77777777" w:rsidR="00CE153D" w:rsidRDefault="008A7CB9">
            <w:pPr>
              <w:keepNext/>
              <w:spacing w:before="53" w:after="30" w:line="200" w:lineRule="auto"/>
            </w:pPr>
            <w:r>
              <w:rPr>
                <w:b/>
                <w:color w:val="000000"/>
                <w:sz w:val="20"/>
              </w:rPr>
              <w:t>Non-GAAP Net revenue</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0887A50"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EC92155" w14:textId="77777777" w:rsidR="00CE153D" w:rsidRDefault="008A7CB9">
            <w:pPr>
              <w:keepNext/>
              <w:spacing w:before="33" w:after="30" w:line="200" w:lineRule="auto"/>
              <w:jc w:val="right"/>
            </w:pPr>
            <w:r>
              <w:rPr>
                <w:b/>
                <w:color w:val="000000"/>
                <w:sz w:val="20"/>
              </w:rPr>
              <w:t>24,024 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510A4A8"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6A896E5C"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55BBB81"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1B3515EA" w14:textId="77777777" w:rsidR="00CE153D" w:rsidRDefault="008A7CB9">
            <w:pPr>
              <w:keepNext/>
              <w:spacing w:before="33" w:after="30" w:line="200" w:lineRule="auto"/>
              <w:jc w:val="right"/>
            </w:pPr>
            <w:r>
              <w:rPr>
                <w:b/>
                <w:color w:val="000000"/>
                <w:sz w:val="20"/>
              </w:rPr>
              <w:t>46,972 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E966183"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4A27BE93"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71C6DB06"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4CD7C46" w14:textId="77777777" w:rsidR="00CE153D" w:rsidRDefault="008A7CB9">
            <w:pPr>
              <w:keepNext/>
              <w:spacing w:before="33" w:after="30" w:line="200" w:lineRule="auto"/>
              <w:jc w:val="right"/>
            </w:pPr>
            <w:r>
              <w:rPr>
                <w:b/>
                <w:color w:val="000000"/>
                <w:sz w:val="20"/>
              </w:rPr>
              <w:t>103,861 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A257674"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A3DFEB4"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176132EF" w14:textId="77777777" w:rsidR="00CE153D" w:rsidRDefault="008A7CB9">
            <w:pPr>
              <w:keepNext/>
              <w:spacing w:before="33" w:after="30" w:line="200" w:lineRule="auto"/>
            </w:pPr>
            <w:r>
              <w:rPr>
                <w:b/>
                <w:color w:val="000000"/>
                <w:sz w:val="20"/>
              </w:rPr>
              <w:t>$</w:t>
            </w:r>
          </w:p>
        </w:tc>
        <w:tc>
          <w:tcPr>
            <w:tcW w:w="760"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06EBB1C0" w14:textId="77777777" w:rsidR="00CE153D" w:rsidRDefault="008A7CB9">
            <w:pPr>
              <w:keepNext/>
              <w:spacing w:before="33" w:after="30" w:line="200" w:lineRule="auto"/>
              <w:jc w:val="right"/>
            </w:pPr>
            <w:r>
              <w:rPr>
                <w:b/>
                <w:color w:val="000000"/>
                <w:sz w:val="20"/>
              </w:rPr>
              <w:t>148,954 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B0ECBB3"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21A9474E" w14:textId="77777777" w:rsidR="00CE153D" w:rsidRDefault="00CE153D">
            <w:pPr>
              <w:keepNext/>
              <w:spacing w:before="53" w:after="30" w:line="200" w:lineRule="auto"/>
            </w:pPr>
          </w:p>
        </w:tc>
      </w:tr>
      <w:tr w:rsidR="00CE153D" w14:paraId="2AA69455" w14:textId="77777777">
        <w:trPr>
          <w:cantSplit/>
          <w:trHeight w:hRule="exact" w:val="165"/>
        </w:trPr>
        <w:tc>
          <w:tcPr>
            <w:tcW w:w="4845" w:type="dxa"/>
            <w:tcBorders>
              <w:top w:val="nil"/>
              <w:left w:val="nil"/>
              <w:bottom w:val="nil"/>
              <w:right w:val="nil"/>
            </w:tcBorders>
            <w:tcMar>
              <w:top w:w="0" w:type="dxa"/>
              <w:left w:w="53" w:type="dxa"/>
              <w:bottom w:w="0" w:type="dxa"/>
              <w:right w:w="53" w:type="dxa"/>
            </w:tcMar>
            <w:vAlign w:val="bottom"/>
          </w:tcPr>
          <w:p w14:paraId="72E54988" w14:textId="77777777" w:rsidR="00CE153D" w:rsidRDefault="00CE153D">
            <w:pPr>
              <w:keepNext/>
              <w:spacing w:before="53" w:after="30" w:line="200" w:lineRule="auto"/>
              <w:jc w:val="center"/>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6142E40F" w14:textId="77777777" w:rsidR="00CE153D" w:rsidRDefault="00CE153D">
            <w:pPr>
              <w:keepNext/>
              <w:spacing w:before="33" w:after="30" w:line="200" w:lineRule="auto"/>
              <w:jc w:val="center"/>
            </w:pPr>
          </w:p>
        </w:tc>
        <w:tc>
          <w:tcPr>
            <w:tcW w:w="480" w:type="dxa"/>
            <w:tcBorders>
              <w:top w:val="nil"/>
              <w:left w:val="nil"/>
              <w:bottom w:val="nil"/>
              <w:right w:val="nil"/>
            </w:tcBorders>
            <w:tcMar>
              <w:top w:w="0" w:type="dxa"/>
              <w:left w:w="53" w:type="dxa"/>
              <w:bottom w:w="0" w:type="dxa"/>
              <w:right w:w="53" w:type="dxa"/>
            </w:tcMar>
            <w:vAlign w:val="bottom"/>
          </w:tcPr>
          <w:p w14:paraId="5E3404D0" w14:textId="77777777" w:rsidR="00CE153D" w:rsidRDefault="00CE153D">
            <w:pPr>
              <w:keepNext/>
              <w:spacing w:before="53" w:after="30" w:line="200" w:lineRule="auto"/>
              <w:jc w:val="center"/>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0CA998F3" w14:textId="77777777" w:rsidR="00CE153D" w:rsidRDefault="00CE153D">
            <w:pPr>
              <w:keepNext/>
              <w:spacing w:before="33" w:after="30" w:line="200" w:lineRule="auto"/>
              <w:jc w:val="center"/>
            </w:pPr>
          </w:p>
        </w:tc>
        <w:tc>
          <w:tcPr>
            <w:tcW w:w="480" w:type="dxa"/>
            <w:tcBorders>
              <w:top w:val="nil"/>
              <w:left w:val="nil"/>
              <w:bottom w:val="nil"/>
              <w:right w:val="nil"/>
            </w:tcBorders>
            <w:tcMar>
              <w:top w:w="0" w:type="dxa"/>
              <w:left w:w="53" w:type="dxa"/>
              <w:bottom w:w="0" w:type="dxa"/>
              <w:right w:w="53" w:type="dxa"/>
            </w:tcMar>
            <w:vAlign w:val="bottom"/>
          </w:tcPr>
          <w:p w14:paraId="615D5FA4" w14:textId="77777777" w:rsidR="00CE153D" w:rsidRDefault="00CE153D">
            <w:pPr>
              <w:keepNext/>
              <w:spacing w:before="53" w:after="30" w:line="200" w:lineRule="auto"/>
              <w:jc w:val="center"/>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562B0DB7" w14:textId="77777777" w:rsidR="00CE153D" w:rsidRDefault="00CE153D">
            <w:pPr>
              <w:keepNext/>
              <w:spacing w:before="33" w:after="30" w:line="200" w:lineRule="auto"/>
              <w:jc w:val="center"/>
            </w:pPr>
          </w:p>
        </w:tc>
        <w:tc>
          <w:tcPr>
            <w:tcW w:w="480" w:type="dxa"/>
            <w:tcBorders>
              <w:top w:val="nil"/>
              <w:left w:val="nil"/>
              <w:bottom w:val="nil"/>
              <w:right w:val="nil"/>
            </w:tcBorders>
            <w:tcMar>
              <w:top w:w="0" w:type="dxa"/>
              <w:left w:w="53" w:type="dxa"/>
              <w:bottom w:w="0" w:type="dxa"/>
              <w:right w:w="53" w:type="dxa"/>
            </w:tcMar>
            <w:vAlign w:val="bottom"/>
          </w:tcPr>
          <w:p w14:paraId="4CB9F7FA" w14:textId="77777777" w:rsidR="00CE153D" w:rsidRDefault="00CE153D">
            <w:pPr>
              <w:keepNext/>
              <w:spacing w:before="53" w:after="30" w:line="200" w:lineRule="auto"/>
              <w:jc w:val="center"/>
            </w:pPr>
          </w:p>
        </w:tc>
        <w:tc>
          <w:tcPr>
            <w:tcW w:w="1020" w:type="dxa"/>
            <w:gridSpan w:val="3"/>
            <w:tcBorders>
              <w:top w:val="single" w:sz="8" w:space="0" w:color="000000"/>
              <w:left w:val="nil"/>
              <w:bottom w:val="nil"/>
              <w:right w:val="nil"/>
            </w:tcBorders>
            <w:tcMar>
              <w:top w:w="0" w:type="dxa"/>
              <w:left w:w="53" w:type="dxa"/>
              <w:bottom w:w="0" w:type="dxa"/>
              <w:right w:w="53" w:type="dxa"/>
            </w:tcMar>
            <w:vAlign w:val="bottom"/>
          </w:tcPr>
          <w:p w14:paraId="156B0B23" w14:textId="77777777" w:rsidR="00CE153D" w:rsidRDefault="00CE153D">
            <w:pPr>
              <w:keepNext/>
              <w:spacing w:before="33" w:after="30" w:line="200" w:lineRule="auto"/>
              <w:jc w:val="center"/>
            </w:pPr>
          </w:p>
        </w:tc>
        <w:tc>
          <w:tcPr>
            <w:tcW w:w="480" w:type="dxa"/>
            <w:tcBorders>
              <w:top w:val="nil"/>
              <w:left w:val="nil"/>
              <w:bottom w:val="nil"/>
              <w:right w:val="nil"/>
            </w:tcBorders>
            <w:tcMar>
              <w:top w:w="0" w:type="dxa"/>
              <w:left w:w="53" w:type="dxa"/>
              <w:bottom w:w="0" w:type="dxa"/>
              <w:right w:w="53" w:type="dxa"/>
            </w:tcMar>
            <w:vAlign w:val="bottom"/>
          </w:tcPr>
          <w:p w14:paraId="469704F9" w14:textId="77777777" w:rsidR="00CE153D" w:rsidRDefault="00CE153D">
            <w:pPr>
              <w:keepNext/>
              <w:spacing w:before="53" w:after="30" w:line="200" w:lineRule="auto"/>
            </w:pPr>
          </w:p>
        </w:tc>
      </w:tr>
      <w:tr w:rsidR="00CE153D" w14:paraId="0FA9FC7B"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53954C7B" w14:textId="77777777" w:rsidR="00CE153D" w:rsidRDefault="008A7CB9">
            <w:pPr>
              <w:keepNext/>
              <w:spacing w:before="53" w:after="30" w:line="200" w:lineRule="auto"/>
            </w:pPr>
            <w:r>
              <w:rPr>
                <w:b/>
                <w:color w:val="000000"/>
                <w:sz w:val="20"/>
              </w:rPr>
              <w:t>GAAP Gross Profit</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1A3EF17"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2918081E" w14:textId="77777777" w:rsidR="00CE153D" w:rsidRDefault="008A7CB9">
            <w:pPr>
              <w:keepNext/>
              <w:spacing w:before="53" w:after="30" w:line="200" w:lineRule="auto"/>
              <w:jc w:val="right"/>
            </w:pPr>
            <w:r>
              <w:rPr>
                <w:b/>
                <w:color w:val="000000"/>
                <w:sz w:val="20"/>
              </w:rPr>
              <w:t>6,837 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9FC3AAC"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7C638ECE" w14:textId="77777777" w:rsidR="00CE153D" w:rsidRDefault="008A7CB9">
            <w:pPr>
              <w:keepNext/>
              <w:spacing w:before="53" w:after="30" w:line="200" w:lineRule="auto"/>
            </w:pPr>
            <w:r>
              <w:rPr>
                <w:b/>
                <w:color w:val="000000"/>
                <w:sz w:val="20"/>
              </w:rPr>
              <w:t>26%</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26A6921"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174FC6DF" w14:textId="77777777" w:rsidR="00CE153D" w:rsidRDefault="008A7CB9">
            <w:pPr>
              <w:keepNext/>
              <w:spacing w:before="53" w:after="30" w:line="200" w:lineRule="auto"/>
              <w:jc w:val="right"/>
            </w:pPr>
            <w:r>
              <w:rPr>
                <w:b/>
                <w:color w:val="000000"/>
                <w:sz w:val="20"/>
              </w:rPr>
              <w:t>9,420 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A8D0F1C"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4089848E" w14:textId="77777777" w:rsidR="00CE153D" w:rsidRDefault="008A7CB9">
            <w:pPr>
              <w:keepNext/>
              <w:spacing w:before="53" w:after="30" w:line="200" w:lineRule="auto"/>
            </w:pPr>
            <w:r>
              <w:rPr>
                <w:b/>
                <w:color w:val="000000"/>
                <w:sz w:val="20"/>
              </w:rPr>
              <w:t>20%</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6AF1E30"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37261924" w14:textId="77777777" w:rsidR="00CE153D" w:rsidRDefault="008A7CB9">
            <w:pPr>
              <w:keepNext/>
              <w:spacing w:before="53" w:after="30" w:line="200" w:lineRule="auto"/>
              <w:jc w:val="right"/>
            </w:pPr>
            <w:r>
              <w:rPr>
                <w:b/>
                <w:color w:val="000000"/>
                <w:sz w:val="20"/>
              </w:rPr>
              <w:t>7,572 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B9F3DBD"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37105653" w14:textId="77777777" w:rsidR="00CE153D" w:rsidRDefault="008A7CB9">
            <w:pPr>
              <w:keepNext/>
              <w:spacing w:before="53" w:after="30" w:line="200" w:lineRule="auto"/>
            </w:pPr>
            <w:r>
              <w:rPr>
                <w:b/>
                <w:color w:val="000000"/>
                <w:sz w:val="20"/>
              </w:rPr>
              <w:t>7%</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8CC7FC1" w14:textId="77777777" w:rsidR="00CE153D" w:rsidRDefault="008A7CB9">
            <w:pPr>
              <w:keepNext/>
              <w:spacing w:before="53" w:after="30" w:line="200" w:lineRule="auto"/>
            </w:pPr>
            <w:r>
              <w:rPr>
                <w:b/>
                <w:color w:val="000000"/>
                <w:sz w:val="20"/>
              </w:rPr>
              <w:t>$</w:t>
            </w:r>
          </w:p>
        </w:tc>
        <w:tc>
          <w:tcPr>
            <w:tcW w:w="760" w:type="dxa"/>
            <w:tcBorders>
              <w:top w:val="nil"/>
              <w:left w:val="nil"/>
              <w:bottom w:val="nil"/>
              <w:right w:val="nil"/>
            </w:tcBorders>
            <w:shd w:val="clear" w:color="auto" w:fill="CCEEFF"/>
            <w:tcMar>
              <w:top w:w="0" w:type="dxa"/>
              <w:left w:w="0" w:type="dxa"/>
              <w:bottom w:w="0" w:type="dxa"/>
              <w:right w:w="0" w:type="dxa"/>
            </w:tcMar>
            <w:vAlign w:val="bottom"/>
          </w:tcPr>
          <w:p w14:paraId="284DBB2C" w14:textId="77777777" w:rsidR="00CE153D" w:rsidRDefault="008A7CB9">
            <w:pPr>
              <w:keepNext/>
              <w:spacing w:before="53" w:after="30" w:line="200" w:lineRule="auto"/>
              <w:jc w:val="right"/>
            </w:pPr>
            <w:r>
              <w:rPr>
                <w:b/>
                <w:color w:val="000000"/>
                <w:sz w:val="20"/>
              </w:rPr>
              <w:t>24,568 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9125955"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FF9DD41" w14:textId="77777777" w:rsidR="00CE153D" w:rsidRDefault="008A7CB9">
            <w:pPr>
              <w:keepNext/>
              <w:spacing w:before="53" w:after="30" w:line="200" w:lineRule="auto"/>
            </w:pPr>
            <w:r>
              <w:rPr>
                <w:b/>
                <w:color w:val="000000"/>
                <w:sz w:val="20"/>
              </w:rPr>
              <w:t>16%</w:t>
            </w:r>
          </w:p>
        </w:tc>
      </w:tr>
      <w:tr w:rsidR="00CE153D" w14:paraId="788477C4"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0747A373" w14:textId="77777777" w:rsidR="00CE153D" w:rsidRDefault="008A7CB9">
            <w:pPr>
              <w:keepNext/>
              <w:spacing w:before="53" w:after="30" w:line="200" w:lineRule="auto"/>
            </w:pPr>
            <w:r>
              <w:rPr>
                <w:color w:val="000000"/>
                <w:sz w:val="20"/>
              </w:rPr>
              <w:t>Adjusted for non-recurring air freight costs</w:t>
            </w:r>
          </w:p>
        </w:tc>
        <w:tc>
          <w:tcPr>
            <w:tcW w:w="905" w:type="dxa"/>
            <w:gridSpan w:val="2"/>
            <w:tcBorders>
              <w:top w:val="nil"/>
              <w:left w:val="nil"/>
              <w:bottom w:val="nil"/>
              <w:right w:val="nil"/>
            </w:tcBorders>
            <w:tcMar>
              <w:top w:w="0" w:type="dxa"/>
              <w:left w:w="53" w:type="dxa"/>
              <w:bottom w:w="0" w:type="dxa"/>
              <w:right w:w="0" w:type="dxa"/>
            </w:tcMar>
            <w:vAlign w:val="bottom"/>
          </w:tcPr>
          <w:p w14:paraId="62561F0F"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1CF269B4"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1ACDDD68"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66B3AF67"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165CED58"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060A042A"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494E85C4"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646E871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7F427EB5"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3503ECC7" w14:textId="77777777" w:rsidR="00CE153D" w:rsidRDefault="008A7CB9">
            <w:pPr>
              <w:keepNext/>
              <w:spacing w:before="53" w:after="30" w:line="200" w:lineRule="auto"/>
              <w:jc w:val="right"/>
            </w:pPr>
            <w:r>
              <w:rPr>
                <w:color w:val="000000"/>
                <w:sz w:val="20"/>
              </w:rPr>
              <w:t>1,502 </w:t>
            </w:r>
          </w:p>
        </w:tc>
        <w:tc>
          <w:tcPr>
            <w:tcW w:w="100" w:type="dxa"/>
            <w:tcBorders>
              <w:top w:val="nil"/>
              <w:left w:val="nil"/>
              <w:bottom w:val="nil"/>
              <w:right w:val="nil"/>
            </w:tcBorders>
            <w:tcMar>
              <w:top w:w="0" w:type="dxa"/>
              <w:left w:w="0" w:type="dxa"/>
              <w:bottom w:w="0" w:type="dxa"/>
              <w:right w:w="15" w:type="dxa"/>
            </w:tcMar>
            <w:vAlign w:val="bottom"/>
          </w:tcPr>
          <w:p w14:paraId="729F4E0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64825F07" w14:textId="77777777" w:rsidR="00CE153D" w:rsidRDefault="00CE153D">
            <w:pPr>
              <w:keepNext/>
              <w:spacing w:before="53" w:after="30" w:line="200" w:lineRule="auto"/>
            </w:pPr>
          </w:p>
        </w:tc>
      </w:tr>
      <w:tr w:rsidR="00CE153D" w14:paraId="04987BBE"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0CF38D72" w14:textId="77777777" w:rsidR="00CE153D" w:rsidRDefault="008A7CB9">
            <w:pPr>
              <w:keepNext/>
              <w:spacing w:before="53" w:after="30" w:line="200" w:lineRule="auto"/>
            </w:pPr>
            <w:r>
              <w:rPr>
                <w:color w:val="000000"/>
                <w:sz w:val="20"/>
              </w:rPr>
              <w:t>Adjusted for non-recurring temporary labor costs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76860FF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1FC131"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D43207C"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03420AEB"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A992FE"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F78E7E6"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C655A4A"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45ACC4"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6701938C"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4286527A" w14:textId="77777777" w:rsidR="00CE153D" w:rsidRDefault="008A7CB9">
            <w:pPr>
              <w:keepNext/>
              <w:spacing w:before="53" w:after="30" w:line="200" w:lineRule="auto"/>
              <w:jc w:val="right"/>
            </w:pPr>
            <w:r>
              <w:rPr>
                <w:color w:val="000000"/>
                <w:sz w:val="20"/>
              </w:rPr>
              <w:t>1,344 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16EC63"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2877522E" w14:textId="77777777" w:rsidR="00CE153D" w:rsidRDefault="00CE153D">
            <w:pPr>
              <w:keepNext/>
              <w:spacing w:before="53" w:after="30" w:line="200" w:lineRule="auto"/>
            </w:pPr>
          </w:p>
        </w:tc>
      </w:tr>
      <w:tr w:rsidR="00CE153D" w14:paraId="5D7D6548" w14:textId="77777777">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14:paraId="68CFD102" w14:textId="77777777" w:rsidR="00CE153D" w:rsidRDefault="008A7CB9">
            <w:pPr>
              <w:keepNext/>
              <w:spacing w:before="53" w:after="30" w:line="200" w:lineRule="auto"/>
            </w:pPr>
            <w:r>
              <w:rPr>
                <w:color w:val="000000"/>
                <w:sz w:val="20"/>
              </w:rPr>
              <w:t>Restructuring – excess and obsolete inventory</w:t>
            </w:r>
          </w:p>
        </w:tc>
        <w:tc>
          <w:tcPr>
            <w:tcW w:w="905" w:type="dxa"/>
            <w:gridSpan w:val="2"/>
            <w:tcBorders>
              <w:top w:val="nil"/>
              <w:left w:val="nil"/>
              <w:bottom w:val="nil"/>
              <w:right w:val="nil"/>
            </w:tcBorders>
            <w:tcMar>
              <w:top w:w="0" w:type="dxa"/>
              <w:left w:w="53" w:type="dxa"/>
              <w:bottom w:w="0" w:type="dxa"/>
              <w:right w:w="0" w:type="dxa"/>
            </w:tcMar>
            <w:vAlign w:val="bottom"/>
          </w:tcPr>
          <w:p w14:paraId="07922148"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0C137BAF"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27CA8B6"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63613A8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240F939B"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049E6220"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4B271DAC" w14:textId="77777777" w:rsidR="00CE153D" w:rsidRDefault="008A7CB9">
            <w:pPr>
              <w:keepNext/>
              <w:spacing w:before="53" w:after="30" w:line="200" w:lineRule="auto"/>
              <w:jc w:val="right"/>
            </w:pPr>
            <w:r>
              <w:rPr>
                <w:color w:val="000000"/>
                <w:sz w:val="20"/>
              </w:rPr>
              <w:t>14,015 </w:t>
            </w:r>
          </w:p>
        </w:tc>
        <w:tc>
          <w:tcPr>
            <w:tcW w:w="100" w:type="dxa"/>
            <w:tcBorders>
              <w:top w:val="nil"/>
              <w:left w:val="nil"/>
              <w:bottom w:val="nil"/>
              <w:right w:val="nil"/>
            </w:tcBorders>
            <w:tcMar>
              <w:top w:w="0" w:type="dxa"/>
              <w:left w:w="0" w:type="dxa"/>
              <w:bottom w:w="0" w:type="dxa"/>
              <w:right w:w="15" w:type="dxa"/>
            </w:tcMar>
            <w:vAlign w:val="bottom"/>
          </w:tcPr>
          <w:p w14:paraId="36AA243B"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383CAF9F"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0B2A257B"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6AEC946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11073B5F" w14:textId="77777777" w:rsidR="00CE153D" w:rsidRDefault="00CE153D">
            <w:pPr>
              <w:keepNext/>
              <w:spacing w:before="53" w:after="30" w:line="200" w:lineRule="auto"/>
            </w:pPr>
          </w:p>
        </w:tc>
      </w:tr>
      <w:tr w:rsidR="00CE153D" w14:paraId="203E064D"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EA356B8" w14:textId="77777777" w:rsidR="00CE153D" w:rsidRDefault="008A7CB9">
            <w:pPr>
              <w:keepNext/>
              <w:spacing w:before="53" w:after="30" w:line="200" w:lineRule="auto"/>
            </w:pPr>
            <w:r>
              <w:rPr>
                <w:color w:val="000000"/>
                <w:sz w:val="20"/>
              </w:rPr>
              <w:t>Purchase order cancellation charges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4B42A955" w14:textId="77777777" w:rsidR="00CE153D" w:rsidRDefault="008A7CB9">
            <w:pPr>
              <w:keepNext/>
              <w:spacing w:before="53" w:after="30" w:line="200" w:lineRule="auto"/>
              <w:jc w:val="right"/>
            </w:pPr>
            <w:r>
              <w:rPr>
                <w:color w:val="000000"/>
                <w:sz w:val="20"/>
              </w:rPr>
              <w:t>404 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7670F93"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7CD513F"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0AB2A55F"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7EEBEE"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A2DC8B3"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2979608F" w14:textId="77777777" w:rsidR="00CE153D" w:rsidRDefault="008A7CB9">
            <w:pPr>
              <w:keepNext/>
              <w:spacing w:before="53" w:after="30" w:line="200" w:lineRule="auto"/>
              <w:jc w:val="right"/>
            </w:pPr>
            <w:r>
              <w:rPr>
                <w:color w:val="000000"/>
                <w:sz w:val="20"/>
              </w:rPr>
              <w:t>4,694 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7A1D26"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7BD146B"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0BC53001"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6CF55C1"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7B199A36" w14:textId="77777777" w:rsidR="00CE153D" w:rsidRDefault="00CE153D">
            <w:pPr>
              <w:keepNext/>
              <w:spacing w:before="53" w:after="30" w:line="200" w:lineRule="auto"/>
            </w:pPr>
          </w:p>
        </w:tc>
      </w:tr>
      <w:tr w:rsidR="00CE153D" w14:paraId="28954095"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0684750B" w14:textId="77777777" w:rsidR="00CE153D" w:rsidRDefault="008A7CB9">
            <w:pPr>
              <w:keepNext/>
              <w:spacing w:before="53" w:after="30" w:line="200" w:lineRule="auto"/>
            </w:pPr>
            <w:r>
              <w:rPr>
                <w:color w:val="000000"/>
                <w:sz w:val="20"/>
              </w:rPr>
              <w:t>Adjusted for China tariff impact, net</w:t>
            </w: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228ADBE6" w14:textId="77777777" w:rsidR="00CE153D" w:rsidRDefault="008A7CB9">
            <w:pPr>
              <w:keepNext/>
              <w:spacing w:before="53" w:after="30" w:line="200" w:lineRule="auto"/>
              <w:jc w:val="right"/>
            </w:pPr>
            <w:r>
              <w:rPr>
                <w:color w:val="000000"/>
                <w:sz w:val="20"/>
              </w:rPr>
              <w:t>(336)</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4422C32C"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04A646CE" w14:textId="77777777" w:rsidR="00CE153D" w:rsidRDefault="00CE153D">
            <w:pPr>
              <w:keepNext/>
              <w:spacing w:before="53" w:after="30" w:line="200" w:lineRule="auto"/>
              <w:jc w:val="right"/>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79F6FBD0" w14:textId="77777777" w:rsidR="00CE153D" w:rsidRDefault="008A7CB9">
            <w:pPr>
              <w:keepNext/>
              <w:spacing w:before="53" w:after="30" w:line="200" w:lineRule="auto"/>
              <w:jc w:val="right"/>
            </w:pPr>
            <w:r>
              <w:rPr>
                <w:color w:val="000000"/>
                <w:sz w:val="20"/>
              </w:rPr>
              <w:t>145 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1327567F"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72E0A65" w14:textId="77777777" w:rsidR="00CE153D" w:rsidRDefault="00CE153D">
            <w:pPr>
              <w:keepNext/>
              <w:spacing w:before="53" w:after="30" w:line="200" w:lineRule="auto"/>
              <w:jc w:val="right"/>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6C51B0BC" w14:textId="77777777" w:rsidR="00CE153D" w:rsidRDefault="008A7CB9">
            <w:pPr>
              <w:keepNext/>
              <w:spacing w:before="53" w:after="30" w:line="200" w:lineRule="auto"/>
              <w:jc w:val="right"/>
            </w:pPr>
            <w:r>
              <w:rPr>
                <w:color w:val="000000"/>
                <w:sz w:val="20"/>
              </w:rPr>
              <w:t>(433)</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14F619A8"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4042F129" w14:textId="77777777" w:rsidR="00CE153D" w:rsidRDefault="00CE153D">
            <w:pPr>
              <w:keepNext/>
              <w:spacing w:before="53" w:after="30" w:line="200" w:lineRule="auto"/>
              <w:jc w:val="right"/>
            </w:pPr>
          </w:p>
        </w:tc>
        <w:tc>
          <w:tcPr>
            <w:tcW w:w="920" w:type="dxa"/>
            <w:gridSpan w:val="2"/>
            <w:tcBorders>
              <w:top w:val="nil"/>
              <w:left w:val="nil"/>
              <w:bottom w:val="single" w:sz="8" w:space="0" w:color="000000"/>
              <w:right w:val="nil"/>
            </w:tcBorders>
            <w:tcMar>
              <w:top w:w="0" w:type="dxa"/>
              <w:left w:w="53" w:type="dxa"/>
              <w:bottom w:w="0" w:type="dxa"/>
              <w:right w:w="0" w:type="dxa"/>
            </w:tcMar>
            <w:vAlign w:val="bottom"/>
          </w:tcPr>
          <w:p w14:paraId="632A9566" w14:textId="77777777" w:rsidR="00CE153D" w:rsidRDefault="008A7CB9">
            <w:pPr>
              <w:keepNext/>
              <w:spacing w:before="53" w:after="30" w:line="200" w:lineRule="auto"/>
              <w:jc w:val="right"/>
            </w:pPr>
            <w:r>
              <w:rPr>
                <w:color w:val="000000"/>
                <w:sz w:val="20"/>
              </w:rPr>
              <w:t>3,514 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3B24C48"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1A256B62" w14:textId="77777777" w:rsidR="00CE153D" w:rsidRDefault="00CE153D">
            <w:pPr>
              <w:keepNext/>
              <w:spacing w:before="53" w:after="30" w:line="200" w:lineRule="auto"/>
            </w:pPr>
          </w:p>
        </w:tc>
      </w:tr>
      <w:tr w:rsidR="00CE153D" w14:paraId="3665EB62"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00DB4D87" w14:textId="77777777" w:rsidR="00CE153D" w:rsidRDefault="008A7CB9">
            <w:pPr>
              <w:keepNext/>
              <w:spacing w:before="53" w:after="30" w:line="200" w:lineRule="auto"/>
            </w:pPr>
            <w:r>
              <w:rPr>
                <w:b/>
                <w:color w:val="000000"/>
                <w:sz w:val="20"/>
              </w:rPr>
              <w:t>Non-GAAP Gross Profit</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7839ECC3"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13CE1EF" w14:textId="77777777" w:rsidR="00CE153D" w:rsidRDefault="008A7CB9">
            <w:pPr>
              <w:keepNext/>
              <w:spacing w:before="33" w:after="30" w:line="200" w:lineRule="auto"/>
              <w:jc w:val="right"/>
            </w:pPr>
            <w:r>
              <w:rPr>
                <w:b/>
                <w:color w:val="000000"/>
                <w:sz w:val="20"/>
              </w:rPr>
              <w:t>6,905 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7B4852F"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63664379" w14:textId="77777777" w:rsidR="00CE153D" w:rsidRDefault="008A7CB9">
            <w:pPr>
              <w:keepNext/>
              <w:spacing w:before="53" w:after="30" w:line="200" w:lineRule="auto"/>
            </w:pPr>
            <w:r>
              <w:rPr>
                <w:b/>
                <w:color w:val="000000"/>
                <w:sz w:val="20"/>
              </w:rPr>
              <w:t>29%</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65376C45"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1A4181D0" w14:textId="77777777" w:rsidR="00CE153D" w:rsidRDefault="008A7CB9">
            <w:pPr>
              <w:keepNext/>
              <w:spacing w:before="33" w:after="30" w:line="200" w:lineRule="auto"/>
              <w:jc w:val="right"/>
            </w:pPr>
            <w:r>
              <w:rPr>
                <w:b/>
                <w:color w:val="000000"/>
                <w:sz w:val="20"/>
              </w:rPr>
              <w:t>9,565 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E1DCDDF"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386FBE87" w14:textId="77777777" w:rsidR="00CE153D" w:rsidRDefault="008A7CB9">
            <w:pPr>
              <w:keepNext/>
              <w:spacing w:before="53" w:after="30" w:line="200" w:lineRule="auto"/>
            </w:pPr>
            <w:r>
              <w:rPr>
                <w:b/>
                <w:color w:val="000000"/>
                <w:sz w:val="20"/>
              </w:rPr>
              <w:t>20%</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1ED04B4"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6CDA480D" w14:textId="77777777" w:rsidR="00CE153D" w:rsidRDefault="008A7CB9">
            <w:pPr>
              <w:keepNext/>
              <w:spacing w:before="33" w:after="30" w:line="200" w:lineRule="auto"/>
              <w:jc w:val="right"/>
            </w:pPr>
            <w:r>
              <w:rPr>
                <w:b/>
                <w:color w:val="000000"/>
                <w:sz w:val="20"/>
              </w:rPr>
              <w:t>25,848 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D0B12B0"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7CD89611" w14:textId="77777777" w:rsidR="00CE153D" w:rsidRDefault="008A7CB9">
            <w:pPr>
              <w:keepNext/>
              <w:spacing w:before="53" w:after="30" w:line="200" w:lineRule="auto"/>
            </w:pPr>
            <w:r>
              <w:rPr>
                <w:b/>
                <w:color w:val="000000"/>
                <w:sz w:val="20"/>
              </w:rPr>
              <w:t>25%</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1C0209DB" w14:textId="77777777" w:rsidR="00CE153D" w:rsidRDefault="008A7CB9">
            <w:pPr>
              <w:keepNext/>
              <w:spacing w:before="33" w:after="30" w:line="200" w:lineRule="auto"/>
            </w:pPr>
            <w:r>
              <w:rPr>
                <w:b/>
                <w:color w:val="000000"/>
                <w:sz w:val="20"/>
              </w:rPr>
              <w:t>$</w:t>
            </w:r>
          </w:p>
        </w:tc>
        <w:tc>
          <w:tcPr>
            <w:tcW w:w="760"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1540DDD1" w14:textId="77777777" w:rsidR="00CE153D" w:rsidRDefault="008A7CB9">
            <w:pPr>
              <w:keepNext/>
              <w:spacing w:before="33" w:after="30" w:line="200" w:lineRule="auto"/>
              <w:jc w:val="right"/>
            </w:pPr>
            <w:r>
              <w:rPr>
                <w:b/>
                <w:color w:val="000000"/>
                <w:sz w:val="20"/>
              </w:rPr>
              <w:t>30,928 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48A6ACC"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7D300612" w14:textId="77777777" w:rsidR="00CE153D" w:rsidRDefault="008A7CB9">
            <w:pPr>
              <w:keepNext/>
              <w:spacing w:before="53" w:after="30" w:line="200" w:lineRule="auto"/>
            </w:pPr>
            <w:r>
              <w:rPr>
                <w:b/>
                <w:color w:val="000000"/>
                <w:sz w:val="20"/>
              </w:rPr>
              <w:t>21%</w:t>
            </w:r>
          </w:p>
        </w:tc>
      </w:tr>
      <w:tr w:rsidR="00CE153D" w14:paraId="0C88D5A3"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7F03D867" w14:textId="77777777" w:rsidR="00CE153D" w:rsidRDefault="00CE153D">
            <w:pPr>
              <w:keepNext/>
              <w:spacing w:before="53" w:after="30" w:line="200" w:lineRule="auto"/>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5191E466" w14:textId="77777777" w:rsidR="00CE153D" w:rsidRDefault="00CE153D">
            <w:pPr>
              <w:keepNext/>
              <w:spacing w:before="33" w:after="30" w:line="200" w:lineRule="auto"/>
              <w:jc w:val="right"/>
            </w:pPr>
          </w:p>
        </w:tc>
        <w:tc>
          <w:tcPr>
            <w:tcW w:w="480" w:type="dxa"/>
            <w:tcBorders>
              <w:top w:val="nil"/>
              <w:left w:val="nil"/>
              <w:bottom w:val="nil"/>
              <w:right w:val="nil"/>
            </w:tcBorders>
            <w:tcMar>
              <w:top w:w="0" w:type="dxa"/>
              <w:left w:w="53" w:type="dxa"/>
              <w:bottom w:w="0" w:type="dxa"/>
              <w:right w:w="53" w:type="dxa"/>
            </w:tcMar>
            <w:vAlign w:val="bottom"/>
          </w:tcPr>
          <w:p w14:paraId="64F3F5FE" w14:textId="77777777" w:rsidR="00CE153D" w:rsidRDefault="00CE153D">
            <w:pPr>
              <w:keepNext/>
              <w:spacing w:before="53" w:after="30" w:line="200" w:lineRule="auto"/>
              <w:jc w:val="right"/>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7E310269" w14:textId="77777777" w:rsidR="00CE153D" w:rsidRDefault="00CE153D">
            <w:pPr>
              <w:keepNext/>
              <w:spacing w:before="33" w:after="30" w:line="200" w:lineRule="auto"/>
              <w:jc w:val="right"/>
            </w:pPr>
          </w:p>
        </w:tc>
        <w:tc>
          <w:tcPr>
            <w:tcW w:w="480" w:type="dxa"/>
            <w:tcBorders>
              <w:top w:val="nil"/>
              <w:left w:val="nil"/>
              <w:bottom w:val="nil"/>
              <w:right w:val="nil"/>
            </w:tcBorders>
            <w:tcMar>
              <w:top w:w="0" w:type="dxa"/>
              <w:left w:w="53" w:type="dxa"/>
              <w:bottom w:w="0" w:type="dxa"/>
              <w:right w:w="53" w:type="dxa"/>
            </w:tcMar>
            <w:vAlign w:val="bottom"/>
          </w:tcPr>
          <w:p w14:paraId="393680FD" w14:textId="77777777" w:rsidR="00CE153D" w:rsidRDefault="00CE153D">
            <w:pPr>
              <w:keepNext/>
              <w:spacing w:before="53" w:after="30" w:line="200" w:lineRule="auto"/>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7AFF33B6" w14:textId="77777777" w:rsidR="00CE153D" w:rsidRDefault="00CE153D">
            <w:pPr>
              <w:keepNext/>
              <w:spacing w:before="33" w:after="30" w:line="200" w:lineRule="auto"/>
              <w:jc w:val="right"/>
            </w:pPr>
          </w:p>
        </w:tc>
        <w:tc>
          <w:tcPr>
            <w:tcW w:w="480" w:type="dxa"/>
            <w:tcBorders>
              <w:top w:val="nil"/>
              <w:left w:val="nil"/>
              <w:bottom w:val="nil"/>
              <w:right w:val="nil"/>
            </w:tcBorders>
            <w:tcMar>
              <w:top w:w="0" w:type="dxa"/>
              <w:left w:w="53" w:type="dxa"/>
              <w:bottom w:w="0" w:type="dxa"/>
              <w:right w:w="53" w:type="dxa"/>
            </w:tcMar>
            <w:vAlign w:val="bottom"/>
          </w:tcPr>
          <w:p w14:paraId="2B6FCA19" w14:textId="77777777" w:rsidR="00CE153D" w:rsidRDefault="00CE153D">
            <w:pPr>
              <w:keepNext/>
              <w:spacing w:before="53" w:after="30" w:line="200" w:lineRule="auto"/>
            </w:pPr>
          </w:p>
        </w:tc>
        <w:tc>
          <w:tcPr>
            <w:tcW w:w="1020" w:type="dxa"/>
            <w:gridSpan w:val="3"/>
            <w:tcBorders>
              <w:top w:val="single" w:sz="8" w:space="0" w:color="000000"/>
              <w:left w:val="nil"/>
              <w:bottom w:val="nil"/>
              <w:right w:val="nil"/>
            </w:tcBorders>
            <w:tcMar>
              <w:top w:w="0" w:type="dxa"/>
              <w:left w:w="53" w:type="dxa"/>
              <w:bottom w:w="0" w:type="dxa"/>
              <w:right w:w="53" w:type="dxa"/>
            </w:tcMar>
            <w:vAlign w:val="bottom"/>
          </w:tcPr>
          <w:p w14:paraId="7AA8FA05" w14:textId="77777777" w:rsidR="00CE153D" w:rsidRDefault="00CE153D">
            <w:pPr>
              <w:keepNext/>
              <w:spacing w:before="33" w:after="30" w:line="200" w:lineRule="auto"/>
              <w:jc w:val="right"/>
            </w:pPr>
          </w:p>
        </w:tc>
        <w:tc>
          <w:tcPr>
            <w:tcW w:w="480" w:type="dxa"/>
            <w:tcBorders>
              <w:top w:val="nil"/>
              <w:left w:val="nil"/>
              <w:bottom w:val="nil"/>
              <w:right w:val="nil"/>
            </w:tcBorders>
            <w:tcMar>
              <w:top w:w="0" w:type="dxa"/>
              <w:left w:w="53" w:type="dxa"/>
              <w:bottom w:w="0" w:type="dxa"/>
              <w:right w:w="53" w:type="dxa"/>
            </w:tcMar>
            <w:vAlign w:val="bottom"/>
          </w:tcPr>
          <w:p w14:paraId="3F8C82F5" w14:textId="77777777" w:rsidR="00CE153D" w:rsidRDefault="00CE153D">
            <w:pPr>
              <w:keepNext/>
              <w:spacing w:before="53" w:after="30" w:line="200" w:lineRule="auto"/>
            </w:pPr>
          </w:p>
        </w:tc>
      </w:tr>
      <w:tr w:rsidR="00CE153D" w14:paraId="4422918E"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8787F84" w14:textId="77777777" w:rsidR="00CE153D" w:rsidRDefault="008A7CB9">
            <w:pPr>
              <w:keepNext/>
              <w:spacing w:before="53" w:after="30" w:line="200" w:lineRule="auto"/>
            </w:pPr>
            <w:r>
              <w:rPr>
                <w:b/>
                <w:color w:val="000000"/>
                <w:sz w:val="20"/>
              </w:rPr>
              <w:t>GAAP Net loss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1C0D8B9"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1E470F18" w14:textId="77777777" w:rsidR="00CE153D" w:rsidRDefault="008A7CB9">
            <w:pPr>
              <w:keepNext/>
              <w:spacing w:before="53" w:after="30" w:line="200" w:lineRule="auto"/>
              <w:jc w:val="right"/>
            </w:pPr>
            <w:r>
              <w:rPr>
                <w:b/>
                <w:color w:val="000000"/>
                <w:sz w:val="20"/>
              </w:rPr>
              <w:t>(7,288)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71AD60D"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4B926B64" w14:textId="77777777" w:rsidR="00CE153D" w:rsidRDefault="00CE153D">
            <w:pPr>
              <w:keepNext/>
              <w:spacing w:before="53" w:after="30" w:line="200" w:lineRule="auto"/>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B2EBDC9"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5B33956B" w14:textId="77777777" w:rsidR="00CE153D" w:rsidRDefault="008A7CB9">
            <w:pPr>
              <w:keepNext/>
              <w:spacing w:before="53" w:after="30" w:line="200" w:lineRule="auto"/>
              <w:jc w:val="right"/>
            </w:pPr>
            <w:r>
              <w:rPr>
                <w:b/>
                <w:color w:val="000000"/>
                <w:sz w:val="20"/>
              </w:rPr>
              <w:t>(11,544)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4F81C0F"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D5964C3" w14:textId="77777777" w:rsidR="00CE153D" w:rsidRDefault="00CE153D">
            <w:pPr>
              <w:keepNext/>
              <w:spacing w:before="53" w:after="30" w:line="200" w:lineRule="auto"/>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97B433E"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58CF500D" w14:textId="77777777" w:rsidR="00CE153D" w:rsidRDefault="008A7CB9">
            <w:pPr>
              <w:keepNext/>
              <w:spacing w:before="53" w:after="30" w:line="200" w:lineRule="auto"/>
              <w:jc w:val="right"/>
            </w:pPr>
            <w:r>
              <w:rPr>
                <w:b/>
                <w:color w:val="000000"/>
                <w:sz w:val="20"/>
              </w:rPr>
              <w:t>(77,656)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43EFB36"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F37FD18" w14:textId="77777777" w:rsidR="00CE153D" w:rsidRDefault="00CE153D">
            <w:pPr>
              <w:keepNext/>
              <w:spacing w:before="53" w:after="30" w:line="200" w:lineRule="auto"/>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41F53738" w14:textId="77777777" w:rsidR="00CE153D" w:rsidRDefault="008A7CB9">
            <w:pPr>
              <w:keepNext/>
              <w:spacing w:before="53" w:after="30" w:line="200" w:lineRule="auto"/>
            </w:pPr>
            <w:r>
              <w:rPr>
                <w:b/>
                <w:color w:val="000000"/>
                <w:sz w:val="20"/>
              </w:rPr>
              <w:t>$</w:t>
            </w:r>
          </w:p>
        </w:tc>
        <w:tc>
          <w:tcPr>
            <w:tcW w:w="760" w:type="dxa"/>
            <w:tcBorders>
              <w:top w:val="nil"/>
              <w:left w:val="nil"/>
              <w:bottom w:val="nil"/>
              <w:right w:val="nil"/>
            </w:tcBorders>
            <w:shd w:val="clear" w:color="auto" w:fill="CCEEFF"/>
            <w:tcMar>
              <w:top w:w="0" w:type="dxa"/>
              <w:left w:w="0" w:type="dxa"/>
              <w:bottom w:w="0" w:type="dxa"/>
              <w:right w:w="0" w:type="dxa"/>
            </w:tcMar>
            <w:vAlign w:val="bottom"/>
          </w:tcPr>
          <w:p w14:paraId="77542D57" w14:textId="77777777" w:rsidR="00CE153D" w:rsidRDefault="008A7CB9">
            <w:pPr>
              <w:keepNext/>
              <w:spacing w:before="53" w:after="30" w:line="200" w:lineRule="auto"/>
              <w:jc w:val="right"/>
            </w:pPr>
            <w:r>
              <w:rPr>
                <w:b/>
                <w:color w:val="000000"/>
                <w:sz w:val="20"/>
              </w:rPr>
              <w:t>(39,636)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35C662D"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AC8CB0D" w14:textId="77777777" w:rsidR="00CE153D" w:rsidRDefault="00CE153D">
            <w:pPr>
              <w:keepNext/>
              <w:spacing w:before="53" w:after="30" w:line="200" w:lineRule="auto"/>
            </w:pPr>
          </w:p>
        </w:tc>
      </w:tr>
      <w:tr w:rsidR="00CE153D" w14:paraId="01B06835"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7D36DAA3" w14:textId="77777777" w:rsidR="00CE153D" w:rsidRDefault="008A7CB9">
            <w:pPr>
              <w:keepNext/>
              <w:spacing w:before="53" w:after="30" w:line="200" w:lineRule="auto"/>
            </w:pPr>
            <w:r>
              <w:rPr>
                <w:color w:val="000000"/>
                <w:sz w:val="20"/>
              </w:rPr>
              <w:t>Adjusted for non-recurring air freight costs</w:t>
            </w:r>
          </w:p>
        </w:tc>
        <w:tc>
          <w:tcPr>
            <w:tcW w:w="905" w:type="dxa"/>
            <w:gridSpan w:val="2"/>
            <w:tcBorders>
              <w:top w:val="nil"/>
              <w:left w:val="nil"/>
              <w:bottom w:val="nil"/>
              <w:right w:val="nil"/>
            </w:tcBorders>
            <w:tcMar>
              <w:top w:w="0" w:type="dxa"/>
              <w:left w:w="53" w:type="dxa"/>
              <w:bottom w:w="0" w:type="dxa"/>
              <w:right w:w="0" w:type="dxa"/>
            </w:tcMar>
            <w:vAlign w:val="bottom"/>
          </w:tcPr>
          <w:p w14:paraId="3C6E8831"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776B85B5"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72F55CA6"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49F03BB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203005F2"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6D60D14E" w14:textId="77777777" w:rsidR="00CE153D" w:rsidRDefault="00CE153D">
            <w:pPr>
              <w:keepNext/>
              <w:spacing w:before="53" w:after="30" w:line="200" w:lineRule="auto"/>
            </w:pPr>
          </w:p>
        </w:tc>
        <w:tc>
          <w:tcPr>
            <w:tcW w:w="905" w:type="dxa"/>
            <w:gridSpan w:val="2"/>
            <w:tcBorders>
              <w:top w:val="nil"/>
              <w:left w:val="nil"/>
              <w:bottom w:val="nil"/>
              <w:right w:val="nil"/>
            </w:tcBorders>
            <w:tcMar>
              <w:top w:w="0" w:type="dxa"/>
              <w:left w:w="53" w:type="dxa"/>
              <w:bottom w:w="0" w:type="dxa"/>
              <w:right w:w="0" w:type="dxa"/>
            </w:tcMar>
            <w:vAlign w:val="bottom"/>
          </w:tcPr>
          <w:p w14:paraId="364A869C"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641AF074"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78876D8D" w14:textId="77777777" w:rsidR="00CE153D" w:rsidRDefault="00CE153D">
            <w:pPr>
              <w:keepNext/>
              <w:spacing w:before="53" w:after="30" w:line="200" w:lineRule="auto"/>
            </w:pPr>
          </w:p>
        </w:tc>
        <w:tc>
          <w:tcPr>
            <w:tcW w:w="920" w:type="dxa"/>
            <w:gridSpan w:val="2"/>
            <w:tcBorders>
              <w:top w:val="nil"/>
              <w:left w:val="nil"/>
              <w:bottom w:val="nil"/>
              <w:right w:val="nil"/>
            </w:tcBorders>
            <w:tcMar>
              <w:top w:w="0" w:type="dxa"/>
              <w:left w:w="53" w:type="dxa"/>
              <w:bottom w:w="0" w:type="dxa"/>
              <w:right w:w="0" w:type="dxa"/>
            </w:tcMar>
            <w:vAlign w:val="bottom"/>
          </w:tcPr>
          <w:p w14:paraId="7E82AB23" w14:textId="77777777" w:rsidR="00CE153D" w:rsidRDefault="008A7CB9">
            <w:pPr>
              <w:keepNext/>
              <w:spacing w:before="53" w:after="30" w:line="200" w:lineRule="auto"/>
              <w:jc w:val="right"/>
            </w:pPr>
            <w:r>
              <w:rPr>
                <w:color w:val="000000"/>
                <w:sz w:val="20"/>
              </w:rPr>
              <w:t>1,502 </w:t>
            </w:r>
          </w:p>
        </w:tc>
        <w:tc>
          <w:tcPr>
            <w:tcW w:w="100" w:type="dxa"/>
            <w:tcBorders>
              <w:top w:val="nil"/>
              <w:left w:val="nil"/>
              <w:bottom w:val="nil"/>
              <w:right w:val="nil"/>
            </w:tcBorders>
            <w:tcMar>
              <w:top w:w="0" w:type="dxa"/>
              <w:left w:w="0" w:type="dxa"/>
              <w:bottom w:w="0" w:type="dxa"/>
              <w:right w:w="15" w:type="dxa"/>
            </w:tcMar>
            <w:vAlign w:val="bottom"/>
          </w:tcPr>
          <w:p w14:paraId="75EC53B9"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0654E3B6" w14:textId="77777777" w:rsidR="00CE153D" w:rsidRDefault="00CE153D">
            <w:pPr>
              <w:keepNext/>
              <w:spacing w:before="53" w:after="30" w:line="200" w:lineRule="auto"/>
            </w:pPr>
          </w:p>
        </w:tc>
      </w:tr>
      <w:tr w:rsidR="00CE153D" w14:paraId="4858781A"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679A575F" w14:textId="77777777" w:rsidR="00CE153D" w:rsidRDefault="008A7CB9">
            <w:pPr>
              <w:keepNext/>
              <w:spacing w:before="53" w:after="30" w:line="200" w:lineRule="auto"/>
            </w:pPr>
            <w:r>
              <w:rPr>
                <w:color w:val="000000"/>
                <w:sz w:val="20"/>
              </w:rPr>
              <w:t>Adjusted for non-recurring temporary labor costs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2716D878"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27B2EDD"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AC1A1C3"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16788A3"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BF1A409"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02EF0C5" w14:textId="77777777" w:rsidR="00CE153D" w:rsidRDefault="00CE153D">
            <w:pPr>
              <w:keepNext/>
              <w:spacing w:before="53" w:after="30" w:line="200" w:lineRule="auto"/>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13D78704"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6368F0"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6BD99C6" w14:textId="77777777" w:rsidR="00CE153D" w:rsidRDefault="00CE153D">
            <w:pPr>
              <w:keepNext/>
              <w:spacing w:before="53" w:after="30" w:line="200" w:lineRule="auto"/>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42C131EC" w14:textId="77777777" w:rsidR="00CE153D" w:rsidRDefault="008A7CB9">
            <w:pPr>
              <w:keepNext/>
              <w:spacing w:before="53" w:after="30" w:line="200" w:lineRule="auto"/>
              <w:jc w:val="right"/>
            </w:pPr>
            <w:r>
              <w:rPr>
                <w:color w:val="000000"/>
                <w:sz w:val="20"/>
              </w:rPr>
              <w:t>1,344 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8A50148"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D2ED2C4" w14:textId="77777777" w:rsidR="00CE153D" w:rsidRDefault="00CE153D">
            <w:pPr>
              <w:keepNext/>
              <w:spacing w:before="53" w:after="30" w:line="200" w:lineRule="auto"/>
            </w:pPr>
          </w:p>
        </w:tc>
      </w:tr>
      <w:tr w:rsidR="00CE153D" w14:paraId="6452CE23" w14:textId="77777777">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14:paraId="0504618E" w14:textId="77777777" w:rsidR="00CE153D" w:rsidRDefault="008A7CB9">
            <w:pPr>
              <w:keepNext/>
              <w:spacing w:before="53" w:after="30" w:line="200" w:lineRule="auto"/>
            </w:pPr>
            <w:r>
              <w:rPr>
                <w:color w:val="000000"/>
                <w:sz w:val="20"/>
              </w:rPr>
              <w:t>Restructuring – excess and obsolete inventory</w:t>
            </w:r>
          </w:p>
        </w:tc>
        <w:tc>
          <w:tcPr>
            <w:tcW w:w="905" w:type="dxa"/>
            <w:gridSpan w:val="2"/>
            <w:tcBorders>
              <w:top w:val="nil"/>
              <w:left w:val="nil"/>
              <w:bottom w:val="nil"/>
              <w:right w:val="nil"/>
            </w:tcBorders>
            <w:tcMar>
              <w:top w:w="0" w:type="dxa"/>
              <w:left w:w="53" w:type="dxa"/>
              <w:bottom w:w="0" w:type="dxa"/>
              <w:right w:w="0" w:type="dxa"/>
            </w:tcMar>
            <w:vAlign w:val="bottom"/>
          </w:tcPr>
          <w:p w14:paraId="141F2B7A"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0AD3A537"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7475E3CD"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69B131D8"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4DD22DC5"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1332B38A"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1B1E67DD" w14:textId="77777777" w:rsidR="00CE153D" w:rsidRDefault="008A7CB9">
            <w:pPr>
              <w:keepNext/>
              <w:spacing w:before="53" w:after="30" w:line="200" w:lineRule="auto"/>
              <w:jc w:val="right"/>
            </w:pPr>
            <w:r>
              <w:rPr>
                <w:color w:val="000000"/>
                <w:sz w:val="20"/>
              </w:rPr>
              <w:t>14,015 </w:t>
            </w:r>
          </w:p>
        </w:tc>
        <w:tc>
          <w:tcPr>
            <w:tcW w:w="100" w:type="dxa"/>
            <w:tcBorders>
              <w:top w:val="nil"/>
              <w:left w:val="nil"/>
              <w:bottom w:val="nil"/>
              <w:right w:val="nil"/>
            </w:tcBorders>
            <w:tcMar>
              <w:top w:w="0" w:type="dxa"/>
              <w:left w:w="0" w:type="dxa"/>
              <w:bottom w:w="0" w:type="dxa"/>
              <w:right w:w="15" w:type="dxa"/>
            </w:tcMar>
            <w:vAlign w:val="bottom"/>
          </w:tcPr>
          <w:p w14:paraId="78833BA2"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5D93B873"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071804B3"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3F78F03D"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1DA52A41" w14:textId="77777777" w:rsidR="00CE153D" w:rsidRDefault="00CE153D">
            <w:pPr>
              <w:keepNext/>
              <w:spacing w:before="53" w:after="30" w:line="200" w:lineRule="auto"/>
            </w:pPr>
          </w:p>
        </w:tc>
      </w:tr>
      <w:tr w:rsidR="00CE153D" w14:paraId="671D9215"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57BAFC57" w14:textId="77777777" w:rsidR="00CE153D" w:rsidRDefault="008A7CB9">
            <w:pPr>
              <w:keepNext/>
              <w:spacing w:before="53" w:after="30" w:line="200" w:lineRule="auto"/>
            </w:pPr>
            <w:r>
              <w:rPr>
                <w:color w:val="000000"/>
                <w:sz w:val="20"/>
              </w:rPr>
              <w:t>Purchase order cancellation charges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B6F7776" w14:textId="77777777" w:rsidR="00CE153D" w:rsidRDefault="008A7CB9">
            <w:pPr>
              <w:keepNext/>
              <w:spacing w:before="53" w:after="30" w:line="200" w:lineRule="auto"/>
              <w:jc w:val="right"/>
            </w:pPr>
            <w:r>
              <w:rPr>
                <w:color w:val="000000"/>
                <w:sz w:val="20"/>
              </w:rPr>
              <w:t>404 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E46CC40"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3D1679AF"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2246FE86"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89F2D41"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D97D089"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427DAE8" w14:textId="77777777" w:rsidR="00CE153D" w:rsidRDefault="008A7CB9">
            <w:pPr>
              <w:keepNext/>
              <w:spacing w:before="53" w:after="30" w:line="200" w:lineRule="auto"/>
              <w:jc w:val="right"/>
            </w:pPr>
            <w:r>
              <w:rPr>
                <w:color w:val="000000"/>
                <w:sz w:val="20"/>
              </w:rPr>
              <w:t>4,694 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805C687"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109E177E"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1BF7E65C"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4D29FF"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7B50D58E" w14:textId="77777777" w:rsidR="00CE153D" w:rsidRDefault="00CE153D">
            <w:pPr>
              <w:keepNext/>
              <w:spacing w:before="53" w:after="30" w:line="200" w:lineRule="auto"/>
            </w:pPr>
          </w:p>
        </w:tc>
      </w:tr>
      <w:tr w:rsidR="00CE153D" w14:paraId="1BAC472F" w14:textId="77777777">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14:paraId="747A263D" w14:textId="77777777" w:rsidR="00CE153D" w:rsidRDefault="008A7CB9">
            <w:pPr>
              <w:keepNext/>
              <w:spacing w:before="53" w:after="30" w:line="200" w:lineRule="auto"/>
            </w:pPr>
            <w:r>
              <w:rPr>
                <w:color w:val="000000"/>
                <w:sz w:val="20"/>
              </w:rPr>
              <w:t>Adjusted for China tariff impact, net</w:t>
            </w:r>
          </w:p>
        </w:tc>
        <w:tc>
          <w:tcPr>
            <w:tcW w:w="905" w:type="dxa"/>
            <w:gridSpan w:val="2"/>
            <w:tcBorders>
              <w:top w:val="nil"/>
              <w:left w:val="nil"/>
              <w:bottom w:val="nil"/>
              <w:right w:val="nil"/>
            </w:tcBorders>
            <w:tcMar>
              <w:top w:w="0" w:type="dxa"/>
              <w:left w:w="53" w:type="dxa"/>
              <w:bottom w:w="0" w:type="dxa"/>
              <w:right w:w="0" w:type="dxa"/>
            </w:tcMar>
            <w:vAlign w:val="bottom"/>
          </w:tcPr>
          <w:p w14:paraId="0D19E09C" w14:textId="77777777" w:rsidR="00CE153D" w:rsidRDefault="008A7CB9">
            <w:pPr>
              <w:keepNext/>
              <w:spacing w:before="53" w:after="30" w:line="200" w:lineRule="auto"/>
              <w:jc w:val="right"/>
            </w:pPr>
            <w:r>
              <w:rPr>
                <w:color w:val="000000"/>
                <w:sz w:val="20"/>
              </w:rPr>
              <w:t>(336)</w:t>
            </w:r>
          </w:p>
        </w:tc>
        <w:tc>
          <w:tcPr>
            <w:tcW w:w="100" w:type="dxa"/>
            <w:tcBorders>
              <w:top w:val="nil"/>
              <w:left w:val="nil"/>
              <w:bottom w:val="nil"/>
              <w:right w:val="nil"/>
            </w:tcBorders>
            <w:tcMar>
              <w:top w:w="0" w:type="dxa"/>
              <w:left w:w="0" w:type="dxa"/>
              <w:bottom w:w="0" w:type="dxa"/>
              <w:right w:w="15" w:type="dxa"/>
            </w:tcMar>
            <w:vAlign w:val="bottom"/>
          </w:tcPr>
          <w:p w14:paraId="34CA6A42"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545B388C"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4A953324" w14:textId="77777777" w:rsidR="00CE153D" w:rsidRDefault="008A7CB9">
            <w:pPr>
              <w:keepNext/>
              <w:spacing w:before="53" w:after="30" w:line="200" w:lineRule="auto"/>
              <w:jc w:val="right"/>
            </w:pPr>
            <w:r>
              <w:rPr>
                <w:color w:val="000000"/>
                <w:sz w:val="20"/>
              </w:rPr>
              <w:t>145 </w:t>
            </w:r>
          </w:p>
        </w:tc>
        <w:tc>
          <w:tcPr>
            <w:tcW w:w="100" w:type="dxa"/>
            <w:tcBorders>
              <w:top w:val="nil"/>
              <w:left w:val="nil"/>
              <w:bottom w:val="nil"/>
              <w:right w:val="nil"/>
            </w:tcBorders>
            <w:tcMar>
              <w:top w:w="0" w:type="dxa"/>
              <w:left w:w="0" w:type="dxa"/>
              <w:bottom w:w="0" w:type="dxa"/>
              <w:right w:w="15" w:type="dxa"/>
            </w:tcMar>
            <w:vAlign w:val="bottom"/>
          </w:tcPr>
          <w:p w14:paraId="58D7D593"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B295F03"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2D2EE489" w14:textId="77777777" w:rsidR="00CE153D" w:rsidRDefault="008A7CB9">
            <w:pPr>
              <w:keepNext/>
              <w:spacing w:before="53" w:after="30" w:line="200" w:lineRule="auto"/>
              <w:jc w:val="right"/>
            </w:pPr>
            <w:r>
              <w:rPr>
                <w:color w:val="000000"/>
                <w:sz w:val="20"/>
              </w:rPr>
              <w:t>(433)</w:t>
            </w:r>
          </w:p>
        </w:tc>
        <w:tc>
          <w:tcPr>
            <w:tcW w:w="100" w:type="dxa"/>
            <w:tcBorders>
              <w:top w:val="nil"/>
              <w:left w:val="nil"/>
              <w:bottom w:val="nil"/>
              <w:right w:val="nil"/>
            </w:tcBorders>
            <w:tcMar>
              <w:top w:w="0" w:type="dxa"/>
              <w:left w:w="0" w:type="dxa"/>
              <w:bottom w:w="0" w:type="dxa"/>
              <w:right w:w="15" w:type="dxa"/>
            </w:tcMar>
            <w:vAlign w:val="bottom"/>
          </w:tcPr>
          <w:p w14:paraId="7B022BB7"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1D54046B"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3B3A36F1" w14:textId="77777777" w:rsidR="00CE153D" w:rsidRDefault="008A7CB9">
            <w:pPr>
              <w:keepNext/>
              <w:spacing w:before="53" w:after="30" w:line="200" w:lineRule="auto"/>
              <w:jc w:val="right"/>
            </w:pPr>
            <w:r>
              <w:rPr>
                <w:color w:val="000000"/>
                <w:sz w:val="20"/>
              </w:rPr>
              <w:t>3,514 </w:t>
            </w:r>
          </w:p>
        </w:tc>
        <w:tc>
          <w:tcPr>
            <w:tcW w:w="100" w:type="dxa"/>
            <w:tcBorders>
              <w:top w:val="nil"/>
              <w:left w:val="nil"/>
              <w:bottom w:val="nil"/>
              <w:right w:val="nil"/>
            </w:tcBorders>
            <w:tcMar>
              <w:top w:w="0" w:type="dxa"/>
              <w:left w:w="0" w:type="dxa"/>
              <w:bottom w:w="0" w:type="dxa"/>
              <w:right w:w="15" w:type="dxa"/>
            </w:tcMar>
            <w:vAlign w:val="bottom"/>
          </w:tcPr>
          <w:p w14:paraId="435A8CA0"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03D19E23" w14:textId="77777777" w:rsidR="00CE153D" w:rsidRDefault="00CE153D">
            <w:pPr>
              <w:keepNext/>
              <w:spacing w:before="53" w:after="30" w:line="200" w:lineRule="auto"/>
            </w:pPr>
          </w:p>
        </w:tc>
      </w:tr>
      <w:tr w:rsidR="00CE153D" w14:paraId="141FEBE8"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3B339ED5" w14:textId="77777777" w:rsidR="00CE153D" w:rsidRDefault="008A7CB9">
            <w:pPr>
              <w:keepNext/>
              <w:spacing w:before="53" w:after="30" w:line="200" w:lineRule="auto"/>
            </w:pPr>
            <w:r>
              <w:rPr>
                <w:color w:val="000000"/>
                <w:sz w:val="20"/>
              </w:rPr>
              <w:t>Non-recurring litigation and consulting costs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4661132A" w14:textId="77777777" w:rsidR="00CE153D" w:rsidRDefault="008A7CB9">
            <w:pPr>
              <w:keepNext/>
              <w:spacing w:before="53" w:after="30" w:line="200" w:lineRule="auto"/>
              <w:jc w:val="right"/>
            </w:pPr>
            <w:r>
              <w:rPr>
                <w:color w:val="000000"/>
                <w:sz w:val="20"/>
              </w:rPr>
              <w:t>666 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5291E88"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65850CF0"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C4E429B" w14:textId="77777777" w:rsidR="00CE153D" w:rsidRDefault="008A7CB9">
            <w:pPr>
              <w:keepNext/>
              <w:spacing w:before="53" w:after="30" w:line="200" w:lineRule="auto"/>
              <w:jc w:val="right"/>
            </w:pPr>
            <w:r>
              <w:rPr>
                <w:color w:val="000000"/>
                <w:sz w:val="20"/>
              </w:rPr>
              <w:t>397 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15E11F9"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30E432E2"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D80CF22" w14:textId="77777777" w:rsidR="00CE153D" w:rsidRDefault="008A7CB9">
            <w:pPr>
              <w:keepNext/>
              <w:spacing w:before="53" w:after="30" w:line="200" w:lineRule="auto"/>
              <w:jc w:val="right"/>
            </w:pPr>
            <w:r>
              <w:rPr>
                <w:color w:val="000000"/>
                <w:sz w:val="20"/>
              </w:rPr>
              <w:t>3,616 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1972CB0"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6F9A0D8A"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04064A6B" w14:textId="77777777" w:rsidR="00CE153D" w:rsidRDefault="008A7CB9">
            <w:pPr>
              <w:keepNext/>
              <w:spacing w:before="53" w:after="30" w:line="200" w:lineRule="auto"/>
              <w:jc w:val="right"/>
            </w:pPr>
            <w:r>
              <w:rPr>
                <w:color w:val="000000"/>
                <w:sz w:val="20"/>
              </w:rPr>
              <w:t>947 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06191EA"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A276379" w14:textId="77777777" w:rsidR="00CE153D" w:rsidRDefault="00CE153D">
            <w:pPr>
              <w:keepNext/>
              <w:spacing w:before="53" w:after="30" w:line="200" w:lineRule="auto"/>
            </w:pPr>
          </w:p>
        </w:tc>
      </w:tr>
      <w:tr w:rsidR="00CE153D" w14:paraId="59AA288F" w14:textId="77777777">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14:paraId="27A9E811" w14:textId="77777777" w:rsidR="00CE153D" w:rsidRDefault="008A7CB9">
            <w:pPr>
              <w:keepNext/>
              <w:spacing w:before="53" w:after="30" w:line="200" w:lineRule="auto"/>
            </w:pPr>
            <w:r>
              <w:rPr>
                <w:color w:val="000000"/>
                <w:sz w:val="20"/>
              </w:rPr>
              <w:t>Stock-based compensation</w:t>
            </w:r>
          </w:p>
        </w:tc>
        <w:tc>
          <w:tcPr>
            <w:tcW w:w="905" w:type="dxa"/>
            <w:gridSpan w:val="2"/>
            <w:tcBorders>
              <w:top w:val="nil"/>
              <w:left w:val="nil"/>
              <w:bottom w:val="nil"/>
              <w:right w:val="nil"/>
            </w:tcBorders>
            <w:tcMar>
              <w:top w:w="0" w:type="dxa"/>
              <w:left w:w="53" w:type="dxa"/>
              <w:bottom w:w="0" w:type="dxa"/>
              <w:right w:w="0" w:type="dxa"/>
            </w:tcMar>
            <w:vAlign w:val="bottom"/>
          </w:tcPr>
          <w:p w14:paraId="3C38A446" w14:textId="77777777" w:rsidR="00CE153D" w:rsidRDefault="008A7CB9">
            <w:pPr>
              <w:keepNext/>
              <w:spacing w:before="53" w:after="30" w:line="200" w:lineRule="auto"/>
              <w:jc w:val="right"/>
            </w:pPr>
            <w:r>
              <w:rPr>
                <w:color w:val="000000"/>
                <w:sz w:val="20"/>
              </w:rPr>
              <w:t>2,934 </w:t>
            </w:r>
          </w:p>
        </w:tc>
        <w:tc>
          <w:tcPr>
            <w:tcW w:w="100" w:type="dxa"/>
            <w:tcBorders>
              <w:top w:val="nil"/>
              <w:left w:val="nil"/>
              <w:bottom w:val="nil"/>
              <w:right w:val="nil"/>
            </w:tcBorders>
            <w:tcMar>
              <w:top w:w="0" w:type="dxa"/>
              <w:left w:w="0" w:type="dxa"/>
              <w:bottom w:w="0" w:type="dxa"/>
              <w:right w:w="15" w:type="dxa"/>
            </w:tcMar>
            <w:vAlign w:val="bottom"/>
          </w:tcPr>
          <w:p w14:paraId="6402F1EF"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0085C3A"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3BC70752" w14:textId="77777777" w:rsidR="00CE153D" w:rsidRDefault="008A7CB9">
            <w:pPr>
              <w:keepNext/>
              <w:spacing w:before="53" w:after="30" w:line="200" w:lineRule="auto"/>
              <w:jc w:val="right"/>
            </w:pPr>
            <w:r>
              <w:rPr>
                <w:color w:val="000000"/>
                <w:sz w:val="20"/>
              </w:rPr>
              <w:t>4,545 </w:t>
            </w:r>
          </w:p>
        </w:tc>
        <w:tc>
          <w:tcPr>
            <w:tcW w:w="100" w:type="dxa"/>
            <w:tcBorders>
              <w:top w:val="nil"/>
              <w:left w:val="nil"/>
              <w:bottom w:val="nil"/>
              <w:right w:val="nil"/>
            </w:tcBorders>
            <w:tcMar>
              <w:top w:w="0" w:type="dxa"/>
              <w:left w:w="0" w:type="dxa"/>
              <w:bottom w:w="0" w:type="dxa"/>
              <w:right w:w="15" w:type="dxa"/>
            </w:tcMar>
            <w:vAlign w:val="bottom"/>
          </w:tcPr>
          <w:p w14:paraId="5D709DF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446A04DF"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3249B28F" w14:textId="77777777" w:rsidR="00CE153D" w:rsidRDefault="008A7CB9">
            <w:pPr>
              <w:keepNext/>
              <w:spacing w:before="53" w:after="30" w:line="200" w:lineRule="auto"/>
              <w:jc w:val="right"/>
            </w:pPr>
            <w:r>
              <w:rPr>
                <w:color w:val="000000"/>
                <w:sz w:val="20"/>
              </w:rPr>
              <w:t>14,008 </w:t>
            </w:r>
          </w:p>
        </w:tc>
        <w:tc>
          <w:tcPr>
            <w:tcW w:w="100" w:type="dxa"/>
            <w:tcBorders>
              <w:top w:val="nil"/>
              <w:left w:val="nil"/>
              <w:bottom w:val="nil"/>
              <w:right w:val="nil"/>
            </w:tcBorders>
            <w:tcMar>
              <w:top w:w="0" w:type="dxa"/>
              <w:left w:w="0" w:type="dxa"/>
              <w:bottom w:w="0" w:type="dxa"/>
              <w:right w:w="15" w:type="dxa"/>
            </w:tcMar>
            <w:vAlign w:val="bottom"/>
          </w:tcPr>
          <w:p w14:paraId="5053DFBB"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3CBAE339"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68ABD6D3" w14:textId="77777777" w:rsidR="00CE153D" w:rsidRDefault="008A7CB9">
            <w:pPr>
              <w:keepNext/>
              <w:spacing w:before="53" w:after="30" w:line="200" w:lineRule="auto"/>
              <w:jc w:val="right"/>
            </w:pPr>
            <w:r>
              <w:rPr>
                <w:color w:val="000000"/>
                <w:sz w:val="20"/>
              </w:rPr>
              <w:t>13,384 </w:t>
            </w:r>
          </w:p>
        </w:tc>
        <w:tc>
          <w:tcPr>
            <w:tcW w:w="100" w:type="dxa"/>
            <w:tcBorders>
              <w:top w:val="nil"/>
              <w:left w:val="nil"/>
              <w:bottom w:val="nil"/>
              <w:right w:val="nil"/>
            </w:tcBorders>
            <w:tcMar>
              <w:top w:w="0" w:type="dxa"/>
              <w:left w:w="0" w:type="dxa"/>
              <w:bottom w:w="0" w:type="dxa"/>
              <w:right w:w="15" w:type="dxa"/>
            </w:tcMar>
            <w:vAlign w:val="bottom"/>
          </w:tcPr>
          <w:p w14:paraId="235D43A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4BFA3AAF" w14:textId="77777777" w:rsidR="00CE153D" w:rsidRDefault="00CE153D">
            <w:pPr>
              <w:keepNext/>
              <w:spacing w:before="53" w:after="30" w:line="200" w:lineRule="auto"/>
            </w:pPr>
          </w:p>
        </w:tc>
      </w:tr>
      <w:tr w:rsidR="00CE153D" w14:paraId="369BCF81"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6FE2DFBF" w14:textId="77777777" w:rsidR="00CE153D" w:rsidRDefault="008A7CB9">
            <w:pPr>
              <w:keepNext/>
              <w:spacing w:before="53" w:after="30" w:line="200" w:lineRule="auto"/>
            </w:pPr>
            <w:r>
              <w:rPr>
                <w:color w:val="000000"/>
                <w:sz w:val="20"/>
              </w:rPr>
              <w:t>Restructuring costs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6DAE8E81" w14:textId="77777777" w:rsidR="00CE153D" w:rsidRDefault="008A7CB9">
            <w:pPr>
              <w:keepNext/>
              <w:spacing w:before="53" w:after="30" w:line="200" w:lineRule="auto"/>
              <w:jc w:val="right"/>
            </w:pPr>
            <w:r>
              <w:rPr>
                <w:color w:val="000000"/>
                <w:sz w:val="20"/>
              </w:rPr>
              <w:t>105 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C9DEF43"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31F0B5AE"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7A76B3F7" w14:textId="77777777" w:rsidR="00CE153D" w:rsidRDefault="008A7CB9">
            <w:pPr>
              <w:keepNext/>
              <w:spacing w:before="53" w:after="30" w:line="200" w:lineRule="auto"/>
              <w:jc w:val="right"/>
            </w:pPr>
            <w:r>
              <w:rPr>
                <w:color w:val="000000"/>
                <w:sz w:val="20"/>
              </w:rPr>
              <w:t>366 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6E3102E"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3FF07B85"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07BF69BF" w14:textId="77777777" w:rsidR="00CE153D" w:rsidRDefault="008A7CB9">
            <w:pPr>
              <w:keepNext/>
              <w:spacing w:before="53" w:after="30" w:line="200" w:lineRule="auto"/>
              <w:jc w:val="right"/>
            </w:pPr>
            <w:r>
              <w:rPr>
                <w:color w:val="000000"/>
                <w:sz w:val="20"/>
              </w:rPr>
              <w:t>8,358 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48825A"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9BD98DA"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599DBB16" w14:textId="77777777" w:rsidR="00CE153D" w:rsidRDefault="008A7CB9">
            <w:pPr>
              <w:keepNext/>
              <w:spacing w:before="53" w:after="30" w:line="200" w:lineRule="auto"/>
              <w:jc w:val="right"/>
            </w:pPr>
            <w:r>
              <w:rPr>
                <w:color w:val="000000"/>
                <w:sz w:val="20"/>
              </w:rPr>
              <w:t>366 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31F174F"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2ACDDCC9" w14:textId="77777777" w:rsidR="00CE153D" w:rsidRDefault="00CE153D">
            <w:pPr>
              <w:keepNext/>
              <w:spacing w:before="53" w:after="30" w:line="200" w:lineRule="auto"/>
            </w:pPr>
          </w:p>
        </w:tc>
      </w:tr>
      <w:tr w:rsidR="00CE153D" w14:paraId="3A201CC0"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12746274" w14:textId="77777777" w:rsidR="00CE153D" w:rsidRDefault="008A7CB9">
            <w:pPr>
              <w:keepNext/>
              <w:spacing w:before="53" w:after="30" w:line="200" w:lineRule="auto"/>
            </w:pPr>
            <w:r>
              <w:rPr>
                <w:color w:val="000000"/>
                <w:sz w:val="20"/>
              </w:rPr>
              <w:t>Foreign exchange loss</w:t>
            </w:r>
          </w:p>
        </w:tc>
        <w:tc>
          <w:tcPr>
            <w:tcW w:w="905" w:type="dxa"/>
            <w:gridSpan w:val="2"/>
            <w:tcBorders>
              <w:top w:val="nil"/>
              <w:left w:val="nil"/>
              <w:bottom w:val="nil"/>
              <w:right w:val="nil"/>
            </w:tcBorders>
            <w:tcMar>
              <w:top w:w="0" w:type="dxa"/>
              <w:left w:w="53" w:type="dxa"/>
              <w:bottom w:w="0" w:type="dxa"/>
              <w:right w:w="0" w:type="dxa"/>
            </w:tcMar>
            <w:vAlign w:val="bottom"/>
          </w:tcPr>
          <w:p w14:paraId="15F1C6C6" w14:textId="77777777" w:rsidR="00CE153D" w:rsidRDefault="008A7CB9">
            <w:pPr>
              <w:keepNext/>
              <w:spacing w:before="53" w:after="30" w:line="200" w:lineRule="auto"/>
              <w:jc w:val="right"/>
            </w:pPr>
            <w:r>
              <w:rPr>
                <w:color w:val="000000"/>
                <w:sz w:val="20"/>
              </w:rPr>
              <w:t>262 </w:t>
            </w:r>
          </w:p>
        </w:tc>
        <w:tc>
          <w:tcPr>
            <w:tcW w:w="100" w:type="dxa"/>
            <w:tcBorders>
              <w:top w:val="nil"/>
              <w:left w:val="nil"/>
              <w:bottom w:val="nil"/>
              <w:right w:val="nil"/>
            </w:tcBorders>
            <w:tcMar>
              <w:top w:w="0" w:type="dxa"/>
              <w:left w:w="0" w:type="dxa"/>
              <w:bottom w:w="0" w:type="dxa"/>
              <w:right w:w="15" w:type="dxa"/>
            </w:tcMar>
            <w:vAlign w:val="bottom"/>
          </w:tcPr>
          <w:p w14:paraId="77634A1B"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371EE625"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376FE87E"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5B36F573"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6732826"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6AD81ECE" w14:textId="77777777" w:rsidR="00CE153D" w:rsidRDefault="008A7CB9">
            <w:pPr>
              <w:keepNext/>
              <w:spacing w:before="53" w:after="30" w:line="200" w:lineRule="auto"/>
              <w:jc w:val="right"/>
            </w:pPr>
            <w:r>
              <w:rPr>
                <w:color w:val="000000"/>
                <w:sz w:val="20"/>
              </w:rPr>
              <w:t>262 </w:t>
            </w:r>
          </w:p>
        </w:tc>
        <w:tc>
          <w:tcPr>
            <w:tcW w:w="100" w:type="dxa"/>
            <w:tcBorders>
              <w:top w:val="nil"/>
              <w:left w:val="nil"/>
              <w:bottom w:val="nil"/>
              <w:right w:val="nil"/>
            </w:tcBorders>
            <w:tcMar>
              <w:top w:w="0" w:type="dxa"/>
              <w:left w:w="0" w:type="dxa"/>
              <w:bottom w:w="0" w:type="dxa"/>
              <w:right w:w="15" w:type="dxa"/>
            </w:tcMar>
            <w:vAlign w:val="bottom"/>
          </w:tcPr>
          <w:p w14:paraId="0022BF59"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50136C35"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142B13E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53A78DA9" w14:textId="77777777" w:rsidR="00CE153D" w:rsidRDefault="00CE153D">
            <w:pPr>
              <w:keepNext/>
              <w:spacing w:before="53" w:after="30" w:line="200" w:lineRule="auto"/>
            </w:pPr>
          </w:p>
        </w:tc>
        <w:tc>
          <w:tcPr>
            <w:tcW w:w="480" w:type="dxa"/>
            <w:tcBorders>
              <w:top w:val="nil"/>
              <w:left w:val="nil"/>
              <w:bottom w:val="nil"/>
              <w:right w:val="nil"/>
            </w:tcBorders>
            <w:tcMar>
              <w:top w:w="0" w:type="dxa"/>
              <w:left w:w="0" w:type="dxa"/>
              <w:bottom w:w="0" w:type="dxa"/>
              <w:right w:w="0" w:type="dxa"/>
            </w:tcMar>
            <w:vAlign w:val="bottom"/>
          </w:tcPr>
          <w:p w14:paraId="5DF27930" w14:textId="77777777" w:rsidR="00CE153D" w:rsidRDefault="00CE153D">
            <w:pPr>
              <w:keepNext/>
            </w:pPr>
          </w:p>
        </w:tc>
      </w:tr>
      <w:tr w:rsidR="00CE153D" w14:paraId="75355CE2"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CFBC451" w14:textId="77777777" w:rsidR="00CE153D" w:rsidRDefault="008A7CB9">
            <w:pPr>
              <w:keepNext/>
              <w:spacing w:before="53" w:after="30" w:line="200" w:lineRule="auto"/>
            </w:pPr>
            <w:r>
              <w:rPr>
                <w:color w:val="000000"/>
                <w:sz w:val="20"/>
              </w:rPr>
              <w:t>Severance costs</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61A75E12"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CD0C21C"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1FB3A9C1"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4A841513"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8294A13"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730BA260"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20613729" w14:textId="77777777" w:rsidR="00CE153D" w:rsidRDefault="008A7CB9">
            <w:pPr>
              <w:keepNext/>
              <w:spacing w:before="53" w:after="30" w:line="200" w:lineRule="auto"/>
              <w:jc w:val="right"/>
            </w:pPr>
            <w:r>
              <w:rPr>
                <w:color w:val="000000"/>
                <w:sz w:val="20"/>
              </w:rPr>
              <w:t>623 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C8DE427"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7A769836"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32BA4CF9"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027C1F4"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0486AC9" w14:textId="77777777" w:rsidR="00CE153D" w:rsidRDefault="00CE153D">
            <w:pPr>
              <w:keepNext/>
              <w:spacing w:before="53" w:after="30" w:line="200" w:lineRule="auto"/>
            </w:pPr>
          </w:p>
        </w:tc>
      </w:tr>
      <w:tr w:rsidR="00CE153D" w14:paraId="33969974" w14:textId="77777777">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14:paraId="1B394F54" w14:textId="77777777" w:rsidR="00CE153D" w:rsidRDefault="008A7CB9">
            <w:pPr>
              <w:keepNext/>
              <w:spacing w:before="53" w:after="30" w:line="200" w:lineRule="auto"/>
            </w:pPr>
            <w:r>
              <w:rPr>
                <w:color w:val="000000"/>
                <w:sz w:val="20"/>
              </w:rPr>
              <w:t>Gain on disposition of assets</w:t>
            </w:r>
          </w:p>
        </w:tc>
        <w:tc>
          <w:tcPr>
            <w:tcW w:w="905" w:type="dxa"/>
            <w:gridSpan w:val="2"/>
            <w:tcBorders>
              <w:top w:val="nil"/>
              <w:left w:val="nil"/>
              <w:bottom w:val="nil"/>
              <w:right w:val="nil"/>
            </w:tcBorders>
            <w:tcMar>
              <w:top w:w="0" w:type="dxa"/>
              <w:left w:w="53" w:type="dxa"/>
              <w:bottom w:w="0" w:type="dxa"/>
              <w:right w:w="0" w:type="dxa"/>
            </w:tcMar>
            <w:vAlign w:val="bottom"/>
          </w:tcPr>
          <w:p w14:paraId="00A509BC"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567317F5"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186B07B8"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5D13EA7E" w14:textId="77777777" w:rsidR="00CE153D" w:rsidRDefault="008A7CB9">
            <w:pPr>
              <w:keepNext/>
              <w:spacing w:before="53" w:after="30" w:line="200" w:lineRule="auto"/>
              <w:jc w:val="right"/>
            </w:pPr>
            <w:r>
              <w:rPr>
                <w:color w:val="000000"/>
                <w:sz w:val="20"/>
              </w:rPr>
              <w:t>150 </w:t>
            </w:r>
          </w:p>
        </w:tc>
        <w:tc>
          <w:tcPr>
            <w:tcW w:w="100" w:type="dxa"/>
            <w:tcBorders>
              <w:top w:val="nil"/>
              <w:left w:val="nil"/>
              <w:bottom w:val="nil"/>
              <w:right w:val="nil"/>
            </w:tcBorders>
            <w:tcMar>
              <w:top w:w="0" w:type="dxa"/>
              <w:left w:w="0" w:type="dxa"/>
              <w:bottom w:w="0" w:type="dxa"/>
              <w:right w:w="15" w:type="dxa"/>
            </w:tcMar>
            <w:vAlign w:val="bottom"/>
          </w:tcPr>
          <w:p w14:paraId="6017DD01"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0E866B86"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55D7A655"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4D14DCA0"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3460C67C"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7FAB4D26" w14:textId="77777777" w:rsidR="00CE153D" w:rsidRDefault="008A7CB9">
            <w:pPr>
              <w:keepNext/>
              <w:spacing w:before="53" w:after="30" w:line="200" w:lineRule="auto"/>
              <w:jc w:val="right"/>
            </w:pPr>
            <w:r>
              <w:rPr>
                <w:color w:val="000000"/>
                <w:sz w:val="20"/>
              </w:rPr>
              <w:t>(1,104)</w:t>
            </w:r>
          </w:p>
        </w:tc>
        <w:tc>
          <w:tcPr>
            <w:tcW w:w="100" w:type="dxa"/>
            <w:tcBorders>
              <w:top w:val="nil"/>
              <w:left w:val="nil"/>
              <w:bottom w:val="nil"/>
              <w:right w:val="nil"/>
            </w:tcBorders>
            <w:tcMar>
              <w:top w:w="0" w:type="dxa"/>
              <w:left w:w="0" w:type="dxa"/>
              <w:bottom w:w="0" w:type="dxa"/>
              <w:right w:w="15" w:type="dxa"/>
            </w:tcMar>
            <w:vAlign w:val="bottom"/>
          </w:tcPr>
          <w:p w14:paraId="69BB9D4B"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5D8E3510" w14:textId="77777777" w:rsidR="00CE153D" w:rsidRDefault="00CE153D">
            <w:pPr>
              <w:keepNext/>
              <w:spacing w:before="53" w:after="30" w:line="200" w:lineRule="auto"/>
            </w:pPr>
          </w:p>
        </w:tc>
      </w:tr>
      <w:tr w:rsidR="00CE153D" w14:paraId="5D9185BB"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3389CD89" w14:textId="77777777" w:rsidR="00CE153D" w:rsidRDefault="008A7CB9">
            <w:pPr>
              <w:keepNext/>
              <w:spacing w:before="53" w:after="30" w:line="200" w:lineRule="auto"/>
            </w:pPr>
            <w:r>
              <w:rPr>
                <w:color w:val="000000"/>
                <w:sz w:val="20"/>
              </w:rPr>
              <w:t>Lease termination liability release gain</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489EC4CE"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DF0E9FB"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6E4CFF2C"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1AE635A5"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CA4BBC2"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6C3B986"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DB11E6D" w14:textId="77777777" w:rsidR="00CE153D" w:rsidRDefault="008A7CB9">
            <w:pPr>
              <w:keepNext/>
              <w:spacing w:before="53" w:after="30" w:line="200" w:lineRule="auto"/>
              <w:jc w:val="right"/>
            </w:pPr>
            <w:r>
              <w:rPr>
                <w:color w:val="000000"/>
                <w:sz w:val="20"/>
              </w:rPr>
              <w:t>(798)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E8FFC8"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BA980BC"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10BC876A"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A39C31"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EABBD7F" w14:textId="77777777" w:rsidR="00CE153D" w:rsidRDefault="00CE153D">
            <w:pPr>
              <w:keepNext/>
              <w:spacing w:before="53" w:after="30" w:line="200" w:lineRule="auto"/>
            </w:pPr>
          </w:p>
        </w:tc>
      </w:tr>
      <w:tr w:rsidR="00CE153D" w14:paraId="6F3F9257"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32C4338C" w14:textId="2D1D78D2" w:rsidR="00CE153D" w:rsidRDefault="008A7CB9">
            <w:pPr>
              <w:keepNext/>
              <w:spacing w:before="53" w:after="30" w:line="200" w:lineRule="auto"/>
            </w:pPr>
            <w:r>
              <w:rPr>
                <w:color w:val="000000"/>
                <w:sz w:val="20"/>
              </w:rPr>
              <w:t xml:space="preserve">Loss on </w:t>
            </w:r>
            <w:r w:rsidR="0011309F">
              <w:rPr>
                <w:color w:val="000000"/>
                <w:sz w:val="20"/>
              </w:rPr>
              <w:t>e</w:t>
            </w:r>
            <w:r>
              <w:rPr>
                <w:color w:val="000000"/>
                <w:sz w:val="20"/>
              </w:rPr>
              <w:t xml:space="preserve">xtinguishment of </w:t>
            </w:r>
            <w:r w:rsidR="0011309F">
              <w:rPr>
                <w:color w:val="000000"/>
                <w:sz w:val="20"/>
              </w:rPr>
              <w:t>d</w:t>
            </w:r>
            <w:r>
              <w:rPr>
                <w:color w:val="000000"/>
                <w:sz w:val="20"/>
              </w:rPr>
              <w:t>ebt</w:t>
            </w:r>
          </w:p>
        </w:tc>
        <w:tc>
          <w:tcPr>
            <w:tcW w:w="905" w:type="dxa"/>
            <w:gridSpan w:val="2"/>
            <w:tcBorders>
              <w:top w:val="nil"/>
              <w:left w:val="nil"/>
              <w:bottom w:val="nil"/>
              <w:right w:val="nil"/>
            </w:tcBorders>
            <w:tcMar>
              <w:top w:w="0" w:type="dxa"/>
              <w:left w:w="53" w:type="dxa"/>
              <w:bottom w:w="0" w:type="dxa"/>
              <w:right w:w="0" w:type="dxa"/>
            </w:tcMar>
            <w:vAlign w:val="bottom"/>
          </w:tcPr>
          <w:p w14:paraId="2BFA48D1" w14:textId="77777777" w:rsidR="00CE153D" w:rsidRDefault="008A7CB9">
            <w:pPr>
              <w:keepNext/>
              <w:spacing w:before="53" w:after="30" w:line="200" w:lineRule="auto"/>
              <w:jc w:val="right"/>
            </w:pPr>
            <w:r>
              <w:rPr>
                <w:color w:val="000000"/>
                <w:sz w:val="20"/>
              </w:rPr>
              <w:t>1,651 </w:t>
            </w:r>
          </w:p>
        </w:tc>
        <w:tc>
          <w:tcPr>
            <w:tcW w:w="100" w:type="dxa"/>
            <w:tcBorders>
              <w:top w:val="nil"/>
              <w:left w:val="nil"/>
              <w:bottom w:val="nil"/>
              <w:right w:val="nil"/>
            </w:tcBorders>
            <w:tcMar>
              <w:top w:w="0" w:type="dxa"/>
              <w:left w:w="0" w:type="dxa"/>
              <w:bottom w:w="0" w:type="dxa"/>
              <w:right w:w="15" w:type="dxa"/>
            </w:tcMar>
            <w:vAlign w:val="bottom"/>
          </w:tcPr>
          <w:p w14:paraId="3BC8544A"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0F5676F9"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031EEB01"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542A2FD9"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717A714C"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01595CCF" w14:textId="77777777" w:rsidR="00CE153D" w:rsidRDefault="008A7CB9">
            <w:pPr>
              <w:keepNext/>
              <w:spacing w:before="53" w:after="30" w:line="200" w:lineRule="auto"/>
              <w:jc w:val="right"/>
            </w:pPr>
            <w:r>
              <w:rPr>
                <w:color w:val="000000"/>
                <w:sz w:val="20"/>
              </w:rPr>
              <w:t>1,651 </w:t>
            </w:r>
          </w:p>
        </w:tc>
        <w:tc>
          <w:tcPr>
            <w:tcW w:w="100" w:type="dxa"/>
            <w:tcBorders>
              <w:top w:val="nil"/>
              <w:left w:val="nil"/>
              <w:bottom w:val="nil"/>
              <w:right w:val="nil"/>
            </w:tcBorders>
            <w:tcMar>
              <w:top w:w="0" w:type="dxa"/>
              <w:left w:w="0" w:type="dxa"/>
              <w:bottom w:w="0" w:type="dxa"/>
              <w:right w:w="15" w:type="dxa"/>
            </w:tcMar>
            <w:vAlign w:val="bottom"/>
          </w:tcPr>
          <w:p w14:paraId="5C4A2FC3"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25173F62"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07E754FE"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50B44533" w14:textId="77777777" w:rsidR="00CE153D" w:rsidRDefault="00CE153D">
            <w:pPr>
              <w:keepNext/>
              <w:spacing w:before="53" w:after="30" w:line="200" w:lineRule="auto"/>
            </w:pPr>
          </w:p>
        </w:tc>
        <w:tc>
          <w:tcPr>
            <w:tcW w:w="480" w:type="dxa"/>
            <w:tcBorders>
              <w:top w:val="nil"/>
              <w:left w:val="nil"/>
              <w:bottom w:val="nil"/>
              <w:right w:val="nil"/>
            </w:tcBorders>
            <w:tcMar>
              <w:top w:w="0" w:type="dxa"/>
              <w:left w:w="0" w:type="dxa"/>
              <w:bottom w:w="0" w:type="dxa"/>
              <w:right w:w="0" w:type="dxa"/>
            </w:tcMar>
            <w:vAlign w:val="bottom"/>
          </w:tcPr>
          <w:p w14:paraId="2ECFA6D2" w14:textId="77777777" w:rsidR="00CE153D" w:rsidRDefault="00CE153D">
            <w:pPr>
              <w:keepNext/>
            </w:pPr>
          </w:p>
        </w:tc>
      </w:tr>
      <w:tr w:rsidR="00CE153D" w14:paraId="4A7F8543"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4DDFB74" w14:textId="77777777" w:rsidR="00CE153D" w:rsidRDefault="008A7CB9">
            <w:pPr>
              <w:keepNext/>
              <w:spacing w:before="53" w:after="30" w:line="200" w:lineRule="auto"/>
            </w:pPr>
            <w:r>
              <w:rPr>
                <w:color w:val="000000"/>
                <w:sz w:val="20"/>
              </w:rPr>
              <w:t>Change in fair value of warrant liability</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0304880E" w14:textId="77777777" w:rsidR="00CE153D" w:rsidRDefault="008A7CB9">
            <w:pPr>
              <w:keepNext/>
              <w:spacing w:before="53" w:after="30" w:line="200" w:lineRule="auto"/>
              <w:jc w:val="right"/>
            </w:pPr>
            <w:r>
              <w:rPr>
                <w:color w:val="000000"/>
                <w:sz w:val="20"/>
              </w:rPr>
              <w:t>(1,644)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FE43EC0"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2483866"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7A87A12" w14:textId="77777777" w:rsidR="00CE153D" w:rsidRDefault="008A7CB9">
            <w:pPr>
              <w:keepNext/>
              <w:spacing w:before="53" w:after="30" w:line="200" w:lineRule="auto"/>
              <w:jc w:val="right"/>
            </w:pPr>
            <w:r>
              <w:rPr>
                <w:color w:val="000000"/>
                <w:sz w:val="20"/>
              </w:rPr>
              <w:t>(1,985)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5FD649"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58AC8EE0"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6EF217D7" w14:textId="77777777" w:rsidR="00CE153D" w:rsidRDefault="008A7CB9">
            <w:pPr>
              <w:keepNext/>
              <w:spacing w:before="53" w:after="30" w:line="200" w:lineRule="auto"/>
              <w:jc w:val="right"/>
            </w:pPr>
            <w:r>
              <w:rPr>
                <w:color w:val="000000"/>
                <w:sz w:val="20"/>
              </w:rPr>
              <w:t>(5,079)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8898598"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ED7070A"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0A35D6EA" w14:textId="77777777" w:rsidR="00CE153D" w:rsidRDefault="008A7CB9">
            <w:pPr>
              <w:keepNext/>
              <w:spacing w:before="53" w:after="30" w:line="200" w:lineRule="auto"/>
              <w:jc w:val="right"/>
            </w:pPr>
            <w:r>
              <w:rPr>
                <w:color w:val="000000"/>
                <w:sz w:val="20"/>
              </w:rPr>
              <w:t>(9,294)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E827F09"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7F5066AA" w14:textId="77777777" w:rsidR="00CE153D" w:rsidRDefault="00CE153D">
            <w:pPr>
              <w:keepNext/>
              <w:spacing w:before="53" w:after="30" w:line="200" w:lineRule="auto"/>
            </w:pPr>
          </w:p>
        </w:tc>
      </w:tr>
      <w:tr w:rsidR="00CE153D" w14:paraId="36D520B6"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19283EC6" w14:textId="77777777" w:rsidR="00CE153D" w:rsidRDefault="008A7CB9">
            <w:pPr>
              <w:keepNext/>
              <w:spacing w:before="53" w:after="30" w:line="200" w:lineRule="auto"/>
            </w:pPr>
            <w:r>
              <w:rPr>
                <w:color w:val="000000"/>
                <w:sz w:val="20"/>
              </w:rPr>
              <w:t>Impairment loss on intangible asset</w:t>
            </w:r>
          </w:p>
        </w:tc>
        <w:tc>
          <w:tcPr>
            <w:tcW w:w="905" w:type="dxa"/>
            <w:gridSpan w:val="2"/>
            <w:tcBorders>
              <w:top w:val="nil"/>
              <w:left w:val="nil"/>
              <w:bottom w:val="nil"/>
              <w:right w:val="nil"/>
            </w:tcBorders>
            <w:tcMar>
              <w:top w:w="0" w:type="dxa"/>
              <w:left w:w="53" w:type="dxa"/>
              <w:bottom w:w="0" w:type="dxa"/>
              <w:right w:w="0" w:type="dxa"/>
            </w:tcMar>
            <w:vAlign w:val="bottom"/>
          </w:tcPr>
          <w:p w14:paraId="37FCE6D4" w14:textId="77777777" w:rsidR="00CE153D" w:rsidRDefault="008A7CB9">
            <w:pPr>
              <w:keepNext/>
              <w:spacing w:before="53" w:after="30" w:line="200" w:lineRule="auto"/>
              <w:jc w:val="right"/>
            </w:pPr>
            <w:r>
              <w:rPr>
                <w:color w:val="000000"/>
                <w:sz w:val="20"/>
              </w:rPr>
              <w:t>1,156 </w:t>
            </w:r>
          </w:p>
        </w:tc>
        <w:tc>
          <w:tcPr>
            <w:tcW w:w="100" w:type="dxa"/>
            <w:tcBorders>
              <w:top w:val="nil"/>
              <w:left w:val="nil"/>
              <w:bottom w:val="nil"/>
              <w:right w:val="nil"/>
            </w:tcBorders>
            <w:tcMar>
              <w:top w:w="0" w:type="dxa"/>
              <w:left w:w="0" w:type="dxa"/>
              <w:bottom w:w="0" w:type="dxa"/>
              <w:right w:w="15" w:type="dxa"/>
            </w:tcMar>
            <w:vAlign w:val="bottom"/>
          </w:tcPr>
          <w:p w14:paraId="7C3035F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0944F73"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34B8EA7C"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35086C9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1F3BAD83"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4F7C3256" w14:textId="77777777" w:rsidR="00CE153D" w:rsidRDefault="008A7CB9">
            <w:pPr>
              <w:keepNext/>
              <w:spacing w:before="53" w:after="30" w:line="200" w:lineRule="auto"/>
              <w:jc w:val="right"/>
            </w:pPr>
            <w:r>
              <w:rPr>
                <w:color w:val="000000"/>
                <w:sz w:val="20"/>
              </w:rPr>
              <w:t>1,156 </w:t>
            </w:r>
          </w:p>
        </w:tc>
        <w:tc>
          <w:tcPr>
            <w:tcW w:w="100" w:type="dxa"/>
            <w:tcBorders>
              <w:top w:val="nil"/>
              <w:left w:val="nil"/>
              <w:bottom w:val="nil"/>
              <w:right w:val="nil"/>
            </w:tcBorders>
            <w:tcMar>
              <w:top w:w="0" w:type="dxa"/>
              <w:left w:w="0" w:type="dxa"/>
              <w:bottom w:w="0" w:type="dxa"/>
              <w:right w:w="15" w:type="dxa"/>
            </w:tcMar>
            <w:vAlign w:val="bottom"/>
          </w:tcPr>
          <w:p w14:paraId="6AA3EC79"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2DB3D8FE" w14:textId="77777777" w:rsidR="00CE153D" w:rsidRDefault="00CE153D">
            <w:pPr>
              <w:keepNext/>
              <w:spacing w:before="53" w:after="30" w:line="200" w:lineRule="auto"/>
              <w:jc w:val="right"/>
            </w:pPr>
          </w:p>
        </w:tc>
        <w:tc>
          <w:tcPr>
            <w:tcW w:w="920" w:type="dxa"/>
            <w:gridSpan w:val="2"/>
            <w:tcBorders>
              <w:top w:val="nil"/>
              <w:left w:val="nil"/>
              <w:bottom w:val="nil"/>
              <w:right w:val="nil"/>
            </w:tcBorders>
            <w:tcMar>
              <w:top w:w="0" w:type="dxa"/>
              <w:left w:w="53" w:type="dxa"/>
              <w:bottom w:w="0" w:type="dxa"/>
              <w:right w:w="0" w:type="dxa"/>
            </w:tcMar>
            <w:vAlign w:val="bottom"/>
          </w:tcPr>
          <w:p w14:paraId="6798457D" w14:textId="77777777" w:rsidR="00CE153D" w:rsidRDefault="008A7CB9">
            <w:pPr>
              <w:keepNext/>
              <w:spacing w:before="53" w:after="30" w:line="200" w:lineRule="auto"/>
              <w:jc w:val="right"/>
            </w:pPr>
            <w:r>
              <w:rPr>
                <w:color w:val="000000"/>
                <w:sz w:val="20"/>
              </w:rPr>
              <w:t>— </w:t>
            </w:r>
          </w:p>
        </w:tc>
        <w:tc>
          <w:tcPr>
            <w:tcW w:w="100" w:type="dxa"/>
            <w:tcBorders>
              <w:top w:val="nil"/>
              <w:left w:val="nil"/>
              <w:bottom w:val="nil"/>
              <w:right w:val="nil"/>
            </w:tcBorders>
            <w:tcMar>
              <w:top w:w="0" w:type="dxa"/>
              <w:left w:w="0" w:type="dxa"/>
              <w:bottom w:w="0" w:type="dxa"/>
              <w:right w:w="15" w:type="dxa"/>
            </w:tcMar>
            <w:vAlign w:val="bottom"/>
          </w:tcPr>
          <w:p w14:paraId="57AEB59C" w14:textId="77777777" w:rsidR="00CE153D" w:rsidRDefault="00CE153D">
            <w:pPr>
              <w:keepNext/>
              <w:spacing w:before="53" w:after="30" w:line="200" w:lineRule="auto"/>
            </w:pPr>
          </w:p>
        </w:tc>
        <w:tc>
          <w:tcPr>
            <w:tcW w:w="480" w:type="dxa"/>
            <w:tcBorders>
              <w:top w:val="nil"/>
              <w:left w:val="nil"/>
              <w:bottom w:val="nil"/>
              <w:right w:val="nil"/>
            </w:tcBorders>
            <w:tcMar>
              <w:top w:w="0" w:type="dxa"/>
              <w:left w:w="0" w:type="dxa"/>
              <w:bottom w:w="0" w:type="dxa"/>
              <w:right w:w="0" w:type="dxa"/>
            </w:tcMar>
            <w:vAlign w:val="bottom"/>
          </w:tcPr>
          <w:p w14:paraId="6479FC68" w14:textId="77777777" w:rsidR="00CE153D" w:rsidRDefault="00CE153D">
            <w:pPr>
              <w:keepNext/>
            </w:pPr>
          </w:p>
        </w:tc>
      </w:tr>
      <w:tr w:rsidR="00CE153D" w14:paraId="6649B4CD"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954B46B" w14:textId="77777777" w:rsidR="00CE153D" w:rsidRDefault="008A7CB9">
            <w:pPr>
              <w:keepNext/>
              <w:spacing w:before="53" w:after="30" w:line="200" w:lineRule="auto"/>
            </w:pPr>
            <w:r>
              <w:rPr>
                <w:color w:val="000000"/>
                <w:sz w:val="20"/>
              </w:rPr>
              <w:t>Change in fair value of equity investment</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319A3F98" w14:textId="77777777" w:rsidR="00CE153D" w:rsidRDefault="008A7CB9">
            <w:pPr>
              <w:keepNext/>
              <w:spacing w:before="53" w:after="30" w:line="200" w:lineRule="auto"/>
              <w:jc w:val="right"/>
            </w:pPr>
            <w:r>
              <w:rPr>
                <w:color w:val="000000"/>
                <w:sz w:val="20"/>
              </w:rPr>
              <w:t>687 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5867214"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11D3242A"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6C1F09E4" w14:textId="77777777" w:rsidR="00CE153D" w:rsidRDefault="008A7CB9">
            <w:pPr>
              <w:keepNext/>
              <w:spacing w:before="53" w:after="30" w:line="200" w:lineRule="auto"/>
              <w:jc w:val="right"/>
            </w:pPr>
            <w:r>
              <w:rPr>
                <w:color w:val="000000"/>
                <w:sz w:val="20"/>
              </w:rPr>
              <w:t>269 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DCB573A"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7CDE3F62"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7532816B" w14:textId="77777777" w:rsidR="00CE153D" w:rsidRDefault="008A7CB9">
            <w:pPr>
              <w:keepNext/>
              <w:spacing w:before="53" w:after="30" w:line="200" w:lineRule="auto"/>
              <w:jc w:val="right"/>
            </w:pPr>
            <w:r>
              <w:rPr>
                <w:color w:val="000000"/>
                <w:sz w:val="20"/>
              </w:rPr>
              <w:t>2,018 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9BD896"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4ED0CFED" w14:textId="77777777" w:rsidR="00CE153D" w:rsidRDefault="00CE153D">
            <w:pPr>
              <w:keepNext/>
              <w:spacing w:before="53" w:after="30" w:line="200" w:lineRule="auto"/>
              <w:jc w:val="right"/>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3BC5A458" w14:textId="77777777" w:rsidR="00CE153D" w:rsidRDefault="008A7CB9">
            <w:pPr>
              <w:keepNext/>
              <w:spacing w:before="53" w:after="30" w:line="200" w:lineRule="auto"/>
              <w:jc w:val="right"/>
            </w:pPr>
            <w:r>
              <w:rPr>
                <w:color w:val="000000"/>
                <w:sz w:val="20"/>
              </w:rPr>
              <w:t>931 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83E975E"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441AAFF" w14:textId="77777777" w:rsidR="00CE153D" w:rsidRDefault="00CE153D">
            <w:pPr>
              <w:keepNext/>
              <w:spacing w:before="53" w:after="30" w:line="200" w:lineRule="auto"/>
            </w:pPr>
          </w:p>
        </w:tc>
      </w:tr>
      <w:tr w:rsidR="00CE153D" w14:paraId="14A7CD5B"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34AA1735" w14:textId="77777777" w:rsidR="00CE153D" w:rsidRDefault="008A7CB9">
            <w:pPr>
              <w:keepNext/>
              <w:spacing w:before="53" w:after="30" w:line="200" w:lineRule="auto"/>
            </w:pPr>
            <w:r>
              <w:rPr>
                <w:color w:val="000000"/>
                <w:sz w:val="20"/>
              </w:rPr>
              <w:t>Change in fair value of contingent consideration</w:t>
            </w: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7C4913F5"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1A8F97B1"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11BB142E" w14:textId="77777777" w:rsidR="00CE153D" w:rsidRDefault="00CE153D">
            <w:pPr>
              <w:keepNext/>
              <w:spacing w:before="53" w:after="30" w:line="200" w:lineRule="auto"/>
              <w:jc w:val="right"/>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5101E900" w14:textId="77777777" w:rsidR="00CE153D" w:rsidRDefault="008A7CB9">
            <w:pPr>
              <w:keepNext/>
              <w:spacing w:before="53" w:after="30" w:line="200" w:lineRule="auto"/>
              <w:jc w:val="right"/>
            </w:pPr>
            <w:r>
              <w:rPr>
                <w:color w:val="000000"/>
                <w:sz w:val="20"/>
              </w:rPr>
              <w:t>466 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515478F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30B299DE" w14:textId="77777777" w:rsidR="00CE153D" w:rsidRDefault="00CE153D">
            <w:pPr>
              <w:keepNext/>
              <w:spacing w:before="53" w:after="30" w:line="200" w:lineRule="auto"/>
              <w:jc w:val="right"/>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4EC59B36" w14:textId="77777777" w:rsidR="00CE153D" w:rsidRDefault="008A7CB9">
            <w:pPr>
              <w:keepNext/>
              <w:spacing w:before="53" w:after="30" w:line="200" w:lineRule="auto"/>
              <w:jc w:val="right"/>
            </w:pPr>
            <w:r>
              <w:rPr>
                <w:color w:val="000000"/>
                <w:sz w:val="20"/>
              </w:rPr>
              <w:t>—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DE03DFD"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6EB6BE71" w14:textId="77777777" w:rsidR="00CE153D" w:rsidRDefault="00CE153D">
            <w:pPr>
              <w:keepNext/>
              <w:spacing w:before="53" w:after="30" w:line="200" w:lineRule="auto"/>
              <w:jc w:val="right"/>
            </w:pPr>
          </w:p>
        </w:tc>
        <w:tc>
          <w:tcPr>
            <w:tcW w:w="920" w:type="dxa"/>
            <w:gridSpan w:val="2"/>
            <w:tcBorders>
              <w:top w:val="nil"/>
              <w:left w:val="nil"/>
              <w:bottom w:val="single" w:sz="8" w:space="0" w:color="000000"/>
              <w:right w:val="nil"/>
            </w:tcBorders>
            <w:tcMar>
              <w:top w:w="0" w:type="dxa"/>
              <w:left w:w="53" w:type="dxa"/>
              <w:bottom w:w="0" w:type="dxa"/>
              <w:right w:w="0" w:type="dxa"/>
            </w:tcMar>
            <w:vAlign w:val="bottom"/>
          </w:tcPr>
          <w:p w14:paraId="73B4E358" w14:textId="77777777" w:rsidR="00CE153D" w:rsidRDefault="008A7CB9">
            <w:pPr>
              <w:keepNext/>
              <w:spacing w:before="53" w:after="30" w:line="200" w:lineRule="auto"/>
              <w:jc w:val="right"/>
            </w:pPr>
            <w:r>
              <w:rPr>
                <w:color w:val="000000"/>
                <w:sz w:val="20"/>
              </w:rPr>
              <w:t>(1,780)</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D828F31"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14BC3E1E" w14:textId="77777777" w:rsidR="00CE153D" w:rsidRDefault="00CE153D">
            <w:pPr>
              <w:keepNext/>
              <w:spacing w:before="53" w:after="30" w:line="200" w:lineRule="auto"/>
            </w:pPr>
          </w:p>
        </w:tc>
      </w:tr>
      <w:tr w:rsidR="00CE153D" w14:paraId="194FC40E"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047DE857" w14:textId="77777777" w:rsidR="00CE153D" w:rsidRDefault="008A7CB9">
            <w:pPr>
              <w:keepNext/>
              <w:spacing w:before="53" w:after="30" w:line="200" w:lineRule="auto"/>
            </w:pPr>
            <w:r>
              <w:rPr>
                <w:b/>
                <w:color w:val="000000"/>
                <w:sz w:val="20"/>
              </w:rPr>
              <w:t>Non-GAAP Net loss</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6D4701A2"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58168E40" w14:textId="77777777" w:rsidR="00CE153D" w:rsidRDefault="008A7CB9">
            <w:pPr>
              <w:keepNext/>
              <w:spacing w:before="33" w:after="30" w:line="200" w:lineRule="auto"/>
              <w:jc w:val="right"/>
            </w:pPr>
            <w:r>
              <w:rPr>
                <w:b/>
                <w:color w:val="000000"/>
                <w:sz w:val="20"/>
              </w:rPr>
              <w:t>(1,403)</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45C0464"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92153B0" w14:textId="77777777" w:rsidR="00CE153D" w:rsidRDefault="00CE153D">
            <w:pPr>
              <w:keepNext/>
              <w:spacing w:before="53" w:after="30" w:line="200" w:lineRule="auto"/>
              <w:jc w:val="right"/>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5E943504"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6C2CF7D" w14:textId="77777777" w:rsidR="00CE153D" w:rsidRDefault="008A7CB9">
            <w:pPr>
              <w:keepNext/>
              <w:spacing w:before="33" w:after="30" w:line="200" w:lineRule="auto"/>
              <w:jc w:val="right"/>
            </w:pPr>
            <w:r>
              <w:rPr>
                <w:b/>
                <w:color w:val="000000"/>
                <w:sz w:val="20"/>
              </w:rPr>
              <w:t>(7,191)</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A9EE3F9"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2C9CA126"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0FDEF28B"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70B79C3" w14:textId="77777777" w:rsidR="00CE153D" w:rsidRDefault="008A7CB9">
            <w:pPr>
              <w:keepNext/>
              <w:spacing w:before="33" w:after="30" w:line="200" w:lineRule="auto"/>
              <w:jc w:val="right"/>
            </w:pPr>
            <w:r>
              <w:rPr>
                <w:b/>
                <w:color w:val="000000"/>
                <w:sz w:val="20"/>
              </w:rPr>
              <w:t>(33,565)</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E4B21AF"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7357E327"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0DB2524C" w14:textId="77777777" w:rsidR="00CE153D" w:rsidRDefault="008A7CB9">
            <w:pPr>
              <w:keepNext/>
              <w:spacing w:before="33" w:after="30" w:line="200" w:lineRule="auto"/>
            </w:pPr>
            <w:r>
              <w:rPr>
                <w:b/>
                <w:color w:val="000000"/>
                <w:sz w:val="20"/>
              </w:rPr>
              <w:t>$</w:t>
            </w:r>
          </w:p>
        </w:tc>
        <w:tc>
          <w:tcPr>
            <w:tcW w:w="760"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0D0BDC4B" w14:textId="77777777" w:rsidR="00CE153D" w:rsidRDefault="008A7CB9">
            <w:pPr>
              <w:keepNext/>
              <w:spacing w:before="33" w:after="30" w:line="200" w:lineRule="auto"/>
              <w:jc w:val="right"/>
            </w:pPr>
            <w:r>
              <w:rPr>
                <w:b/>
                <w:color w:val="000000"/>
                <w:sz w:val="20"/>
              </w:rPr>
              <w:t>(29,826)</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B0EE2F2"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25250C26" w14:textId="77777777" w:rsidR="00CE153D" w:rsidRDefault="00CE153D">
            <w:pPr>
              <w:keepNext/>
              <w:spacing w:before="53" w:after="30" w:line="200" w:lineRule="auto"/>
            </w:pPr>
          </w:p>
        </w:tc>
      </w:tr>
      <w:tr w:rsidR="00CE153D" w14:paraId="59FDCE94"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2421140C" w14:textId="77777777" w:rsidR="00CE153D" w:rsidRDefault="008A7CB9">
            <w:pPr>
              <w:keepNext/>
              <w:spacing w:before="53" w:after="30" w:line="200" w:lineRule="auto"/>
            </w:pPr>
            <w:r>
              <w:rPr>
                <w:b/>
                <w:color w:val="000000"/>
                <w:sz w:val="20"/>
              </w:rPr>
              <w:t>Non-GAAP Net loss per share – basic</w:t>
            </w:r>
          </w:p>
        </w:tc>
        <w:tc>
          <w:tcPr>
            <w:tcW w:w="160" w:type="dxa"/>
            <w:tcBorders>
              <w:top w:val="single" w:sz="8" w:space="0" w:color="000000"/>
              <w:left w:val="nil"/>
              <w:bottom w:val="single" w:sz="8" w:space="0" w:color="000000"/>
              <w:right w:val="nil"/>
            </w:tcBorders>
            <w:tcMar>
              <w:top w:w="0" w:type="dxa"/>
              <w:left w:w="53" w:type="dxa"/>
              <w:bottom w:w="0" w:type="dxa"/>
              <w:right w:w="0" w:type="dxa"/>
            </w:tcMar>
            <w:vAlign w:val="bottom"/>
          </w:tcPr>
          <w:p w14:paraId="240AC45D"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tcMar>
              <w:top w:w="0" w:type="dxa"/>
              <w:left w:w="0" w:type="dxa"/>
              <w:bottom w:w="0" w:type="dxa"/>
              <w:right w:w="0" w:type="dxa"/>
            </w:tcMar>
            <w:vAlign w:val="bottom"/>
          </w:tcPr>
          <w:p w14:paraId="4C1BD982" w14:textId="77777777" w:rsidR="00CE153D" w:rsidRDefault="008A7CB9">
            <w:pPr>
              <w:keepNext/>
              <w:spacing w:before="33" w:after="30" w:line="200" w:lineRule="auto"/>
              <w:jc w:val="right"/>
            </w:pPr>
            <w:r>
              <w:rPr>
                <w:b/>
                <w:color w:val="000000"/>
                <w:sz w:val="20"/>
              </w:rPr>
              <w:t>(0.01)</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63743321"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7BDA7032" w14:textId="77777777" w:rsidR="00CE153D" w:rsidRDefault="00CE153D">
            <w:pPr>
              <w:keepNext/>
              <w:spacing w:before="53" w:after="30" w:line="200" w:lineRule="auto"/>
              <w:jc w:val="right"/>
            </w:pPr>
          </w:p>
        </w:tc>
        <w:tc>
          <w:tcPr>
            <w:tcW w:w="160" w:type="dxa"/>
            <w:tcBorders>
              <w:top w:val="single" w:sz="8" w:space="0" w:color="000000"/>
              <w:left w:val="nil"/>
              <w:bottom w:val="single" w:sz="8" w:space="0" w:color="000000"/>
              <w:right w:val="nil"/>
            </w:tcBorders>
            <w:tcMar>
              <w:top w:w="0" w:type="dxa"/>
              <w:left w:w="53" w:type="dxa"/>
              <w:bottom w:w="0" w:type="dxa"/>
              <w:right w:w="0" w:type="dxa"/>
            </w:tcMar>
            <w:vAlign w:val="bottom"/>
          </w:tcPr>
          <w:p w14:paraId="060F2DFF"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tcMar>
              <w:top w:w="0" w:type="dxa"/>
              <w:left w:w="0" w:type="dxa"/>
              <w:bottom w:w="0" w:type="dxa"/>
              <w:right w:w="0" w:type="dxa"/>
            </w:tcMar>
            <w:vAlign w:val="bottom"/>
          </w:tcPr>
          <w:p w14:paraId="0F643E9F" w14:textId="77777777" w:rsidR="00CE153D" w:rsidRDefault="008A7CB9">
            <w:pPr>
              <w:keepNext/>
              <w:spacing w:before="33" w:after="30" w:line="200" w:lineRule="auto"/>
              <w:jc w:val="right"/>
            </w:pPr>
            <w:r>
              <w:rPr>
                <w:b/>
                <w:color w:val="000000"/>
                <w:sz w:val="20"/>
              </w:rPr>
              <w:t>(0.08)</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13C308F8"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3C3BD634"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tcMar>
              <w:top w:w="0" w:type="dxa"/>
              <w:left w:w="53" w:type="dxa"/>
              <w:bottom w:w="0" w:type="dxa"/>
              <w:right w:w="0" w:type="dxa"/>
            </w:tcMar>
            <w:vAlign w:val="bottom"/>
          </w:tcPr>
          <w:p w14:paraId="5E956700"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tcMar>
              <w:top w:w="0" w:type="dxa"/>
              <w:left w:w="0" w:type="dxa"/>
              <w:bottom w:w="0" w:type="dxa"/>
              <w:right w:w="0" w:type="dxa"/>
            </w:tcMar>
            <w:vAlign w:val="bottom"/>
          </w:tcPr>
          <w:p w14:paraId="249D4A3C" w14:textId="77777777" w:rsidR="00CE153D" w:rsidRDefault="008A7CB9">
            <w:pPr>
              <w:keepNext/>
              <w:spacing w:before="33" w:after="30" w:line="200" w:lineRule="auto"/>
              <w:jc w:val="right"/>
            </w:pPr>
            <w:r>
              <w:rPr>
                <w:b/>
                <w:color w:val="000000"/>
                <w:sz w:val="20"/>
              </w:rPr>
              <w:t>(0.29)</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4135B477"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15" w:type="dxa"/>
            </w:tcMar>
            <w:vAlign w:val="bottom"/>
          </w:tcPr>
          <w:p w14:paraId="44591CCF"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tcMar>
              <w:top w:w="0" w:type="dxa"/>
              <w:left w:w="53" w:type="dxa"/>
              <w:bottom w:w="0" w:type="dxa"/>
              <w:right w:w="0" w:type="dxa"/>
            </w:tcMar>
            <w:vAlign w:val="bottom"/>
          </w:tcPr>
          <w:p w14:paraId="29B31A66" w14:textId="77777777" w:rsidR="00CE153D" w:rsidRDefault="008A7CB9">
            <w:pPr>
              <w:keepNext/>
              <w:spacing w:before="33" w:after="30" w:line="200" w:lineRule="auto"/>
            </w:pPr>
            <w:r>
              <w:rPr>
                <w:b/>
                <w:color w:val="000000"/>
                <w:sz w:val="20"/>
              </w:rPr>
              <w:t>$</w:t>
            </w:r>
          </w:p>
        </w:tc>
        <w:tc>
          <w:tcPr>
            <w:tcW w:w="760" w:type="dxa"/>
            <w:tcBorders>
              <w:top w:val="single" w:sz="8" w:space="0" w:color="000000"/>
              <w:left w:val="nil"/>
              <w:bottom w:val="single" w:sz="8" w:space="0" w:color="000000"/>
              <w:right w:val="nil"/>
            </w:tcBorders>
            <w:tcMar>
              <w:top w:w="0" w:type="dxa"/>
              <w:left w:w="0" w:type="dxa"/>
              <w:bottom w:w="0" w:type="dxa"/>
              <w:right w:w="0" w:type="dxa"/>
            </w:tcMar>
            <w:vAlign w:val="bottom"/>
          </w:tcPr>
          <w:p w14:paraId="570895CB" w14:textId="77777777" w:rsidR="00CE153D" w:rsidRDefault="008A7CB9">
            <w:pPr>
              <w:keepNext/>
              <w:spacing w:before="33" w:after="30" w:line="200" w:lineRule="auto"/>
              <w:jc w:val="right"/>
            </w:pPr>
            <w:r>
              <w:rPr>
                <w:b/>
                <w:color w:val="000000"/>
                <w:sz w:val="20"/>
              </w:rPr>
              <w:t>(0.35)</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7F67654F"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3CA67C5D" w14:textId="77777777" w:rsidR="00CE153D" w:rsidRDefault="00CE153D">
            <w:pPr>
              <w:keepNext/>
              <w:spacing w:before="53" w:after="30" w:line="200" w:lineRule="auto"/>
            </w:pPr>
          </w:p>
        </w:tc>
      </w:tr>
      <w:tr w:rsidR="00CE153D" w14:paraId="6493A63F"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8EAF8F3" w14:textId="77777777" w:rsidR="00CE153D" w:rsidRDefault="008A7CB9">
            <w:pPr>
              <w:keepNext/>
              <w:spacing w:before="53" w:after="30" w:line="200" w:lineRule="auto"/>
            </w:pPr>
            <w:r>
              <w:rPr>
                <w:b/>
                <w:color w:val="000000"/>
                <w:sz w:val="20"/>
              </w:rPr>
              <w:t>Non-GAAP Net loss per share – diluted</w:t>
            </w: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695D85C6"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43E1F4BD" w14:textId="77777777" w:rsidR="00CE153D" w:rsidRDefault="008A7CB9">
            <w:pPr>
              <w:keepNext/>
              <w:spacing w:before="33" w:after="30" w:line="200" w:lineRule="auto"/>
              <w:jc w:val="right"/>
            </w:pPr>
            <w:r>
              <w:rPr>
                <w:b/>
                <w:color w:val="000000"/>
                <w:sz w:val="20"/>
              </w:rPr>
              <w:t>(0.01)</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E76E182"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41B612D1" w14:textId="77777777" w:rsidR="00CE153D" w:rsidRDefault="00CE153D">
            <w:pPr>
              <w:keepNext/>
              <w:spacing w:before="53" w:after="30" w:line="200" w:lineRule="auto"/>
              <w:jc w:val="right"/>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00FCA68F"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778E6C20" w14:textId="77777777" w:rsidR="00CE153D" w:rsidRDefault="008A7CB9">
            <w:pPr>
              <w:keepNext/>
              <w:spacing w:before="33" w:after="30" w:line="200" w:lineRule="auto"/>
              <w:jc w:val="right"/>
            </w:pPr>
            <w:r>
              <w:rPr>
                <w:b/>
                <w:color w:val="000000"/>
                <w:sz w:val="20"/>
              </w:rPr>
              <w:t>(0.08)</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DD6FFF6"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C265ACF"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567673E4" w14:textId="77777777" w:rsidR="00CE153D" w:rsidRDefault="008A7CB9">
            <w:pPr>
              <w:keepNext/>
              <w:spacing w:before="33" w:after="30" w:line="200" w:lineRule="auto"/>
            </w:pPr>
            <w:r>
              <w:rPr>
                <w:b/>
                <w:color w:val="000000"/>
                <w:sz w:val="20"/>
              </w:rPr>
              <w:t>$</w:t>
            </w:r>
          </w:p>
        </w:tc>
        <w:tc>
          <w:tcPr>
            <w:tcW w:w="745"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1948D09D" w14:textId="77777777" w:rsidR="00CE153D" w:rsidRDefault="008A7CB9">
            <w:pPr>
              <w:keepNext/>
              <w:spacing w:before="33" w:after="30" w:line="200" w:lineRule="auto"/>
              <w:jc w:val="right"/>
            </w:pPr>
            <w:r>
              <w:rPr>
                <w:b/>
                <w:color w:val="000000"/>
                <w:sz w:val="20"/>
              </w:rPr>
              <w:t>(0.29)</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977E843"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15" w:type="dxa"/>
            </w:tcMar>
            <w:vAlign w:val="bottom"/>
          </w:tcPr>
          <w:p w14:paraId="281601EC" w14:textId="77777777" w:rsidR="00CE153D" w:rsidRDefault="00CE153D">
            <w:pPr>
              <w:keepNext/>
              <w:spacing w:before="53" w:after="30" w:line="200" w:lineRule="auto"/>
            </w:pPr>
          </w:p>
        </w:tc>
        <w:tc>
          <w:tcPr>
            <w:tcW w:w="160" w:type="dxa"/>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6F547B52" w14:textId="77777777" w:rsidR="00CE153D" w:rsidRDefault="008A7CB9">
            <w:pPr>
              <w:keepNext/>
              <w:spacing w:before="33" w:after="30" w:line="200" w:lineRule="auto"/>
            </w:pPr>
            <w:r>
              <w:rPr>
                <w:b/>
                <w:color w:val="000000"/>
                <w:sz w:val="20"/>
              </w:rPr>
              <w:t>$</w:t>
            </w:r>
          </w:p>
        </w:tc>
        <w:tc>
          <w:tcPr>
            <w:tcW w:w="760" w:type="dxa"/>
            <w:tcBorders>
              <w:top w:val="single" w:sz="8" w:space="0" w:color="000000"/>
              <w:left w:val="nil"/>
              <w:bottom w:val="single" w:sz="8" w:space="0" w:color="000000"/>
              <w:right w:val="nil"/>
            </w:tcBorders>
            <w:shd w:val="clear" w:color="auto" w:fill="CCEEFF"/>
            <w:tcMar>
              <w:top w:w="0" w:type="dxa"/>
              <w:left w:w="0" w:type="dxa"/>
              <w:bottom w:w="0" w:type="dxa"/>
              <w:right w:w="0" w:type="dxa"/>
            </w:tcMar>
            <w:vAlign w:val="bottom"/>
          </w:tcPr>
          <w:p w14:paraId="170BE8A9" w14:textId="77777777" w:rsidR="00CE153D" w:rsidRDefault="008A7CB9">
            <w:pPr>
              <w:keepNext/>
              <w:spacing w:before="33" w:after="30" w:line="200" w:lineRule="auto"/>
              <w:jc w:val="right"/>
            </w:pPr>
            <w:r>
              <w:rPr>
                <w:b/>
                <w:color w:val="000000"/>
                <w:sz w:val="20"/>
              </w:rPr>
              <w:t>(0.35)</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EE95637"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89D4603" w14:textId="77777777" w:rsidR="00CE153D" w:rsidRDefault="00CE153D">
            <w:pPr>
              <w:keepNext/>
              <w:spacing w:before="53" w:after="30" w:line="200" w:lineRule="auto"/>
            </w:pPr>
          </w:p>
        </w:tc>
      </w:tr>
      <w:tr w:rsidR="00CE153D" w14:paraId="6093F057" w14:textId="77777777">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14:paraId="0F5DB1D4" w14:textId="77777777" w:rsidR="00CE153D" w:rsidRDefault="008A7CB9">
            <w:pPr>
              <w:keepNext/>
              <w:spacing w:before="53" w:after="30" w:line="200" w:lineRule="auto"/>
            </w:pPr>
            <w:r>
              <w:rPr>
                <w:b/>
                <w:color w:val="000000"/>
                <w:sz w:val="20"/>
              </w:rPr>
              <w:t>Weighted-average common shares – basic</w:t>
            </w:r>
          </w:p>
        </w:tc>
        <w:tc>
          <w:tcPr>
            <w:tcW w:w="9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187BDDEC" w14:textId="77777777" w:rsidR="00CE153D" w:rsidRDefault="008A7CB9">
            <w:pPr>
              <w:keepNext/>
              <w:spacing w:before="33" w:after="30" w:line="200" w:lineRule="auto"/>
              <w:jc w:val="right"/>
            </w:pPr>
            <w:r>
              <w:rPr>
                <w:b/>
                <w:color w:val="000000"/>
                <w:sz w:val="20"/>
              </w:rPr>
              <w:t>124,940 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62FD5A49"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2C7D7B29" w14:textId="77777777" w:rsidR="00CE153D" w:rsidRDefault="00CE153D">
            <w:pPr>
              <w:keepNext/>
              <w:spacing w:before="53" w:after="30" w:line="200" w:lineRule="auto"/>
              <w:jc w:val="right"/>
            </w:pPr>
          </w:p>
        </w:tc>
        <w:tc>
          <w:tcPr>
            <w:tcW w:w="9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64EAA929" w14:textId="77777777" w:rsidR="00CE153D" w:rsidRDefault="008A7CB9">
            <w:pPr>
              <w:keepNext/>
              <w:spacing w:before="33" w:after="30" w:line="200" w:lineRule="auto"/>
              <w:jc w:val="right"/>
            </w:pPr>
            <w:r>
              <w:rPr>
                <w:b/>
                <w:color w:val="000000"/>
                <w:sz w:val="20"/>
              </w:rPr>
              <w:t>89,091 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19687EDC"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58D78627" w14:textId="77777777" w:rsidR="00CE153D" w:rsidRDefault="00CE153D">
            <w:pPr>
              <w:keepNext/>
              <w:spacing w:before="53" w:after="30" w:line="200" w:lineRule="auto"/>
            </w:pPr>
          </w:p>
        </w:tc>
        <w:tc>
          <w:tcPr>
            <w:tcW w:w="905"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5F4263E7" w14:textId="77777777" w:rsidR="00CE153D" w:rsidRDefault="008A7CB9">
            <w:pPr>
              <w:keepNext/>
              <w:spacing w:before="33" w:after="30" w:line="200" w:lineRule="auto"/>
              <w:jc w:val="right"/>
            </w:pPr>
            <w:r>
              <w:rPr>
                <w:b/>
                <w:color w:val="000000"/>
                <w:sz w:val="20"/>
              </w:rPr>
              <w:t>114,085 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10FF77AD"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339EEAC2" w14:textId="77777777" w:rsidR="00CE153D" w:rsidRDefault="00CE153D">
            <w:pPr>
              <w:keepNext/>
              <w:spacing w:before="53" w:after="30" w:line="200" w:lineRule="auto"/>
            </w:pPr>
          </w:p>
        </w:tc>
        <w:tc>
          <w:tcPr>
            <w:tcW w:w="920" w:type="dxa"/>
            <w:gridSpan w:val="2"/>
            <w:tcBorders>
              <w:top w:val="single" w:sz="8" w:space="0" w:color="000000"/>
              <w:left w:val="nil"/>
              <w:bottom w:val="single" w:sz="8" w:space="0" w:color="000000"/>
              <w:right w:val="nil"/>
            </w:tcBorders>
            <w:tcMar>
              <w:top w:w="0" w:type="dxa"/>
              <w:left w:w="53" w:type="dxa"/>
              <w:bottom w:w="0" w:type="dxa"/>
              <w:right w:w="0" w:type="dxa"/>
            </w:tcMar>
            <w:vAlign w:val="bottom"/>
          </w:tcPr>
          <w:p w14:paraId="72A0F62E" w14:textId="77777777" w:rsidR="00CE153D" w:rsidRDefault="008A7CB9">
            <w:pPr>
              <w:keepNext/>
              <w:spacing w:before="33" w:after="30" w:line="200" w:lineRule="auto"/>
              <w:jc w:val="right"/>
            </w:pPr>
            <w:r>
              <w:rPr>
                <w:b/>
                <w:color w:val="000000"/>
                <w:sz w:val="20"/>
              </w:rPr>
              <w:t>84,880 </w:t>
            </w:r>
          </w:p>
        </w:tc>
        <w:tc>
          <w:tcPr>
            <w:tcW w:w="100" w:type="dxa"/>
            <w:tcBorders>
              <w:top w:val="single" w:sz="8" w:space="0" w:color="000000"/>
              <w:left w:val="nil"/>
              <w:bottom w:val="single" w:sz="8" w:space="0" w:color="000000"/>
              <w:right w:val="nil"/>
            </w:tcBorders>
            <w:tcMar>
              <w:top w:w="0" w:type="dxa"/>
              <w:left w:w="0" w:type="dxa"/>
              <w:bottom w:w="0" w:type="dxa"/>
              <w:right w:w="15" w:type="dxa"/>
            </w:tcMar>
            <w:vAlign w:val="bottom"/>
          </w:tcPr>
          <w:p w14:paraId="24113D85"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4471E611" w14:textId="77777777" w:rsidR="00CE153D" w:rsidRDefault="00CE153D">
            <w:pPr>
              <w:keepNext/>
              <w:spacing w:before="53" w:after="30" w:line="200" w:lineRule="auto"/>
            </w:pPr>
          </w:p>
        </w:tc>
      </w:tr>
      <w:tr w:rsidR="00CE153D" w14:paraId="423AC79D" w14:textId="77777777">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6783577" w14:textId="77777777" w:rsidR="00CE153D" w:rsidRDefault="008A7CB9">
            <w:pPr>
              <w:keepNext/>
              <w:spacing w:before="53" w:after="30" w:line="200" w:lineRule="auto"/>
            </w:pPr>
            <w:r>
              <w:rPr>
                <w:b/>
                <w:color w:val="000000"/>
                <w:sz w:val="20"/>
              </w:rPr>
              <w:t>Weighted-average common shares – diluted</w:t>
            </w:r>
          </w:p>
        </w:tc>
        <w:tc>
          <w:tcPr>
            <w:tcW w:w="9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6CA7D35F" w14:textId="77777777" w:rsidR="00CE153D" w:rsidRDefault="008A7CB9">
            <w:pPr>
              <w:keepNext/>
              <w:spacing w:before="33" w:after="30" w:line="200" w:lineRule="auto"/>
              <w:jc w:val="right"/>
            </w:pPr>
            <w:r>
              <w:rPr>
                <w:b/>
                <w:color w:val="000000"/>
                <w:sz w:val="20"/>
              </w:rPr>
              <w:t>124,940 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D64C5BD"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E02E8F6" w14:textId="77777777" w:rsidR="00CE153D" w:rsidRDefault="00CE153D">
            <w:pPr>
              <w:keepNext/>
              <w:spacing w:before="53" w:after="30" w:line="200" w:lineRule="auto"/>
              <w:jc w:val="right"/>
            </w:pPr>
          </w:p>
        </w:tc>
        <w:tc>
          <w:tcPr>
            <w:tcW w:w="9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70AFDE3C" w14:textId="77777777" w:rsidR="00CE153D" w:rsidRDefault="008A7CB9">
            <w:pPr>
              <w:keepNext/>
              <w:spacing w:before="33" w:after="30" w:line="200" w:lineRule="auto"/>
              <w:jc w:val="right"/>
            </w:pPr>
            <w:r>
              <w:rPr>
                <w:b/>
                <w:color w:val="000000"/>
                <w:sz w:val="20"/>
              </w:rPr>
              <w:t>89,091 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5ED9ED5"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27F30EBF" w14:textId="77777777" w:rsidR="00CE153D" w:rsidRDefault="00CE153D">
            <w:pPr>
              <w:keepNext/>
              <w:spacing w:before="53" w:after="30" w:line="200" w:lineRule="auto"/>
            </w:pPr>
          </w:p>
        </w:tc>
        <w:tc>
          <w:tcPr>
            <w:tcW w:w="905"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32898629" w14:textId="77777777" w:rsidR="00CE153D" w:rsidRDefault="008A7CB9">
            <w:pPr>
              <w:keepNext/>
              <w:spacing w:before="33" w:after="30" w:line="200" w:lineRule="auto"/>
              <w:jc w:val="right"/>
            </w:pPr>
            <w:r>
              <w:rPr>
                <w:b/>
                <w:color w:val="000000"/>
                <w:sz w:val="20"/>
              </w:rPr>
              <w:t>114,085 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0ECA564"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7191C6A4" w14:textId="77777777" w:rsidR="00CE153D" w:rsidRDefault="00CE153D">
            <w:pPr>
              <w:keepNext/>
              <w:spacing w:before="53" w:after="30" w:line="200" w:lineRule="auto"/>
            </w:pPr>
          </w:p>
        </w:tc>
        <w:tc>
          <w:tcPr>
            <w:tcW w:w="920" w:type="dxa"/>
            <w:gridSpan w:val="2"/>
            <w:tcBorders>
              <w:top w:val="single" w:sz="8" w:space="0" w:color="000000"/>
              <w:left w:val="nil"/>
              <w:bottom w:val="single" w:sz="8" w:space="0" w:color="000000"/>
              <w:right w:val="nil"/>
            </w:tcBorders>
            <w:shd w:val="clear" w:color="auto" w:fill="CCEEFF"/>
            <w:tcMar>
              <w:top w:w="0" w:type="dxa"/>
              <w:left w:w="53" w:type="dxa"/>
              <w:bottom w:w="0" w:type="dxa"/>
              <w:right w:w="0" w:type="dxa"/>
            </w:tcMar>
            <w:vAlign w:val="bottom"/>
          </w:tcPr>
          <w:p w14:paraId="007E6F34" w14:textId="77777777" w:rsidR="00CE153D" w:rsidRDefault="008A7CB9">
            <w:pPr>
              <w:keepNext/>
              <w:spacing w:before="33" w:after="30" w:line="200" w:lineRule="auto"/>
              <w:jc w:val="right"/>
            </w:pPr>
            <w:r>
              <w:rPr>
                <w:b/>
                <w:color w:val="000000"/>
                <w:sz w:val="20"/>
              </w:rPr>
              <w:t>84,896 </w:t>
            </w:r>
          </w:p>
        </w:tc>
        <w:tc>
          <w:tcPr>
            <w:tcW w:w="1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D7CC77B" w14:textId="77777777" w:rsidR="00CE153D" w:rsidRDefault="00CE153D">
            <w:pPr>
              <w:keepNext/>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6FD65E5" w14:textId="77777777" w:rsidR="00CE153D" w:rsidRDefault="00CE153D">
            <w:pPr>
              <w:keepNext/>
              <w:spacing w:before="53" w:after="30" w:line="200" w:lineRule="auto"/>
            </w:pPr>
          </w:p>
        </w:tc>
      </w:tr>
      <w:tr w:rsidR="00CE153D" w14:paraId="7C1230C9" w14:textId="77777777">
        <w:trPr>
          <w:cantSplit/>
          <w:trHeight w:hRule="exact" w:val="315"/>
        </w:trPr>
        <w:tc>
          <w:tcPr>
            <w:tcW w:w="4845" w:type="dxa"/>
            <w:tcBorders>
              <w:top w:val="nil"/>
              <w:left w:val="nil"/>
              <w:bottom w:val="nil"/>
              <w:right w:val="nil"/>
            </w:tcBorders>
            <w:tcMar>
              <w:top w:w="0" w:type="dxa"/>
              <w:left w:w="0" w:type="dxa"/>
              <w:bottom w:w="0" w:type="dxa"/>
              <w:right w:w="0" w:type="dxa"/>
            </w:tcMar>
            <w:vAlign w:val="bottom"/>
          </w:tcPr>
          <w:p w14:paraId="6408A3D1" w14:textId="77777777" w:rsidR="00CE153D" w:rsidRDefault="00CE153D">
            <w:pPr>
              <w:keepNext/>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3A817FEA"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1514F892" w14:textId="77777777" w:rsidR="00CE153D" w:rsidRDefault="00CE153D">
            <w:pPr>
              <w:keepNext/>
              <w:spacing w:before="53" w:after="30" w:line="200" w:lineRule="auto"/>
              <w:jc w:val="right"/>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6090B43B"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2A5F284E" w14:textId="77777777" w:rsidR="00CE153D" w:rsidRDefault="00CE153D">
            <w:pPr>
              <w:keepNext/>
              <w:spacing w:before="53" w:after="30" w:line="200" w:lineRule="auto"/>
            </w:pPr>
          </w:p>
        </w:tc>
        <w:tc>
          <w:tcPr>
            <w:tcW w:w="1005" w:type="dxa"/>
            <w:gridSpan w:val="3"/>
            <w:tcBorders>
              <w:top w:val="single" w:sz="8" w:space="0" w:color="000000"/>
              <w:left w:val="nil"/>
              <w:bottom w:val="nil"/>
              <w:right w:val="nil"/>
            </w:tcBorders>
            <w:tcMar>
              <w:top w:w="0" w:type="dxa"/>
              <w:left w:w="53" w:type="dxa"/>
              <w:bottom w:w="0" w:type="dxa"/>
              <w:right w:w="53" w:type="dxa"/>
            </w:tcMar>
            <w:vAlign w:val="bottom"/>
          </w:tcPr>
          <w:p w14:paraId="1F9A0F41"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7447FF0F" w14:textId="77777777" w:rsidR="00CE153D" w:rsidRDefault="00CE153D">
            <w:pPr>
              <w:keepNext/>
              <w:spacing w:before="53" w:after="30" w:line="200" w:lineRule="auto"/>
            </w:pPr>
          </w:p>
        </w:tc>
        <w:tc>
          <w:tcPr>
            <w:tcW w:w="1020" w:type="dxa"/>
            <w:gridSpan w:val="3"/>
            <w:tcBorders>
              <w:top w:val="single" w:sz="8" w:space="0" w:color="000000"/>
              <w:left w:val="nil"/>
              <w:bottom w:val="nil"/>
              <w:right w:val="nil"/>
            </w:tcBorders>
            <w:tcMar>
              <w:top w:w="0" w:type="dxa"/>
              <w:left w:w="53" w:type="dxa"/>
              <w:bottom w:w="0" w:type="dxa"/>
              <w:right w:w="53" w:type="dxa"/>
            </w:tcMar>
            <w:vAlign w:val="bottom"/>
          </w:tcPr>
          <w:p w14:paraId="0910E979" w14:textId="77777777" w:rsidR="00CE153D" w:rsidRDefault="00CE153D">
            <w:pPr>
              <w:keepNext/>
              <w:spacing w:before="3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68D986B8" w14:textId="77777777" w:rsidR="00CE153D" w:rsidRDefault="00CE153D">
            <w:pPr>
              <w:keepNext/>
              <w:spacing w:before="53" w:after="30" w:line="200" w:lineRule="auto"/>
            </w:pPr>
          </w:p>
        </w:tc>
      </w:tr>
      <w:tr w:rsidR="00CE153D" w14:paraId="5DBC11A8"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60E67718" w14:textId="77777777" w:rsidR="00CE153D" w:rsidRDefault="008A7CB9">
            <w:pPr>
              <w:keepNext/>
              <w:spacing w:before="53" w:after="30" w:line="200" w:lineRule="auto"/>
            </w:pPr>
            <w:r>
              <w:rPr>
                <w:b/>
                <w:color w:val="000000"/>
                <w:sz w:val="20"/>
              </w:rPr>
              <w:t>Non-GAAP Net loss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0473B91A"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6690C4B4" w14:textId="77777777" w:rsidR="00CE153D" w:rsidRDefault="008A7CB9">
            <w:pPr>
              <w:keepNext/>
              <w:spacing w:before="53" w:after="30" w:line="200" w:lineRule="auto"/>
              <w:jc w:val="right"/>
            </w:pPr>
            <w:r>
              <w:rPr>
                <w:b/>
                <w:color w:val="000000"/>
                <w:sz w:val="20"/>
              </w:rPr>
              <w:t>(1,403)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AD71850"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8CC969F" w14:textId="77777777" w:rsidR="00CE153D" w:rsidRDefault="00CE153D">
            <w:pPr>
              <w:keepNext/>
              <w:spacing w:before="53" w:after="30" w:line="200" w:lineRule="auto"/>
              <w:jc w:val="righ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BBB1845"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439EE5FC" w14:textId="77777777" w:rsidR="00CE153D" w:rsidRDefault="008A7CB9">
            <w:pPr>
              <w:keepNext/>
              <w:spacing w:before="53" w:after="30" w:line="200" w:lineRule="auto"/>
              <w:jc w:val="right"/>
            </w:pPr>
            <w:r>
              <w:rPr>
                <w:b/>
                <w:color w:val="000000"/>
                <w:sz w:val="20"/>
              </w:rPr>
              <w:t>(7,191)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1E9C2FF"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FEA914B" w14:textId="77777777" w:rsidR="00CE153D" w:rsidRDefault="00CE153D">
            <w:pPr>
              <w:keepNext/>
              <w:spacing w:before="53" w:after="30" w:line="200" w:lineRule="auto"/>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4D4D03A" w14:textId="77777777" w:rsidR="00CE153D" w:rsidRDefault="008A7CB9">
            <w:pPr>
              <w:keepNext/>
              <w:spacing w:before="53" w:after="30" w:line="200" w:lineRule="auto"/>
            </w:pPr>
            <w:r>
              <w:rPr>
                <w:b/>
                <w:color w:val="000000"/>
                <w:sz w:val="20"/>
              </w:rPr>
              <w:t>$</w:t>
            </w:r>
          </w:p>
        </w:tc>
        <w:tc>
          <w:tcPr>
            <w:tcW w:w="745" w:type="dxa"/>
            <w:tcBorders>
              <w:top w:val="nil"/>
              <w:left w:val="nil"/>
              <w:bottom w:val="nil"/>
              <w:right w:val="nil"/>
            </w:tcBorders>
            <w:shd w:val="clear" w:color="auto" w:fill="CCEEFF"/>
            <w:tcMar>
              <w:top w:w="0" w:type="dxa"/>
              <w:left w:w="0" w:type="dxa"/>
              <w:bottom w:w="0" w:type="dxa"/>
              <w:right w:w="0" w:type="dxa"/>
            </w:tcMar>
            <w:vAlign w:val="bottom"/>
          </w:tcPr>
          <w:p w14:paraId="1344FCB7" w14:textId="77777777" w:rsidR="00CE153D" w:rsidRDefault="008A7CB9">
            <w:pPr>
              <w:keepNext/>
              <w:spacing w:before="53" w:after="30" w:line="200" w:lineRule="auto"/>
              <w:jc w:val="right"/>
            </w:pPr>
            <w:r>
              <w:rPr>
                <w:b/>
                <w:color w:val="000000"/>
                <w:sz w:val="20"/>
              </w:rPr>
              <w:t>(33,565)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89FC26F"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3F300E2" w14:textId="77777777" w:rsidR="00CE153D" w:rsidRDefault="00CE153D">
            <w:pPr>
              <w:keepNext/>
              <w:spacing w:before="53" w:after="30" w:line="200" w:lineRule="auto"/>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1C758870" w14:textId="77777777" w:rsidR="00CE153D" w:rsidRDefault="008A7CB9">
            <w:pPr>
              <w:keepNext/>
              <w:spacing w:before="53" w:after="30" w:line="200" w:lineRule="auto"/>
            </w:pPr>
            <w:r>
              <w:rPr>
                <w:b/>
                <w:color w:val="000000"/>
                <w:sz w:val="20"/>
              </w:rPr>
              <w:t>$</w:t>
            </w:r>
          </w:p>
        </w:tc>
        <w:tc>
          <w:tcPr>
            <w:tcW w:w="760" w:type="dxa"/>
            <w:tcBorders>
              <w:top w:val="nil"/>
              <w:left w:val="nil"/>
              <w:bottom w:val="nil"/>
              <w:right w:val="nil"/>
            </w:tcBorders>
            <w:shd w:val="clear" w:color="auto" w:fill="CCEEFF"/>
            <w:tcMar>
              <w:top w:w="0" w:type="dxa"/>
              <w:left w:w="0" w:type="dxa"/>
              <w:bottom w:w="0" w:type="dxa"/>
              <w:right w:w="0" w:type="dxa"/>
            </w:tcMar>
            <w:vAlign w:val="bottom"/>
          </w:tcPr>
          <w:p w14:paraId="63FFFC37" w14:textId="77777777" w:rsidR="00CE153D" w:rsidRDefault="008A7CB9">
            <w:pPr>
              <w:keepNext/>
              <w:spacing w:before="53" w:after="30" w:line="200" w:lineRule="auto"/>
              <w:jc w:val="right"/>
            </w:pPr>
            <w:r>
              <w:rPr>
                <w:b/>
                <w:color w:val="000000"/>
                <w:sz w:val="20"/>
              </w:rPr>
              <w:t>(29,826)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E7BA76A"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8D27AC2" w14:textId="77777777" w:rsidR="00CE153D" w:rsidRDefault="00CE153D">
            <w:pPr>
              <w:keepNext/>
              <w:spacing w:before="53" w:after="30" w:line="200" w:lineRule="auto"/>
            </w:pPr>
          </w:p>
        </w:tc>
      </w:tr>
      <w:tr w:rsidR="00CE153D" w14:paraId="31750E6C"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12FE482E" w14:textId="77777777" w:rsidR="00CE153D" w:rsidRDefault="008A7CB9">
            <w:pPr>
              <w:keepNext/>
              <w:spacing w:before="53" w:after="30" w:line="200" w:lineRule="auto"/>
            </w:pPr>
            <w:r>
              <w:rPr>
                <w:color w:val="000000"/>
                <w:sz w:val="20"/>
              </w:rPr>
              <w:t>Depreciation and amortization expense</w:t>
            </w:r>
          </w:p>
        </w:tc>
        <w:tc>
          <w:tcPr>
            <w:tcW w:w="905" w:type="dxa"/>
            <w:gridSpan w:val="2"/>
            <w:tcBorders>
              <w:top w:val="nil"/>
              <w:left w:val="nil"/>
              <w:bottom w:val="nil"/>
              <w:right w:val="nil"/>
            </w:tcBorders>
            <w:tcMar>
              <w:top w:w="0" w:type="dxa"/>
              <w:left w:w="53" w:type="dxa"/>
              <w:bottom w:w="0" w:type="dxa"/>
              <w:right w:w="0" w:type="dxa"/>
            </w:tcMar>
            <w:vAlign w:val="bottom"/>
          </w:tcPr>
          <w:p w14:paraId="4023C0A3" w14:textId="77777777" w:rsidR="00CE153D" w:rsidRDefault="008A7CB9">
            <w:pPr>
              <w:keepNext/>
              <w:spacing w:before="53" w:after="30" w:line="200" w:lineRule="auto"/>
              <w:jc w:val="right"/>
            </w:pPr>
            <w:r>
              <w:rPr>
                <w:color w:val="000000"/>
                <w:sz w:val="20"/>
              </w:rPr>
              <w:t>958 </w:t>
            </w:r>
          </w:p>
        </w:tc>
        <w:tc>
          <w:tcPr>
            <w:tcW w:w="100" w:type="dxa"/>
            <w:tcBorders>
              <w:top w:val="nil"/>
              <w:left w:val="nil"/>
              <w:bottom w:val="nil"/>
              <w:right w:val="nil"/>
            </w:tcBorders>
            <w:tcMar>
              <w:top w:w="0" w:type="dxa"/>
              <w:left w:w="0" w:type="dxa"/>
              <w:bottom w:w="0" w:type="dxa"/>
              <w:right w:w="15" w:type="dxa"/>
            </w:tcMar>
            <w:vAlign w:val="bottom"/>
          </w:tcPr>
          <w:p w14:paraId="36A20256"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00405DE9" w14:textId="77777777" w:rsidR="00CE153D" w:rsidRDefault="00CE153D">
            <w:pPr>
              <w:keepNext/>
              <w:spacing w:before="53" w:after="30" w:line="200" w:lineRule="auto"/>
              <w:jc w:val="right"/>
            </w:pPr>
          </w:p>
        </w:tc>
        <w:tc>
          <w:tcPr>
            <w:tcW w:w="905" w:type="dxa"/>
            <w:gridSpan w:val="2"/>
            <w:tcBorders>
              <w:top w:val="nil"/>
              <w:left w:val="nil"/>
              <w:bottom w:val="nil"/>
              <w:right w:val="nil"/>
            </w:tcBorders>
            <w:tcMar>
              <w:top w:w="0" w:type="dxa"/>
              <w:left w:w="53" w:type="dxa"/>
              <w:bottom w:w="0" w:type="dxa"/>
              <w:right w:w="0" w:type="dxa"/>
            </w:tcMar>
            <w:vAlign w:val="bottom"/>
          </w:tcPr>
          <w:p w14:paraId="405F5DC1" w14:textId="77777777" w:rsidR="00CE153D" w:rsidRDefault="008A7CB9">
            <w:pPr>
              <w:keepNext/>
              <w:spacing w:before="53" w:after="30" w:line="200" w:lineRule="auto"/>
              <w:jc w:val="right"/>
            </w:pPr>
            <w:r>
              <w:rPr>
                <w:color w:val="000000"/>
                <w:sz w:val="20"/>
              </w:rPr>
              <w:t>789 </w:t>
            </w:r>
          </w:p>
        </w:tc>
        <w:tc>
          <w:tcPr>
            <w:tcW w:w="100" w:type="dxa"/>
            <w:tcBorders>
              <w:top w:val="nil"/>
              <w:left w:val="nil"/>
              <w:bottom w:val="nil"/>
              <w:right w:val="nil"/>
            </w:tcBorders>
            <w:tcMar>
              <w:top w:w="0" w:type="dxa"/>
              <w:left w:w="0" w:type="dxa"/>
              <w:bottom w:w="0" w:type="dxa"/>
              <w:right w:w="15" w:type="dxa"/>
            </w:tcMar>
            <w:vAlign w:val="bottom"/>
          </w:tcPr>
          <w:p w14:paraId="259C921A"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029DC145" w14:textId="77777777" w:rsidR="00CE153D" w:rsidRDefault="00CE153D">
            <w:pPr>
              <w:keepNext/>
              <w:spacing w:before="53" w:after="30" w:line="200" w:lineRule="auto"/>
            </w:pPr>
          </w:p>
        </w:tc>
        <w:tc>
          <w:tcPr>
            <w:tcW w:w="905" w:type="dxa"/>
            <w:gridSpan w:val="2"/>
            <w:tcBorders>
              <w:top w:val="nil"/>
              <w:left w:val="nil"/>
              <w:bottom w:val="nil"/>
              <w:right w:val="nil"/>
            </w:tcBorders>
            <w:tcMar>
              <w:top w:w="0" w:type="dxa"/>
              <w:left w:w="53" w:type="dxa"/>
              <w:bottom w:w="0" w:type="dxa"/>
              <w:right w:w="0" w:type="dxa"/>
            </w:tcMar>
            <w:vAlign w:val="bottom"/>
          </w:tcPr>
          <w:p w14:paraId="790C3507" w14:textId="77777777" w:rsidR="00CE153D" w:rsidRDefault="008A7CB9">
            <w:pPr>
              <w:keepNext/>
              <w:spacing w:before="53" w:after="30" w:line="200" w:lineRule="auto"/>
              <w:jc w:val="right"/>
            </w:pPr>
            <w:r>
              <w:rPr>
                <w:color w:val="000000"/>
                <w:sz w:val="20"/>
              </w:rPr>
              <w:t>4,217 </w:t>
            </w:r>
          </w:p>
        </w:tc>
        <w:tc>
          <w:tcPr>
            <w:tcW w:w="100" w:type="dxa"/>
            <w:tcBorders>
              <w:top w:val="nil"/>
              <w:left w:val="nil"/>
              <w:bottom w:val="nil"/>
              <w:right w:val="nil"/>
            </w:tcBorders>
            <w:tcMar>
              <w:top w:w="0" w:type="dxa"/>
              <w:left w:w="0" w:type="dxa"/>
              <w:bottom w:w="0" w:type="dxa"/>
              <w:right w:w="15" w:type="dxa"/>
            </w:tcMar>
            <w:vAlign w:val="bottom"/>
          </w:tcPr>
          <w:p w14:paraId="645B39E4"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1AC8C369" w14:textId="77777777" w:rsidR="00CE153D" w:rsidRDefault="00CE153D">
            <w:pPr>
              <w:keepNext/>
              <w:spacing w:before="53" w:after="30" w:line="200" w:lineRule="auto"/>
            </w:pPr>
          </w:p>
        </w:tc>
        <w:tc>
          <w:tcPr>
            <w:tcW w:w="920" w:type="dxa"/>
            <w:gridSpan w:val="2"/>
            <w:tcBorders>
              <w:top w:val="nil"/>
              <w:left w:val="nil"/>
              <w:bottom w:val="nil"/>
              <w:right w:val="nil"/>
            </w:tcBorders>
            <w:tcMar>
              <w:top w:w="0" w:type="dxa"/>
              <w:left w:w="53" w:type="dxa"/>
              <w:bottom w:w="0" w:type="dxa"/>
              <w:right w:w="0" w:type="dxa"/>
            </w:tcMar>
            <w:vAlign w:val="bottom"/>
          </w:tcPr>
          <w:p w14:paraId="22FD55FC" w14:textId="77777777" w:rsidR="00CE153D" w:rsidRDefault="008A7CB9">
            <w:pPr>
              <w:keepNext/>
              <w:spacing w:before="53" w:after="30" w:line="200" w:lineRule="auto"/>
              <w:jc w:val="right"/>
            </w:pPr>
            <w:r>
              <w:rPr>
                <w:color w:val="000000"/>
                <w:sz w:val="20"/>
              </w:rPr>
              <w:t>2,501 </w:t>
            </w:r>
          </w:p>
        </w:tc>
        <w:tc>
          <w:tcPr>
            <w:tcW w:w="100" w:type="dxa"/>
            <w:tcBorders>
              <w:top w:val="nil"/>
              <w:left w:val="nil"/>
              <w:bottom w:val="nil"/>
              <w:right w:val="nil"/>
            </w:tcBorders>
            <w:tcMar>
              <w:top w:w="0" w:type="dxa"/>
              <w:left w:w="0" w:type="dxa"/>
              <w:bottom w:w="0" w:type="dxa"/>
              <w:right w:w="15" w:type="dxa"/>
            </w:tcMar>
            <w:vAlign w:val="bottom"/>
          </w:tcPr>
          <w:p w14:paraId="6BD858EB"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65D82E4C" w14:textId="77777777" w:rsidR="00CE153D" w:rsidRDefault="00CE153D">
            <w:pPr>
              <w:keepNext/>
              <w:spacing w:before="53" w:after="30" w:line="200" w:lineRule="auto"/>
            </w:pPr>
          </w:p>
        </w:tc>
      </w:tr>
      <w:tr w:rsidR="00CE153D" w14:paraId="3BF7F342"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2B725E4" w14:textId="4B3E1389" w:rsidR="00CE153D" w:rsidRDefault="008A7CB9">
            <w:pPr>
              <w:keepNext/>
              <w:spacing w:before="53" w:after="30" w:line="200" w:lineRule="auto"/>
            </w:pPr>
            <w:r>
              <w:rPr>
                <w:color w:val="000000"/>
                <w:sz w:val="20"/>
              </w:rPr>
              <w:t xml:space="preserve">Interest </w:t>
            </w:r>
            <w:r w:rsidR="00BF2148">
              <w:rPr>
                <w:color w:val="000000"/>
                <w:sz w:val="20"/>
              </w:rPr>
              <w:t>e</w:t>
            </w:r>
            <w:r>
              <w:rPr>
                <w:color w:val="000000"/>
                <w:sz w:val="20"/>
              </w:rPr>
              <w:t>xpense</w:t>
            </w: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773581CD" w14:textId="77777777" w:rsidR="00CE153D" w:rsidRDefault="008A7CB9">
            <w:pPr>
              <w:keepNext/>
              <w:spacing w:before="53" w:after="30" w:line="200" w:lineRule="auto"/>
              <w:jc w:val="right"/>
            </w:pPr>
            <w:r>
              <w:rPr>
                <w:color w:val="000000"/>
                <w:sz w:val="20"/>
              </w:rPr>
              <w:t>1,482 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AC19DEA"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0D4115E" w14:textId="77777777" w:rsidR="00CE153D" w:rsidRDefault="00CE153D">
            <w:pPr>
              <w:keepNext/>
              <w:spacing w:before="53" w:after="30" w:line="200" w:lineRule="auto"/>
              <w:jc w:val="right"/>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72AB2A8C" w14:textId="77777777" w:rsidR="00CE153D" w:rsidRDefault="008A7CB9">
            <w:pPr>
              <w:keepNext/>
              <w:spacing w:before="53" w:after="30" w:line="200" w:lineRule="auto"/>
              <w:jc w:val="right"/>
            </w:pPr>
            <w:r>
              <w:rPr>
                <w:color w:val="000000"/>
                <w:sz w:val="20"/>
              </w:rPr>
              <w:t>1,071 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B8C302D"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3C20F6CE" w14:textId="77777777" w:rsidR="00CE153D" w:rsidRDefault="00CE153D">
            <w:pPr>
              <w:keepNext/>
              <w:spacing w:before="53" w:after="30" w:line="200" w:lineRule="auto"/>
            </w:pPr>
          </w:p>
        </w:tc>
        <w:tc>
          <w:tcPr>
            <w:tcW w:w="905" w:type="dxa"/>
            <w:gridSpan w:val="2"/>
            <w:tcBorders>
              <w:top w:val="nil"/>
              <w:left w:val="nil"/>
              <w:bottom w:val="nil"/>
              <w:right w:val="nil"/>
            </w:tcBorders>
            <w:shd w:val="clear" w:color="auto" w:fill="CCEEFF"/>
            <w:tcMar>
              <w:top w:w="0" w:type="dxa"/>
              <w:left w:w="53" w:type="dxa"/>
              <w:bottom w:w="0" w:type="dxa"/>
              <w:right w:w="0" w:type="dxa"/>
            </w:tcMar>
            <w:vAlign w:val="bottom"/>
          </w:tcPr>
          <w:p w14:paraId="57A9091D" w14:textId="77777777" w:rsidR="00CE153D" w:rsidRDefault="008A7CB9">
            <w:pPr>
              <w:keepNext/>
              <w:spacing w:before="53" w:after="30" w:line="200" w:lineRule="auto"/>
              <w:jc w:val="right"/>
            </w:pPr>
            <w:r>
              <w:rPr>
                <w:color w:val="000000"/>
                <w:sz w:val="20"/>
              </w:rPr>
              <w:t>6,076 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ACF73EE"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39F357F" w14:textId="77777777" w:rsidR="00CE153D" w:rsidRDefault="00CE153D">
            <w:pPr>
              <w:keepNext/>
              <w:spacing w:before="53" w:after="30" w:line="200" w:lineRule="auto"/>
            </w:pPr>
          </w:p>
        </w:tc>
        <w:tc>
          <w:tcPr>
            <w:tcW w:w="920" w:type="dxa"/>
            <w:gridSpan w:val="2"/>
            <w:tcBorders>
              <w:top w:val="nil"/>
              <w:left w:val="nil"/>
              <w:bottom w:val="nil"/>
              <w:right w:val="nil"/>
            </w:tcBorders>
            <w:shd w:val="clear" w:color="auto" w:fill="CCEEFF"/>
            <w:tcMar>
              <w:top w:w="0" w:type="dxa"/>
              <w:left w:w="53" w:type="dxa"/>
              <w:bottom w:w="0" w:type="dxa"/>
              <w:right w:w="0" w:type="dxa"/>
            </w:tcMar>
            <w:vAlign w:val="bottom"/>
          </w:tcPr>
          <w:p w14:paraId="1DD42048" w14:textId="77777777" w:rsidR="00CE153D" w:rsidRDefault="008A7CB9">
            <w:pPr>
              <w:keepNext/>
              <w:spacing w:before="53" w:after="30" w:line="200" w:lineRule="auto"/>
              <w:jc w:val="right"/>
            </w:pPr>
            <w:r>
              <w:rPr>
                <w:color w:val="000000"/>
                <w:sz w:val="20"/>
              </w:rPr>
              <w:t>2,523 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DE72725" w14:textId="77777777" w:rsidR="00CE153D" w:rsidRDefault="00CE153D">
            <w:pPr>
              <w:keepNext/>
              <w:spacing w:before="5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7D5B119" w14:textId="77777777" w:rsidR="00CE153D" w:rsidRDefault="00CE153D">
            <w:pPr>
              <w:keepNext/>
              <w:spacing w:before="53" w:after="30" w:line="200" w:lineRule="auto"/>
            </w:pPr>
          </w:p>
        </w:tc>
      </w:tr>
      <w:tr w:rsidR="00CE153D" w14:paraId="25D77012" w14:textId="77777777">
        <w:trPr>
          <w:cantSplit/>
          <w:trHeight w:hRule="exact" w:val="315"/>
        </w:trPr>
        <w:tc>
          <w:tcPr>
            <w:tcW w:w="4845" w:type="dxa"/>
            <w:tcBorders>
              <w:top w:val="nil"/>
              <w:left w:val="nil"/>
              <w:bottom w:val="nil"/>
              <w:right w:val="nil"/>
            </w:tcBorders>
            <w:tcMar>
              <w:top w:w="0" w:type="dxa"/>
              <w:left w:w="53" w:type="dxa"/>
              <w:bottom w:w="0" w:type="dxa"/>
              <w:right w:w="53" w:type="dxa"/>
            </w:tcMar>
            <w:vAlign w:val="bottom"/>
          </w:tcPr>
          <w:p w14:paraId="323C0963" w14:textId="7A7BA716" w:rsidR="00CE153D" w:rsidRDefault="008A7CB9">
            <w:pPr>
              <w:keepNext/>
              <w:spacing w:before="53" w:after="30" w:line="200" w:lineRule="auto"/>
            </w:pPr>
            <w:r>
              <w:rPr>
                <w:color w:val="000000"/>
                <w:sz w:val="20"/>
              </w:rPr>
              <w:t xml:space="preserve">Income </w:t>
            </w:r>
            <w:r w:rsidR="00BF2148">
              <w:rPr>
                <w:color w:val="000000"/>
                <w:sz w:val="20"/>
              </w:rPr>
              <w:t>t</w:t>
            </w:r>
            <w:r>
              <w:rPr>
                <w:color w:val="000000"/>
                <w:sz w:val="20"/>
              </w:rPr>
              <w:t xml:space="preserve">ax </w:t>
            </w:r>
            <w:r w:rsidR="00BF2148">
              <w:rPr>
                <w:color w:val="000000"/>
                <w:sz w:val="20"/>
              </w:rPr>
              <w:t>e</w:t>
            </w:r>
            <w:r>
              <w:rPr>
                <w:color w:val="000000"/>
                <w:sz w:val="20"/>
              </w:rPr>
              <w:t>xpense</w:t>
            </w: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4440EFB5" w14:textId="77777777" w:rsidR="00CE153D" w:rsidRDefault="008A7CB9">
            <w:pPr>
              <w:keepNext/>
              <w:spacing w:before="53" w:after="30" w:line="200" w:lineRule="auto"/>
              <w:jc w:val="right"/>
            </w:pPr>
            <w:r>
              <w:rPr>
                <w:color w:val="000000"/>
                <w:sz w:val="20"/>
              </w:rPr>
              <w:t>(29)</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A38DD4E"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428EB80D" w14:textId="77777777" w:rsidR="00CE153D" w:rsidRDefault="00CE153D">
            <w:pPr>
              <w:keepNext/>
              <w:spacing w:before="53" w:after="30" w:line="200" w:lineRule="auto"/>
              <w:jc w:val="right"/>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7837A5D5" w14:textId="77777777" w:rsidR="00CE153D" w:rsidRDefault="008A7CB9">
            <w:pPr>
              <w:keepNext/>
              <w:spacing w:before="53" w:after="30" w:line="200" w:lineRule="auto"/>
              <w:jc w:val="right"/>
            </w:pPr>
            <w:r>
              <w:rPr>
                <w:color w:val="000000"/>
                <w:sz w:val="20"/>
              </w:rPr>
              <w:t>114 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09E1D7CA"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38201A27" w14:textId="77777777" w:rsidR="00CE153D" w:rsidRDefault="00CE153D">
            <w:pPr>
              <w:keepNext/>
              <w:spacing w:before="53" w:after="30" w:line="200" w:lineRule="auto"/>
            </w:pPr>
          </w:p>
        </w:tc>
        <w:tc>
          <w:tcPr>
            <w:tcW w:w="905" w:type="dxa"/>
            <w:gridSpan w:val="2"/>
            <w:tcBorders>
              <w:top w:val="nil"/>
              <w:left w:val="nil"/>
              <w:bottom w:val="single" w:sz="8" w:space="0" w:color="000000"/>
              <w:right w:val="nil"/>
            </w:tcBorders>
            <w:tcMar>
              <w:top w:w="0" w:type="dxa"/>
              <w:left w:w="53" w:type="dxa"/>
              <w:bottom w:w="0" w:type="dxa"/>
              <w:right w:w="0" w:type="dxa"/>
            </w:tcMar>
            <w:vAlign w:val="bottom"/>
          </w:tcPr>
          <w:p w14:paraId="429825BB" w14:textId="77777777" w:rsidR="00CE153D" w:rsidRDefault="008A7CB9">
            <w:pPr>
              <w:keepNext/>
              <w:spacing w:before="53" w:after="30" w:line="200" w:lineRule="auto"/>
              <w:jc w:val="right"/>
            </w:pPr>
            <w:r>
              <w:rPr>
                <w:color w:val="000000"/>
                <w:sz w:val="20"/>
              </w:rPr>
              <w:t>(29)</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61EC4F6C"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41AFCFEE" w14:textId="77777777" w:rsidR="00CE153D" w:rsidRDefault="00CE153D">
            <w:pPr>
              <w:keepNext/>
              <w:spacing w:before="53" w:after="30" w:line="200" w:lineRule="auto"/>
            </w:pPr>
          </w:p>
        </w:tc>
        <w:tc>
          <w:tcPr>
            <w:tcW w:w="920" w:type="dxa"/>
            <w:gridSpan w:val="2"/>
            <w:tcBorders>
              <w:top w:val="nil"/>
              <w:left w:val="nil"/>
              <w:bottom w:val="single" w:sz="8" w:space="0" w:color="000000"/>
              <w:right w:val="nil"/>
            </w:tcBorders>
            <w:tcMar>
              <w:top w:w="0" w:type="dxa"/>
              <w:left w:w="53" w:type="dxa"/>
              <w:bottom w:w="0" w:type="dxa"/>
              <w:right w:w="0" w:type="dxa"/>
            </w:tcMar>
            <w:vAlign w:val="bottom"/>
          </w:tcPr>
          <w:p w14:paraId="10C8B44E" w14:textId="77777777" w:rsidR="00CE153D" w:rsidRDefault="008A7CB9">
            <w:pPr>
              <w:keepNext/>
              <w:spacing w:before="53" w:after="30" w:line="200" w:lineRule="auto"/>
              <w:jc w:val="right"/>
            </w:pPr>
            <w:r>
              <w:rPr>
                <w:color w:val="000000"/>
                <w:sz w:val="20"/>
              </w:rPr>
              <w:t>127 </w:t>
            </w:r>
          </w:p>
        </w:tc>
        <w:tc>
          <w:tcPr>
            <w:tcW w:w="100" w:type="dxa"/>
            <w:tcBorders>
              <w:top w:val="nil"/>
              <w:left w:val="nil"/>
              <w:bottom w:val="single" w:sz="8" w:space="0" w:color="000000"/>
              <w:right w:val="nil"/>
            </w:tcBorders>
            <w:tcMar>
              <w:top w:w="0" w:type="dxa"/>
              <w:left w:w="0" w:type="dxa"/>
              <w:bottom w:w="0" w:type="dxa"/>
              <w:right w:w="15" w:type="dxa"/>
            </w:tcMar>
            <w:vAlign w:val="bottom"/>
          </w:tcPr>
          <w:p w14:paraId="7EB9DBD0" w14:textId="77777777" w:rsidR="00CE153D" w:rsidRDefault="00CE153D">
            <w:pPr>
              <w:keepNext/>
              <w:spacing w:before="53" w:after="30" w:line="200" w:lineRule="auto"/>
            </w:pPr>
          </w:p>
        </w:tc>
        <w:tc>
          <w:tcPr>
            <w:tcW w:w="480" w:type="dxa"/>
            <w:tcBorders>
              <w:top w:val="nil"/>
              <w:left w:val="nil"/>
              <w:bottom w:val="nil"/>
              <w:right w:val="nil"/>
            </w:tcBorders>
            <w:tcMar>
              <w:top w:w="0" w:type="dxa"/>
              <w:left w:w="53" w:type="dxa"/>
              <w:bottom w:w="0" w:type="dxa"/>
              <w:right w:w="53" w:type="dxa"/>
            </w:tcMar>
            <w:vAlign w:val="bottom"/>
          </w:tcPr>
          <w:p w14:paraId="3B32C5B4" w14:textId="77777777" w:rsidR="00CE153D" w:rsidRDefault="00CE153D">
            <w:pPr>
              <w:keepNext/>
              <w:spacing w:before="53" w:after="30" w:line="200" w:lineRule="auto"/>
            </w:pPr>
          </w:p>
        </w:tc>
      </w:tr>
      <w:tr w:rsidR="00CE153D" w14:paraId="3C7A02E7" w14:textId="77777777">
        <w:trPr>
          <w:cantSplit/>
          <w:trHeight w:hRule="exact" w:val="31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54F328AC" w14:textId="77777777" w:rsidR="00CE153D" w:rsidRDefault="008A7CB9">
            <w:pPr>
              <w:spacing w:before="53" w:after="30" w:line="200" w:lineRule="auto"/>
            </w:pPr>
            <w:r>
              <w:rPr>
                <w:b/>
                <w:color w:val="000000"/>
                <w:sz w:val="20"/>
              </w:rPr>
              <w:t>Adjusted EBITDA</w:t>
            </w: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0F6C28ED" w14:textId="77777777" w:rsidR="00CE153D" w:rsidRDefault="008A7CB9">
            <w:pPr>
              <w:spacing w:before="33" w:after="30" w:line="200" w:lineRule="auto"/>
            </w:pPr>
            <w:r>
              <w:rPr>
                <w:b/>
                <w:color w:val="000000"/>
                <w:sz w:val="20"/>
              </w:rPr>
              <w:t>$</w:t>
            </w:r>
          </w:p>
        </w:tc>
        <w:tc>
          <w:tcPr>
            <w:tcW w:w="7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436AC8CA" w14:textId="77777777" w:rsidR="00CE153D" w:rsidRDefault="008A7CB9">
            <w:pPr>
              <w:spacing w:before="33" w:after="30" w:line="200" w:lineRule="auto"/>
              <w:jc w:val="right"/>
            </w:pPr>
            <w:r>
              <w:rPr>
                <w:b/>
                <w:color w:val="000000"/>
                <w:sz w:val="20"/>
              </w:rPr>
              <w:t>1,008 </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2A5CC2A" w14:textId="77777777" w:rsidR="00CE153D" w:rsidRDefault="00CE153D">
            <w:pPr>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5D965ED8" w14:textId="77777777" w:rsidR="00CE153D" w:rsidRDefault="00CE153D">
            <w:pPr>
              <w:spacing w:before="53" w:after="30" w:line="200" w:lineRule="auto"/>
              <w:jc w:val="right"/>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CC15A69" w14:textId="77777777" w:rsidR="00CE153D" w:rsidRDefault="008A7CB9">
            <w:pPr>
              <w:spacing w:before="33" w:after="30" w:line="200" w:lineRule="auto"/>
            </w:pPr>
            <w:r>
              <w:rPr>
                <w:b/>
                <w:color w:val="000000"/>
                <w:sz w:val="20"/>
              </w:rPr>
              <w:t>$</w:t>
            </w:r>
          </w:p>
        </w:tc>
        <w:tc>
          <w:tcPr>
            <w:tcW w:w="7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0B65518" w14:textId="77777777" w:rsidR="00CE153D" w:rsidRDefault="008A7CB9">
            <w:pPr>
              <w:spacing w:before="33" w:after="30" w:line="200" w:lineRule="auto"/>
              <w:jc w:val="right"/>
            </w:pPr>
            <w:r>
              <w:rPr>
                <w:b/>
                <w:color w:val="000000"/>
                <w:sz w:val="20"/>
              </w:rPr>
              <w:t>(5,217)</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DEB69BC" w14:textId="77777777" w:rsidR="00CE153D" w:rsidRDefault="00CE153D">
            <w:pPr>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4B444057" w14:textId="77777777" w:rsidR="00CE153D" w:rsidRDefault="00CE153D">
            <w:pPr>
              <w:spacing w:before="53" w:after="30" w:line="200" w:lineRule="auto"/>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14652AF1" w14:textId="77777777" w:rsidR="00CE153D" w:rsidRDefault="008A7CB9">
            <w:pPr>
              <w:spacing w:before="33" w:after="30" w:line="200" w:lineRule="auto"/>
            </w:pPr>
            <w:r>
              <w:rPr>
                <w:b/>
                <w:color w:val="000000"/>
                <w:sz w:val="20"/>
              </w:rPr>
              <w:t>$</w:t>
            </w:r>
          </w:p>
        </w:tc>
        <w:tc>
          <w:tcPr>
            <w:tcW w:w="74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82D1128" w14:textId="77777777" w:rsidR="00CE153D" w:rsidRDefault="008A7CB9">
            <w:pPr>
              <w:spacing w:before="33" w:after="30" w:line="200" w:lineRule="auto"/>
              <w:jc w:val="right"/>
            </w:pPr>
            <w:r>
              <w:rPr>
                <w:b/>
                <w:color w:val="000000"/>
                <w:sz w:val="20"/>
              </w:rPr>
              <w:t>(23,301)</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3F7E873" w14:textId="77777777" w:rsidR="00CE153D" w:rsidRDefault="00CE153D">
            <w:pPr>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189D511B" w14:textId="77777777" w:rsidR="00CE153D" w:rsidRDefault="00CE153D">
            <w:pPr>
              <w:spacing w:before="53" w:after="30" w:line="200" w:lineRule="auto"/>
            </w:pPr>
          </w:p>
        </w:tc>
        <w:tc>
          <w:tcPr>
            <w:tcW w:w="160" w:type="dxa"/>
            <w:tcBorders>
              <w:top w:val="single" w:sz="8" w:space="0" w:color="000000"/>
              <w:left w:val="nil"/>
              <w:bottom w:val="double" w:sz="8" w:space="0" w:color="000000"/>
              <w:right w:val="nil"/>
            </w:tcBorders>
            <w:shd w:val="clear" w:color="auto" w:fill="CCEEFF"/>
            <w:tcMar>
              <w:top w:w="0" w:type="dxa"/>
              <w:left w:w="53" w:type="dxa"/>
              <w:bottom w:w="0" w:type="dxa"/>
              <w:right w:w="0" w:type="dxa"/>
            </w:tcMar>
            <w:vAlign w:val="bottom"/>
          </w:tcPr>
          <w:p w14:paraId="663D3DAA" w14:textId="77777777" w:rsidR="00CE153D" w:rsidRDefault="008A7CB9">
            <w:pPr>
              <w:spacing w:before="33" w:after="30" w:line="200" w:lineRule="auto"/>
            </w:pPr>
            <w:r>
              <w:rPr>
                <w:b/>
                <w:color w:val="000000"/>
                <w:sz w:val="20"/>
              </w:rPr>
              <w:t>$</w:t>
            </w:r>
          </w:p>
        </w:tc>
        <w:tc>
          <w:tcPr>
            <w:tcW w:w="7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673A030" w14:textId="77777777" w:rsidR="00CE153D" w:rsidRDefault="008A7CB9">
            <w:pPr>
              <w:spacing w:before="33" w:after="30" w:line="200" w:lineRule="auto"/>
              <w:jc w:val="right"/>
            </w:pPr>
            <w:r>
              <w:rPr>
                <w:b/>
                <w:color w:val="000000"/>
                <w:sz w:val="20"/>
              </w:rPr>
              <w:t>(24,675)</w:t>
            </w:r>
          </w:p>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CD52DD3" w14:textId="77777777" w:rsidR="00CE153D" w:rsidRDefault="00CE153D">
            <w:pPr>
              <w:spacing w:before="33" w:after="30" w:line="200" w:lineRule="auto"/>
            </w:pPr>
          </w:p>
        </w:tc>
        <w:tc>
          <w:tcPr>
            <w:tcW w:w="480" w:type="dxa"/>
            <w:tcBorders>
              <w:top w:val="nil"/>
              <w:left w:val="nil"/>
              <w:bottom w:val="nil"/>
              <w:right w:val="nil"/>
            </w:tcBorders>
            <w:shd w:val="clear" w:color="auto" w:fill="CCEEFF"/>
            <w:tcMar>
              <w:top w:w="0" w:type="dxa"/>
              <w:left w:w="53" w:type="dxa"/>
              <w:bottom w:w="0" w:type="dxa"/>
              <w:right w:w="53" w:type="dxa"/>
            </w:tcMar>
            <w:vAlign w:val="bottom"/>
          </w:tcPr>
          <w:p w14:paraId="094BD012" w14:textId="77777777" w:rsidR="00CE153D" w:rsidRDefault="00CE153D">
            <w:pPr>
              <w:spacing w:before="53" w:after="30" w:line="200" w:lineRule="auto"/>
            </w:pPr>
          </w:p>
        </w:tc>
      </w:tr>
    </w:tbl>
    <w:p w14:paraId="2FCE32E2" w14:textId="77777777" w:rsidR="00A77B3E" w:rsidRDefault="00A77B3E">
      <w:pPr>
        <w:spacing w:before="120" w:line="248" w:lineRule="auto"/>
        <w:ind w:right="930"/>
        <w:rPr>
          <w:rFonts w:ascii="Arial" w:eastAsia="Arial" w:hAnsi="Arial" w:cs="Arial"/>
          <w:sz w:val="22"/>
        </w:rPr>
      </w:pPr>
    </w:p>
    <w:p w14:paraId="1482CF36" w14:textId="77777777" w:rsidR="00A77B3E" w:rsidRDefault="00A77B3E">
      <w:pPr>
        <w:spacing w:line="248" w:lineRule="auto"/>
        <w:ind w:right="930"/>
        <w:rPr>
          <w:rFonts w:ascii="Arial" w:eastAsia="Arial" w:hAnsi="Arial" w:cs="Arial"/>
          <w:sz w:val="20"/>
          <w:shd w:val="clear" w:color="auto" w:fill="FFFF00"/>
          <w:vertAlign w:val="superscript"/>
        </w:rPr>
      </w:pPr>
    </w:p>
    <w:sectPr w:rsidR="00A77B3E">
      <w:headerReference w:type="default" r:id="rId13"/>
      <w:footerReference w:type="default" r:id="rId14"/>
      <w:type w:val="continuous"/>
      <w:pgSz w:w="12240" w:h="15840"/>
      <w:pgMar w:top="540" w:right="720" w:bottom="540" w:left="720" w:header="90"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235E4" w14:textId="77777777" w:rsidR="00481702" w:rsidRDefault="00481702">
      <w:r>
        <w:separator/>
      </w:r>
    </w:p>
  </w:endnote>
  <w:endnote w:type="continuationSeparator" w:id="0">
    <w:p w14:paraId="5EE02AAE" w14:textId="77777777" w:rsidR="00481702" w:rsidRDefault="0048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ED3B" w14:textId="77777777" w:rsidR="00CE153D" w:rsidRDefault="008A7CB9">
    <w:pPr>
      <w:spacing w:line="248" w:lineRule="auto"/>
      <w:jc w:val="center"/>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PAGE </w:instrText>
    </w:r>
    <w:r>
      <w:rPr>
        <w:rFonts w:ascii="Arial" w:eastAsia="Arial" w:hAnsi="Arial" w:cs="Arial"/>
        <w:sz w:val="18"/>
      </w:rPr>
      <w:fldChar w:fldCharType="separate"/>
    </w:r>
    <w:r>
      <w:rPr>
        <w:rFonts w:ascii="Arial" w:eastAsia="Arial" w:hAnsi="Arial" w:cs="Arial"/>
        <w:sz w:val="18"/>
      </w:rPr>
      <w:t>8</w:t>
    </w:r>
    <w:r>
      <w:rPr>
        <w:rFonts w:ascii="Arial" w:eastAsia="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36E28" w14:textId="77777777" w:rsidR="00481702" w:rsidRDefault="00481702">
      <w:r>
        <w:separator/>
      </w:r>
    </w:p>
  </w:footnote>
  <w:footnote w:type="continuationSeparator" w:id="0">
    <w:p w14:paraId="7510935E" w14:textId="77777777" w:rsidR="00481702" w:rsidRDefault="0048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996B" w14:textId="77777777" w:rsidR="00CE153D" w:rsidRDefault="00CE153D">
    <w:pPr>
      <w:spacing w:line="248" w:lineRule="auto"/>
      <w:jc w:val="center"/>
      <w:rPr>
        <w:rFonts w:ascii="Arial" w:eastAsia="Arial" w:hAnsi="Arial" w:cs="Arial"/>
        <w:b/>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16"/>
    <w:multiLevelType w:val="multilevel"/>
    <w:tmpl w:val="00000001"/>
    <w:lvl w:ilvl="0">
      <w:start w:val="1"/>
      <w:numFmt w:val="decimal"/>
      <w:lvlText w:val="•"/>
      <w:lvlJc w:val="left"/>
      <w:pPr>
        <w:tabs>
          <w:tab w:val="num" w:pos="516"/>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1F"/>
    <w:multiLevelType w:val="multilevel"/>
    <w:tmpl w:val="00000001"/>
    <w:lvl w:ilvl="0">
      <w:start w:val="1"/>
      <w:numFmt w:val="decimal"/>
      <w:lvlText w:val="•"/>
      <w:lvlJc w:val="left"/>
      <w:pPr>
        <w:tabs>
          <w:tab w:val="num" w:pos="516"/>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40"/>
    <w:multiLevelType w:val="multilevel"/>
    <w:tmpl w:val="00000001"/>
    <w:lvl w:ilvl="0">
      <w:start w:val="1"/>
      <w:numFmt w:val="decimal"/>
      <w:lvlText w:val="•"/>
      <w:lvlJc w:val="left"/>
      <w:pPr>
        <w:tabs>
          <w:tab w:val="num" w:pos="516"/>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59"/>
    <w:multiLevelType w:val="multilevel"/>
    <w:tmpl w:val="00000001"/>
    <w:lvl w:ilvl="0">
      <w:start w:val="1"/>
      <w:numFmt w:val="decimal"/>
      <w:lvlText w:val="•"/>
      <w:lvlJc w:val="left"/>
      <w:pPr>
        <w:tabs>
          <w:tab w:val="num" w:pos="516"/>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460"/>
    <w:rsid w:val="0011309F"/>
    <w:rsid w:val="00193268"/>
    <w:rsid w:val="001C2B2A"/>
    <w:rsid w:val="00260669"/>
    <w:rsid w:val="00276C9C"/>
    <w:rsid w:val="002977D1"/>
    <w:rsid w:val="00342EF3"/>
    <w:rsid w:val="00373DF8"/>
    <w:rsid w:val="00481702"/>
    <w:rsid w:val="004B6C1F"/>
    <w:rsid w:val="004C35C1"/>
    <w:rsid w:val="00560D29"/>
    <w:rsid w:val="00580208"/>
    <w:rsid w:val="00632C11"/>
    <w:rsid w:val="00657404"/>
    <w:rsid w:val="007428DF"/>
    <w:rsid w:val="007B4DD1"/>
    <w:rsid w:val="00816085"/>
    <w:rsid w:val="00826E41"/>
    <w:rsid w:val="008A7CB9"/>
    <w:rsid w:val="008B4C21"/>
    <w:rsid w:val="00933474"/>
    <w:rsid w:val="00937F6A"/>
    <w:rsid w:val="00975298"/>
    <w:rsid w:val="00981BB8"/>
    <w:rsid w:val="009A5B59"/>
    <w:rsid w:val="00A03837"/>
    <w:rsid w:val="00A23910"/>
    <w:rsid w:val="00A77B3E"/>
    <w:rsid w:val="00B1223D"/>
    <w:rsid w:val="00B13FE2"/>
    <w:rsid w:val="00B14E8B"/>
    <w:rsid w:val="00B21EDD"/>
    <w:rsid w:val="00B23F10"/>
    <w:rsid w:val="00B40BE2"/>
    <w:rsid w:val="00B54F7A"/>
    <w:rsid w:val="00B65B00"/>
    <w:rsid w:val="00BA0664"/>
    <w:rsid w:val="00BB0153"/>
    <w:rsid w:val="00BF2148"/>
    <w:rsid w:val="00C2229E"/>
    <w:rsid w:val="00C772B7"/>
    <w:rsid w:val="00CA2A55"/>
    <w:rsid w:val="00CE153D"/>
    <w:rsid w:val="00D02576"/>
    <w:rsid w:val="00D70168"/>
    <w:rsid w:val="00DB04EE"/>
    <w:rsid w:val="00E05F86"/>
    <w:rsid w:val="00E36409"/>
    <w:rsid w:val="00E91CA6"/>
    <w:rsid w:val="00F04A8D"/>
    <w:rsid w:val="00F0752B"/>
    <w:rsid w:val="00FE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0FDAE"/>
  <w15:docId w15:val="{42D34A01-066E-4FCB-B3F3-C0899E83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character" w:styleId="CommentReference">
    <w:name w:val="annotation reference"/>
    <w:basedOn w:val="DefaultParagraphFont"/>
    <w:semiHidden/>
    <w:unhideWhenUsed/>
    <w:rsid w:val="00BB0153"/>
    <w:rPr>
      <w:sz w:val="16"/>
      <w:szCs w:val="16"/>
    </w:rPr>
  </w:style>
  <w:style w:type="paragraph" w:styleId="CommentText">
    <w:name w:val="annotation text"/>
    <w:basedOn w:val="Normal"/>
    <w:link w:val="CommentTextChar"/>
    <w:semiHidden/>
    <w:unhideWhenUsed/>
    <w:rsid w:val="00BB0153"/>
    <w:rPr>
      <w:sz w:val="20"/>
      <w:szCs w:val="20"/>
    </w:rPr>
  </w:style>
  <w:style w:type="character" w:customStyle="1" w:styleId="CommentTextChar">
    <w:name w:val="Comment Text Char"/>
    <w:basedOn w:val="DefaultParagraphFont"/>
    <w:link w:val="CommentText"/>
    <w:semiHidden/>
    <w:rsid w:val="00BB0153"/>
  </w:style>
  <w:style w:type="paragraph" w:styleId="CommentSubject">
    <w:name w:val="annotation subject"/>
    <w:basedOn w:val="CommentText"/>
    <w:next w:val="CommentText"/>
    <w:link w:val="CommentSubjectChar"/>
    <w:semiHidden/>
    <w:unhideWhenUsed/>
    <w:rsid w:val="00BB0153"/>
    <w:rPr>
      <w:b/>
      <w:bCs/>
    </w:rPr>
  </w:style>
  <w:style w:type="character" w:customStyle="1" w:styleId="CommentSubjectChar">
    <w:name w:val="Comment Subject Char"/>
    <w:basedOn w:val="CommentTextChar"/>
    <w:link w:val="CommentSubject"/>
    <w:semiHidden/>
    <w:rsid w:val="00BB0153"/>
    <w:rPr>
      <w:b/>
      <w:bCs/>
    </w:rPr>
  </w:style>
  <w:style w:type="paragraph" w:styleId="BalloonText">
    <w:name w:val="Balloon Text"/>
    <w:basedOn w:val="Normal"/>
    <w:link w:val="BalloonTextChar"/>
    <w:rsid w:val="00BB0153"/>
    <w:rPr>
      <w:rFonts w:ascii="Segoe UI" w:hAnsi="Segoe UI" w:cs="Segoe UI"/>
      <w:sz w:val="18"/>
      <w:szCs w:val="18"/>
    </w:rPr>
  </w:style>
  <w:style w:type="character" w:customStyle="1" w:styleId="BalloonTextChar">
    <w:name w:val="Balloon Text Char"/>
    <w:basedOn w:val="DefaultParagraphFont"/>
    <w:link w:val="BalloonText"/>
    <w:rsid w:val="00BB0153"/>
    <w:rPr>
      <w:rFonts w:ascii="Segoe UI" w:hAnsi="Segoe UI" w:cs="Segoe UI"/>
      <w:sz w:val="18"/>
      <w:szCs w:val="18"/>
    </w:rPr>
  </w:style>
  <w:style w:type="character" w:styleId="Hyperlink">
    <w:name w:val="Hyperlink"/>
    <w:basedOn w:val="DefaultParagraphFont"/>
    <w:unhideWhenUsed/>
    <w:rsid w:val="00580208"/>
    <w:rPr>
      <w:color w:val="0000FF" w:themeColor="hyperlink"/>
      <w:u w:val="single"/>
    </w:rPr>
  </w:style>
  <w:style w:type="character" w:styleId="UnresolvedMention">
    <w:name w:val="Unresolved Mention"/>
    <w:basedOn w:val="DefaultParagraphFont"/>
    <w:uiPriority w:val="99"/>
    <w:semiHidden/>
    <w:unhideWhenUsed/>
    <w:rsid w:val="0058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6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ushc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657767DF03A41892850BCE9AAE040" ma:contentTypeVersion="12" ma:contentTypeDescription="Create a new document." ma:contentTypeScope="" ma:versionID="a8bd30df1df386ff06a7474a041dae89">
  <xsd:schema xmlns:xsd="http://www.w3.org/2001/XMLSchema" xmlns:xs="http://www.w3.org/2001/XMLSchema" xmlns:p="http://schemas.microsoft.com/office/2006/metadata/properties" xmlns:ns3="4a90ec4f-1f25-4777-9007-4cbe7e9c10b5" xmlns:ns4="ce7995d0-31df-43b4-b71e-14b9d8185296" targetNamespace="http://schemas.microsoft.com/office/2006/metadata/properties" ma:root="true" ma:fieldsID="21cfc7c88b503b1a0bcd2f40acd1162f" ns3:_="" ns4:_="">
    <xsd:import namespace="4a90ec4f-1f25-4777-9007-4cbe7e9c10b5"/>
    <xsd:import namespace="ce7995d0-31df-43b4-b71e-14b9d81852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0ec4f-1f25-4777-9007-4cbe7e9c1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995d0-31df-43b4-b71e-14b9d8185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D1DE2-BC89-43A8-B57D-16DF8D013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0ec4f-1f25-4777-9007-4cbe7e9c10b5"/>
    <ds:schemaRef ds:uri="ce7995d0-31df-43b4-b71e-14b9d8185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0FA16-DA40-4C14-8C8A-DA8C772F67FB}">
  <ds:schemaRefs>
    <ds:schemaRef ds:uri="http://schemas.microsoft.com/sharepoint/v3/contenttype/forms"/>
  </ds:schemaRefs>
</ds:datastoreItem>
</file>

<file path=customXml/itemProps3.xml><?xml version="1.0" encoding="utf-8"?>
<ds:datastoreItem xmlns:ds="http://schemas.openxmlformats.org/officeDocument/2006/customXml" ds:itemID="{B4BC8089-95C4-418C-BAAB-59F257B4DA93}">
  <ds:schemaRefs>
    <ds:schemaRef ds:uri="http://schemas.microsoft.com/office/2006/documentManagement/types"/>
    <ds:schemaRef ds:uri="http://purl.org/dc/terms/"/>
    <ds:schemaRef ds:uri="http://purl.org/dc/elements/1.1/"/>
    <ds:schemaRef ds:uri="http://schemas.microsoft.com/office/2006/metadata/properties"/>
    <ds:schemaRef ds:uri="4a90ec4f-1f25-4777-9007-4cbe7e9c10b5"/>
    <ds:schemaRef ds:uri="http://schemas.microsoft.com/office/infopath/2007/PartnerControls"/>
    <ds:schemaRef ds:uri="http://purl.org/dc/dcmitype/"/>
    <ds:schemaRef ds:uri="ce7995d0-31df-43b4-b71e-14b9d818529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3412</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99.1 (Q4'2020 Earnings release)</dc:title>
  <dc:creator>Najim Mostamand</dc:creator>
  <cp:lastModifiedBy>Najim Mostamand</cp:lastModifiedBy>
  <cp:revision>6</cp:revision>
  <dcterms:created xsi:type="dcterms:W3CDTF">2020-10-29T16:13:00Z</dcterms:created>
  <dcterms:modified xsi:type="dcterms:W3CDTF">2020-10-29T16:28:00Z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0x010100602657767DF03A41892850BCE9AAE040</vt:lpwstr>
  </property>
</Properties>
</file>