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B3E" w:rsidRDefault="002C74B2">
      <w:pPr>
        <w:spacing w:after="200" w:line="248" w:lineRule="auto"/>
        <w:jc w:val="center"/>
        <w:outlineLvl w:val="0"/>
        <w:rPr>
          <w:b/>
          <w:sz w:val="32"/>
        </w:rPr>
      </w:pPr>
      <w:bookmarkStart w:id="0" w:name="Section1"/>
      <w:bookmarkEnd w:id="0"/>
      <w:r>
        <w:rPr>
          <w:b/>
          <w:sz w:val="32"/>
        </w:rPr>
        <w:t>Spark Energy, Inc. Reports Third Quarter 2020 Financial Results</w:t>
      </w:r>
    </w:p>
    <w:p w:rsidR="00A77B3E" w:rsidRDefault="00A77B3E">
      <w:pPr>
        <w:spacing w:after="200" w:line="248" w:lineRule="auto"/>
        <w:jc w:val="both"/>
        <w:rPr>
          <w:sz w:val="22"/>
        </w:rPr>
      </w:pPr>
    </w:p>
    <w:p w:rsidR="00A77B3E" w:rsidRDefault="002C74B2">
      <w:pPr>
        <w:spacing w:line="248" w:lineRule="auto"/>
        <w:jc w:val="both"/>
        <w:rPr>
          <w:sz w:val="22"/>
        </w:rPr>
      </w:pPr>
      <w:r>
        <w:rPr>
          <w:sz w:val="22"/>
        </w:rPr>
        <w:t xml:space="preserve">HOUSTON, November 3, 2020 (ACCESSWIRE) -- Spark Energy, Inc. ("Spark" or the "Company") (NASDAQ: SPKE), an independent retail energy services company, today reported financial results for the quarter ended September 30, 2020. </w:t>
      </w:r>
    </w:p>
    <w:p w:rsidR="00A77B3E" w:rsidRDefault="002C74B2">
      <w:pPr>
        <w:spacing w:before="240" w:after="200" w:line="360" w:lineRule="auto"/>
        <w:jc w:val="both"/>
        <w:rPr>
          <w:b/>
          <w:sz w:val="22"/>
        </w:rPr>
      </w:pPr>
      <w:r>
        <w:rPr>
          <w:b/>
          <w:sz w:val="22"/>
        </w:rPr>
        <w:t>Key Highlights</w:t>
      </w:r>
    </w:p>
    <w:p w:rsidR="00A77B3E" w:rsidRDefault="002C74B2">
      <w:pPr>
        <w:numPr>
          <w:ilvl w:val="0"/>
          <w:numId w:val="10"/>
        </w:numPr>
        <w:spacing w:line="248" w:lineRule="auto"/>
        <w:jc w:val="both"/>
        <w:rPr>
          <w:sz w:val="22"/>
        </w:rPr>
      </w:pPr>
      <w:r>
        <w:rPr>
          <w:sz w:val="22"/>
        </w:rPr>
        <w:t xml:space="preserve">Achieved $27.7 million in Adjusted EBITDA, $47.0 million in Retail Gross Margin, and $22.6 million in Net Income for the third quarter </w:t>
      </w:r>
    </w:p>
    <w:p w:rsidR="00A77B3E" w:rsidRDefault="002C74B2">
      <w:pPr>
        <w:numPr>
          <w:ilvl w:val="0"/>
          <w:numId w:val="10"/>
        </w:numPr>
        <w:spacing w:line="248" w:lineRule="auto"/>
        <w:jc w:val="both"/>
        <w:rPr>
          <w:sz w:val="22"/>
        </w:rPr>
      </w:pPr>
      <w:r>
        <w:rPr>
          <w:sz w:val="22"/>
        </w:rPr>
        <w:t xml:space="preserve">Total RCE count of 499,000 as of September 30, 2020, compared to 772,000 as of September 30, 2019 </w:t>
      </w:r>
    </w:p>
    <w:p w:rsidR="00A77B3E" w:rsidRDefault="002C74B2">
      <w:pPr>
        <w:numPr>
          <w:ilvl w:val="0"/>
          <w:numId w:val="10"/>
        </w:numPr>
        <w:spacing w:line="248" w:lineRule="auto"/>
        <w:jc w:val="both"/>
        <w:rPr>
          <w:sz w:val="22"/>
        </w:rPr>
      </w:pPr>
      <w:r>
        <w:rPr>
          <w:sz w:val="22"/>
        </w:rPr>
        <w:t>Average monthly attrition of 3.0%</w:t>
      </w:r>
    </w:p>
    <w:p w:rsidR="00A77B3E" w:rsidRDefault="002C74B2">
      <w:pPr>
        <w:numPr>
          <w:ilvl w:val="0"/>
          <w:numId w:val="10"/>
        </w:numPr>
        <w:spacing w:line="248" w:lineRule="auto"/>
        <w:jc w:val="both"/>
        <w:rPr>
          <w:sz w:val="22"/>
        </w:rPr>
      </w:pPr>
      <w:r>
        <w:rPr>
          <w:sz w:val="22"/>
        </w:rPr>
        <w:t>Increased Senior Credit Facility with a Working Capital Commitment</w:t>
      </w:r>
      <w:r>
        <w:rPr>
          <w:sz w:val="22"/>
          <w:shd w:val="clear" w:color="auto" w:fill="FFFFFF"/>
        </w:rPr>
        <w:t xml:space="preserve"> of $202.5 million</w:t>
      </w:r>
    </w:p>
    <w:p w:rsidR="00A77B3E" w:rsidRDefault="00A77B3E">
      <w:pPr>
        <w:spacing w:line="248" w:lineRule="auto"/>
        <w:ind w:left="720"/>
        <w:jc w:val="both"/>
        <w:rPr>
          <w:sz w:val="22"/>
        </w:rPr>
      </w:pPr>
    </w:p>
    <w:p w:rsidR="00A77B3E" w:rsidRDefault="00A77B3E">
      <w:pPr>
        <w:spacing w:line="248" w:lineRule="auto"/>
        <w:jc w:val="both"/>
        <w:rPr>
          <w:sz w:val="20"/>
        </w:rPr>
      </w:pPr>
    </w:p>
    <w:p w:rsidR="00A77B3E" w:rsidRDefault="002C74B2">
      <w:pPr>
        <w:spacing w:line="248" w:lineRule="auto"/>
        <w:jc w:val="both"/>
        <w:rPr>
          <w:sz w:val="22"/>
        </w:rPr>
      </w:pPr>
      <w:r>
        <w:rPr>
          <w:sz w:val="22"/>
        </w:rPr>
        <w:t>"We had a strong third quarter while dealing with the continued impacts of COVID-19. We are continuing to pivot away from high usage, lower margin C&amp;I contracts which has led to stronger average unit margins, partially offsetting the decrease in volumes compared to the third quarter</w:t>
      </w:r>
      <w:r>
        <w:rPr>
          <w:sz w:val="22"/>
          <w:shd w:val="clear" w:color="auto" w:fill="FFFFFF"/>
        </w:rPr>
        <w:t xml:space="preserve"> </w:t>
      </w:r>
      <w:r>
        <w:rPr>
          <w:sz w:val="22"/>
        </w:rPr>
        <w:t>of 2019. Our overall customer book is much healthier, but we are currently unable to reinstate several marketing channels, which will cause our customer book to continue to shrink. We will continue to simplify our platform and look for ways to streamline the business until we can begin to add customers in a way that's consistent with our internal goals," said Keith Maxwell, Spark's President and Chief Executive Officer.</w:t>
      </w:r>
    </w:p>
    <w:p w:rsidR="00A77B3E" w:rsidRDefault="002C74B2">
      <w:pPr>
        <w:spacing w:before="240" w:after="200" w:line="248" w:lineRule="auto"/>
        <w:jc w:val="both"/>
        <w:rPr>
          <w:b/>
          <w:sz w:val="22"/>
        </w:rPr>
      </w:pPr>
      <w:r>
        <w:rPr>
          <w:b/>
          <w:sz w:val="22"/>
        </w:rPr>
        <w:t xml:space="preserve">Summary Third Quarter 2020 Financial Results </w:t>
      </w:r>
    </w:p>
    <w:p w:rsidR="00A77B3E" w:rsidRDefault="002C74B2">
      <w:pPr>
        <w:spacing w:after="200" w:line="248" w:lineRule="auto"/>
        <w:rPr>
          <w:sz w:val="22"/>
        </w:rPr>
      </w:pPr>
      <w:r>
        <w:rPr>
          <w:sz w:val="22"/>
        </w:rPr>
        <w:t xml:space="preserve">Net income for the quarter ended September 30, 2020, was $22.6 million compared to net income of $37.7 million for the quarter ended September 30, 2019. The decrease compared to the prior year was primarily the result of reduced gross margin and the non-cash mark-to-market accounting associated with the hedges we put in place to lock in margins on our retail contracts, partially offset with a decrease in G&amp;A, and income tax expense. We had a mark-to-market gain this quarter of $9.0 million, compared to a mark-to-market gain of $25.3 million a year ago. </w:t>
      </w:r>
    </w:p>
    <w:p w:rsidR="00A77B3E" w:rsidRDefault="002C74B2">
      <w:pPr>
        <w:spacing w:after="200" w:line="248" w:lineRule="auto"/>
        <w:jc w:val="both"/>
        <w:rPr>
          <w:sz w:val="22"/>
        </w:rPr>
      </w:pPr>
      <w:r>
        <w:rPr>
          <w:sz w:val="22"/>
        </w:rPr>
        <w:t>For the quarter ended September 30, 2020, Spark reported Adjusted EBITDA of $27.7 million compared to Adjusted EBITDA of $28.1 million for the quarter ended September 30, 2019. While gross margin was lower year-over-year, the decrease in gross margin was offset by decreases in G&amp;A expenses and Customer Acquisition Cost spending.</w:t>
      </w:r>
    </w:p>
    <w:p w:rsidR="00A77B3E" w:rsidRDefault="002C74B2">
      <w:pPr>
        <w:spacing w:after="300" w:line="248" w:lineRule="auto"/>
        <w:jc w:val="both"/>
        <w:rPr>
          <w:sz w:val="22"/>
        </w:rPr>
      </w:pPr>
      <w:r>
        <w:rPr>
          <w:sz w:val="22"/>
        </w:rPr>
        <w:t xml:space="preserve">For the quarter ended September 30, 2020, Spark reported Retail Gross Margin of $47.0 million compared to Retail Gross Margin of $58.2 million for the quarter ended September 30, 2019. This decrease of $11.2 million was primarily attributable to fewer customers in our overall portfolio.  </w:t>
      </w: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0"/>
        <w:gridCol w:w="163"/>
        <w:gridCol w:w="1770"/>
        <w:gridCol w:w="102"/>
      </w:tblGrid>
      <w:tr w:rsidR="00B236FF">
        <w:trPr>
          <w:cantSplit/>
          <w:trHeight w:hRule="exact" w:val="300"/>
          <w:jc w:val="center"/>
        </w:trPr>
        <w:tc>
          <w:tcPr>
            <w:tcW w:w="8235" w:type="dxa"/>
            <w:tcBorders>
              <w:top w:val="nil"/>
              <w:left w:val="nil"/>
              <w:bottom w:val="nil"/>
              <w:right w:val="nil"/>
            </w:tcBorders>
            <w:tcMar>
              <w:top w:w="0" w:type="dxa"/>
              <w:left w:w="53" w:type="dxa"/>
              <w:bottom w:w="0" w:type="dxa"/>
              <w:right w:w="53" w:type="dxa"/>
            </w:tcMar>
            <w:vAlign w:val="bottom"/>
          </w:tcPr>
          <w:p w:rsidR="00B236FF" w:rsidRDefault="002C74B2">
            <w:pPr>
              <w:keepNext/>
              <w:spacing w:before="75" w:after="30" w:line="200" w:lineRule="auto"/>
            </w:pPr>
            <w:r>
              <w:rPr>
                <w:b/>
                <w:color w:val="000000"/>
              </w:rPr>
              <w:t>Liquidity and Capital Resources</w:t>
            </w:r>
          </w:p>
        </w:tc>
        <w:tc>
          <w:tcPr>
            <w:tcW w:w="1995" w:type="dxa"/>
            <w:gridSpan w:val="3"/>
            <w:tcBorders>
              <w:top w:val="nil"/>
              <w:left w:val="nil"/>
              <w:bottom w:val="nil"/>
              <w:right w:val="nil"/>
            </w:tcBorders>
            <w:tcMar>
              <w:top w:w="0" w:type="dxa"/>
              <w:left w:w="53" w:type="dxa"/>
              <w:bottom w:w="0" w:type="dxa"/>
              <w:right w:w="15" w:type="dxa"/>
            </w:tcMar>
            <w:vAlign w:val="bottom"/>
          </w:tcPr>
          <w:p w:rsidR="00B236FF" w:rsidRDefault="00B236FF">
            <w:pPr>
              <w:keepNext/>
              <w:spacing w:before="75" w:after="30" w:line="200" w:lineRule="auto"/>
            </w:pPr>
          </w:p>
        </w:tc>
      </w:tr>
      <w:tr w:rsidR="00B236FF">
        <w:trPr>
          <w:cantSplit/>
          <w:trHeight w:hRule="exact" w:val="300"/>
          <w:jc w:val="center"/>
        </w:trPr>
        <w:tc>
          <w:tcPr>
            <w:tcW w:w="8235" w:type="dxa"/>
            <w:tcBorders>
              <w:top w:val="nil"/>
              <w:left w:val="nil"/>
              <w:bottom w:val="nil"/>
              <w:right w:val="nil"/>
            </w:tcBorders>
            <w:tcMar>
              <w:top w:w="0" w:type="dxa"/>
              <w:left w:w="53" w:type="dxa"/>
              <w:bottom w:w="0" w:type="dxa"/>
              <w:right w:w="53" w:type="dxa"/>
            </w:tcMar>
            <w:vAlign w:val="bottom"/>
          </w:tcPr>
          <w:p w:rsidR="00B236FF" w:rsidRDefault="002C74B2">
            <w:pPr>
              <w:keepNext/>
              <w:spacing w:before="75" w:after="30" w:line="200" w:lineRule="auto"/>
            </w:pPr>
            <w:r>
              <w:rPr>
                <w:i/>
                <w:color w:val="000000"/>
                <w:sz w:val="20"/>
              </w:rPr>
              <w:t>($ in thousands)</w:t>
            </w:r>
          </w:p>
        </w:tc>
        <w:tc>
          <w:tcPr>
            <w:tcW w:w="1995" w:type="dxa"/>
            <w:gridSpan w:val="3"/>
            <w:tcBorders>
              <w:top w:val="nil"/>
              <w:left w:val="nil"/>
              <w:bottom w:val="single" w:sz="8" w:space="0" w:color="000000"/>
              <w:right w:val="nil"/>
            </w:tcBorders>
            <w:tcMar>
              <w:top w:w="0" w:type="dxa"/>
              <w:left w:w="53" w:type="dxa"/>
              <w:bottom w:w="0" w:type="dxa"/>
              <w:right w:w="53" w:type="dxa"/>
            </w:tcMar>
            <w:vAlign w:val="bottom"/>
          </w:tcPr>
          <w:p w:rsidR="00B236FF" w:rsidRDefault="002C74B2">
            <w:pPr>
              <w:keepNext/>
              <w:spacing w:before="75" w:after="30" w:line="200" w:lineRule="auto"/>
              <w:jc w:val="center"/>
            </w:pPr>
            <w:r>
              <w:rPr>
                <w:b/>
                <w:color w:val="000000"/>
                <w:sz w:val="20"/>
              </w:rPr>
              <w:t>September 30, 2020</w:t>
            </w:r>
          </w:p>
        </w:tc>
      </w:tr>
      <w:tr w:rsidR="00B236FF">
        <w:trPr>
          <w:cantSplit/>
          <w:trHeight w:hRule="exact" w:val="300"/>
          <w:jc w:val="center"/>
        </w:trPr>
        <w:tc>
          <w:tcPr>
            <w:tcW w:w="823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pPr>
            <w:r>
              <w:rPr>
                <w:color w:val="000000"/>
                <w:sz w:val="20"/>
              </w:rPr>
              <w:t>Cash and cash equivalents</w:t>
            </w:r>
          </w:p>
        </w:tc>
        <w:tc>
          <w:tcPr>
            <w:tcW w:w="16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73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75,347 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300"/>
          <w:jc w:val="center"/>
        </w:trPr>
        <w:tc>
          <w:tcPr>
            <w:tcW w:w="823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9" w:lineRule="auto"/>
              <w:rPr>
                <w:sz w:val="20"/>
              </w:rPr>
            </w:pPr>
            <w:r>
              <w:rPr>
                <w:sz w:val="20"/>
              </w:rPr>
              <w:t xml:space="preserve">Senior Credit Facility Availability </w:t>
            </w:r>
            <w:r>
              <w:rPr>
                <w:sz w:val="20"/>
                <w:vertAlign w:val="superscript"/>
              </w:rPr>
              <w:t>(1)</w:t>
            </w:r>
          </w:p>
        </w:tc>
        <w:tc>
          <w:tcPr>
            <w:tcW w:w="189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55,733 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00"/>
          <w:jc w:val="center"/>
        </w:trPr>
        <w:tc>
          <w:tcPr>
            <w:tcW w:w="823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75" w:after="30" w:line="209" w:lineRule="auto"/>
              <w:rPr>
                <w:sz w:val="20"/>
              </w:rPr>
            </w:pPr>
            <w:r>
              <w:rPr>
                <w:sz w:val="20"/>
              </w:rPr>
              <w:t xml:space="preserve">Subordinated Debt Facility Availability </w:t>
            </w:r>
            <w:r>
              <w:rPr>
                <w:sz w:val="20"/>
                <w:vertAlign w:val="superscript"/>
              </w:rPr>
              <w:t>(2) (3)</w:t>
            </w:r>
          </w:p>
        </w:tc>
        <w:tc>
          <w:tcPr>
            <w:tcW w:w="189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25,000 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00"/>
          <w:jc w:val="center"/>
        </w:trPr>
        <w:tc>
          <w:tcPr>
            <w:tcW w:w="823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spacing w:before="75" w:after="30" w:line="200" w:lineRule="auto"/>
            </w:pPr>
            <w:r>
              <w:rPr>
                <w:b/>
                <w:color w:val="000000"/>
                <w:sz w:val="20"/>
              </w:rPr>
              <w:t>Total Liquidity</w:t>
            </w: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spacing w:before="55" w:after="30" w:line="200" w:lineRule="auto"/>
            </w:pPr>
            <w:r>
              <w:rPr>
                <w:b/>
                <w:color w:val="000000"/>
                <w:sz w:val="20"/>
              </w:rPr>
              <w:t>$</w:t>
            </w:r>
          </w:p>
        </w:tc>
        <w:tc>
          <w:tcPr>
            <w:tcW w:w="173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spacing w:before="55" w:after="30" w:line="200" w:lineRule="auto"/>
              <w:jc w:val="right"/>
            </w:pPr>
            <w:r>
              <w:rPr>
                <w:b/>
                <w:color w:val="000000"/>
                <w:sz w:val="20"/>
              </w:rPr>
              <w:t>156,080 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spacing w:before="55" w:after="30" w:line="200" w:lineRule="auto"/>
            </w:pPr>
          </w:p>
        </w:tc>
      </w:tr>
    </w:tbl>
    <w:p w:rsidR="00A77B3E" w:rsidRDefault="002C74B2">
      <w:pPr>
        <w:spacing w:before="300" w:line="248" w:lineRule="auto"/>
        <w:rPr>
          <w:i/>
          <w:color w:val="242424"/>
          <w:sz w:val="22"/>
        </w:rPr>
      </w:pPr>
      <w:r>
        <w:rPr>
          <w:sz w:val="18"/>
        </w:rPr>
        <w:t>(1) Reflects maximum cash availability or amount of Letters of Credit that could be issued based on existing covenants as of September 30, 2020.</w:t>
      </w:r>
    </w:p>
    <w:p w:rsidR="00A77B3E" w:rsidRDefault="002C74B2">
      <w:pPr>
        <w:spacing w:line="248" w:lineRule="auto"/>
        <w:rPr>
          <w:sz w:val="18"/>
        </w:rPr>
      </w:pPr>
      <w:r>
        <w:rPr>
          <w:sz w:val="18"/>
        </w:rPr>
        <w:t xml:space="preserve">(2) The accordion of the Senior Credit Facility was exercised on October 30, 2020 from $187.5 million, to $202.5 million, which will positively affect liquidity in future quarters. </w:t>
      </w:r>
    </w:p>
    <w:p w:rsidR="00A77B3E" w:rsidRDefault="002C74B2">
      <w:pPr>
        <w:spacing w:line="248" w:lineRule="auto"/>
        <w:rPr>
          <w:sz w:val="18"/>
        </w:rPr>
      </w:pPr>
      <w:r>
        <w:rPr>
          <w:sz w:val="18"/>
        </w:rPr>
        <w:t>(3) The availability of the Subordinated Facility is dependent on our Founder's willingness and ability to lend. See "—Sources of Liquidity— Subordinated Debt Facility.".</w:t>
      </w:r>
    </w:p>
    <w:p w:rsidR="00A77B3E" w:rsidRDefault="002C74B2">
      <w:pPr>
        <w:spacing w:before="240" w:after="200" w:line="360" w:lineRule="auto"/>
        <w:jc w:val="both"/>
        <w:rPr>
          <w:b/>
          <w:sz w:val="22"/>
        </w:rPr>
      </w:pPr>
      <w:bookmarkStart w:id="1" w:name="_GoBack"/>
      <w:bookmarkEnd w:id="1"/>
      <w:r>
        <w:rPr>
          <w:b/>
          <w:sz w:val="22"/>
        </w:rPr>
        <w:lastRenderedPageBreak/>
        <w:t>Dividend</w:t>
      </w:r>
    </w:p>
    <w:p w:rsidR="00A77B3E" w:rsidRDefault="002C74B2">
      <w:pPr>
        <w:spacing w:after="200" w:line="248" w:lineRule="auto"/>
        <w:jc w:val="both"/>
        <w:rPr>
          <w:sz w:val="22"/>
        </w:rPr>
      </w:pPr>
      <w:r>
        <w:rPr>
          <w:sz w:val="22"/>
        </w:rPr>
        <w:t>On October 19, 2020, Spark’s Board of Directors declared quarterly dividends of $0.18125 per share of Class A common stock payable on December 15, 2020, to holders of record on December 1, 2020, and $0.546875 per share of Series A Preferred Stock payable on January 15, 2021 to holders of record on January 1, 2021.</w:t>
      </w:r>
    </w:p>
    <w:p w:rsidR="00A77B3E" w:rsidRDefault="002C74B2">
      <w:pPr>
        <w:spacing w:before="240" w:after="200" w:line="248" w:lineRule="auto"/>
        <w:jc w:val="both"/>
        <w:rPr>
          <w:b/>
          <w:sz w:val="22"/>
        </w:rPr>
      </w:pPr>
      <w:r>
        <w:rPr>
          <w:b/>
          <w:sz w:val="22"/>
        </w:rPr>
        <w:t>Business Outlook</w:t>
      </w:r>
    </w:p>
    <w:p w:rsidR="00A77B3E" w:rsidRDefault="002C74B2">
      <w:pPr>
        <w:spacing w:line="248" w:lineRule="auto"/>
        <w:rPr>
          <w:sz w:val="22"/>
        </w:rPr>
      </w:pPr>
      <w:r>
        <w:rPr>
          <w:sz w:val="22"/>
        </w:rPr>
        <w:t>Mr. Maxwell concluded, "As we stated the last two quarters, our employees and management are working hard to serve our customers in these unprecedented economic times. We will continue to manage and evaluate all facets of the business including alternative sales channels, additional cost savings initiatives, efficiencies with supply management, as well as the payment of future dividends to ensure Spark emerges from the COVID-19 pandemic with ample liquidity and a platform that will allow us to return to growth.”</w:t>
      </w:r>
    </w:p>
    <w:p w:rsidR="00A77B3E" w:rsidRDefault="002C74B2">
      <w:pPr>
        <w:spacing w:before="240" w:after="200" w:line="248" w:lineRule="auto"/>
        <w:jc w:val="both"/>
        <w:rPr>
          <w:b/>
          <w:sz w:val="22"/>
        </w:rPr>
      </w:pPr>
      <w:r>
        <w:rPr>
          <w:b/>
          <w:sz w:val="22"/>
        </w:rPr>
        <w:t>Conference Call and Webcast</w:t>
      </w:r>
    </w:p>
    <w:p w:rsidR="00A77B3E" w:rsidRDefault="002C74B2">
      <w:pPr>
        <w:spacing w:after="200" w:line="248" w:lineRule="auto"/>
        <w:jc w:val="both"/>
        <w:rPr>
          <w:sz w:val="22"/>
        </w:rPr>
      </w:pPr>
      <w:r>
        <w:rPr>
          <w:sz w:val="22"/>
        </w:rPr>
        <w:t>Spark will host a conference call to discuss third quarter 2020 results on Wednesday, November 4, 2020, at 10:00 AM Central Time (11:00 AM Eastern).</w:t>
      </w:r>
    </w:p>
    <w:p w:rsidR="00A77B3E" w:rsidRDefault="002C74B2">
      <w:pPr>
        <w:spacing w:after="200" w:line="248" w:lineRule="auto"/>
        <w:jc w:val="both"/>
        <w:rPr>
          <w:sz w:val="22"/>
        </w:rPr>
      </w:pPr>
      <w:r>
        <w:rPr>
          <w:sz w:val="22"/>
        </w:rPr>
        <w:t xml:space="preserve">A live webcast of the conference call can be accessed from the Events &amp; Presentations page of the Spark Energy Investor Relations website at </w:t>
      </w:r>
      <w:hyperlink r:id="rId7" w:history="1">
        <w:r>
          <w:rPr>
            <w:color w:val="0000FF"/>
            <w:sz w:val="22"/>
            <w:u w:val="single"/>
          </w:rPr>
          <w:t>http://ir.sparkenergy.com/events-and-presentations</w:t>
        </w:r>
      </w:hyperlink>
      <w:r>
        <w:rPr>
          <w:sz w:val="22"/>
        </w:rPr>
        <w:t>. An archived replay of the webcast will be available for twelve months following the live presentation.</w:t>
      </w:r>
    </w:p>
    <w:p w:rsidR="00A77B3E" w:rsidRDefault="002C74B2">
      <w:pPr>
        <w:spacing w:before="240" w:after="200" w:line="248" w:lineRule="auto"/>
        <w:jc w:val="both"/>
        <w:rPr>
          <w:b/>
          <w:sz w:val="22"/>
        </w:rPr>
      </w:pPr>
      <w:r>
        <w:rPr>
          <w:b/>
          <w:sz w:val="22"/>
        </w:rPr>
        <w:t>About Spark Energy, Inc.</w:t>
      </w:r>
    </w:p>
    <w:p w:rsidR="00A77B3E" w:rsidRDefault="002C74B2">
      <w:pPr>
        <w:spacing w:line="238" w:lineRule="auto"/>
        <w:rPr>
          <w:sz w:val="22"/>
        </w:rPr>
      </w:pPr>
      <w:r>
        <w:rPr>
          <w:sz w:val="22"/>
        </w:rPr>
        <w:t xml:space="preserve">Spark Energy, Inc. is an independent retail energy services company founded in 1999 that provides residential and commercial customers in competitive markets across the United States with an alternative choice for natural gas and electricity. Headquartered in Houston, Texas, Spark currently operates in 100 utility service territories across 19 states and the District of Columbia. Spark offers its customers a variety of product and service choices, including stable and predictable energy costs and green product alternatives. </w:t>
      </w:r>
    </w:p>
    <w:p w:rsidR="00A77B3E" w:rsidRDefault="002C74B2">
      <w:pPr>
        <w:spacing w:line="238" w:lineRule="auto"/>
        <w:rPr>
          <w:sz w:val="22"/>
        </w:rPr>
      </w:pPr>
      <w:r>
        <w:rPr>
          <w:sz w:val="22"/>
        </w:rPr>
        <w:t xml:space="preserve"> </w:t>
      </w:r>
    </w:p>
    <w:p w:rsidR="00A77B3E" w:rsidRDefault="002C74B2">
      <w:pPr>
        <w:spacing w:after="200" w:line="248" w:lineRule="auto"/>
        <w:jc w:val="both"/>
        <w:rPr>
          <w:sz w:val="22"/>
        </w:rPr>
      </w:pPr>
      <w:r>
        <w:rPr>
          <w:sz w:val="22"/>
        </w:rPr>
        <w:t xml:space="preserve">We use our website as a means of disclosing material non-public information and for complying with our disclosure obligations under Regulation FD. Investors should note that new materials, including press releases, updated investor presentations, and financial and other filings with the Securities and Exchange Commission are posted on the Spark Energy Investor Relations website at ir.sparkenergy.com. Investors are urged to monitor our website regularly for information and updates about the Company. </w:t>
      </w:r>
    </w:p>
    <w:p w:rsidR="00A77B3E" w:rsidRDefault="002C74B2">
      <w:pPr>
        <w:spacing w:before="240" w:after="200" w:line="248" w:lineRule="auto"/>
        <w:jc w:val="both"/>
        <w:rPr>
          <w:sz w:val="22"/>
        </w:rPr>
      </w:pPr>
      <w:r>
        <w:rPr>
          <w:sz w:val="22"/>
        </w:rPr>
        <w:t>Cautionary Note Regarding Forward Looking Statements</w:t>
      </w:r>
    </w:p>
    <w:p w:rsidR="00A77B3E" w:rsidRDefault="002C74B2">
      <w:pPr>
        <w:spacing w:after="200" w:line="248" w:lineRule="auto"/>
        <w:jc w:val="both"/>
        <w:rPr>
          <w:sz w:val="22"/>
        </w:rPr>
      </w:pPr>
      <w:r>
        <w:rPr>
          <w:sz w:val="22"/>
        </w:rPr>
        <w:t>This earnings release contains forward-looking statements that are subject to a number of risks and uncertainties, many of which are beyond our control. These forward-looking statements within the meaning of Section 27A of the Securities Act of 1933, as amended (the “Securities Act”) and Section 21E of the Securities Exchange Act of 1934, as amended (the “Exchange Act”) can be identified by the use of forward-looking terminology including “may,” “should,” “could,” “likely,” “will,” “believe,” “expect,” “anticipate,” “estimate,” “continue,” “plan,” “intend,” “project,” or other similar words. All statements, other than statements of historical fact included in this earnings release, regarding strategy, future operations, financial position, estimated revenues and losses, projected costs, prospects, plans, objectives and beliefs of management are forward-looking statements. Forward-looking statements appear in a number of places in this earnings release and may include statements about expected impacts of COVID-19, business strategy and prospects for growth, customer acquisition costs, ability to pay cash dividends, cash flow generation and liquidity, availability of terms of capital, competition and government regulation and general economic conditions. Although we believe that the expectations reflected in such forward-looking statements are reasonable, we cannot give any assurance that such expectations will prove correct.</w:t>
      </w:r>
    </w:p>
    <w:p w:rsidR="00A77B3E" w:rsidRDefault="002C74B2">
      <w:pPr>
        <w:spacing w:after="200" w:line="248" w:lineRule="auto"/>
        <w:jc w:val="both"/>
        <w:rPr>
          <w:sz w:val="22"/>
        </w:rPr>
      </w:pPr>
      <w:r>
        <w:rPr>
          <w:sz w:val="22"/>
        </w:rPr>
        <w:lastRenderedPageBreak/>
        <w:t>The forward-looking statements in this earnings release are subject to risks and uncertainties. Important factors that could cause actual results to materially differ from those projected in the forward-looking statements include, but are not limited to:</w:t>
      </w:r>
    </w:p>
    <w:p w:rsidR="00A77B3E" w:rsidRDefault="002C74B2">
      <w:pPr>
        <w:numPr>
          <w:ilvl w:val="0"/>
          <w:numId w:val="28"/>
        </w:numPr>
        <w:spacing w:line="248" w:lineRule="auto"/>
        <w:ind w:left="1170"/>
        <w:rPr>
          <w:sz w:val="22"/>
        </w:rPr>
      </w:pPr>
      <w:r>
        <w:rPr>
          <w:sz w:val="22"/>
        </w:rPr>
        <w:t xml:space="preserve">evolving risks and uncertainties, and impacts relating to COVID-19, including the geographic spread, the severity of the disease, the scope and duration of the COVID-19 outbreak, actions that may be taken by governmental authorities to contain the COVID-19 outbreak or to treat its impact, and the potential for continuing negative impacts of COVID-19 </w:t>
      </w:r>
      <w:r>
        <w:rPr>
          <w:sz w:val="22"/>
          <w:shd w:val="clear" w:color="auto" w:fill="FFFFFF"/>
        </w:rPr>
        <w:t>on economies an</w:t>
      </w:r>
      <w:r>
        <w:rPr>
          <w:sz w:val="22"/>
        </w:rPr>
        <w:t>d financial markets;</w:t>
      </w:r>
    </w:p>
    <w:p w:rsidR="00A77B3E" w:rsidRDefault="002C74B2">
      <w:pPr>
        <w:numPr>
          <w:ilvl w:val="0"/>
          <w:numId w:val="28"/>
        </w:numPr>
        <w:spacing w:line="248" w:lineRule="auto"/>
        <w:ind w:left="1170"/>
        <w:rPr>
          <w:sz w:val="22"/>
        </w:rPr>
      </w:pPr>
      <w:r>
        <w:rPr>
          <w:sz w:val="22"/>
        </w:rPr>
        <w:t>changes in commodity prices;</w:t>
      </w:r>
    </w:p>
    <w:p w:rsidR="00A77B3E" w:rsidRDefault="002C74B2">
      <w:pPr>
        <w:numPr>
          <w:ilvl w:val="0"/>
          <w:numId w:val="28"/>
        </w:numPr>
        <w:spacing w:line="248" w:lineRule="auto"/>
        <w:ind w:left="1170"/>
        <w:rPr>
          <w:sz w:val="22"/>
        </w:rPr>
      </w:pPr>
      <w:r>
        <w:rPr>
          <w:sz w:val="22"/>
        </w:rPr>
        <w:t>the sufficiency of risk management and hedging policies and practices;</w:t>
      </w:r>
    </w:p>
    <w:p w:rsidR="00A77B3E" w:rsidRDefault="002C74B2">
      <w:pPr>
        <w:numPr>
          <w:ilvl w:val="0"/>
          <w:numId w:val="28"/>
        </w:numPr>
        <w:spacing w:line="248" w:lineRule="auto"/>
        <w:ind w:left="1170"/>
        <w:jc w:val="both"/>
        <w:rPr>
          <w:sz w:val="22"/>
        </w:rPr>
      </w:pPr>
      <w:r>
        <w:rPr>
          <w:sz w:val="22"/>
        </w:rPr>
        <w:t>the impact of extreme and unpredictable weather conditions, including hurricanes and other natural disasters;</w:t>
      </w:r>
    </w:p>
    <w:p w:rsidR="00A77B3E" w:rsidRDefault="002C74B2">
      <w:pPr>
        <w:numPr>
          <w:ilvl w:val="0"/>
          <w:numId w:val="28"/>
        </w:numPr>
        <w:spacing w:line="248" w:lineRule="auto"/>
        <w:ind w:left="1170"/>
        <w:jc w:val="both"/>
        <w:rPr>
          <w:sz w:val="22"/>
        </w:rPr>
      </w:pPr>
      <w:r>
        <w:rPr>
          <w:sz w:val="22"/>
        </w:rPr>
        <w:t>federal, state and local regulation, including the industry's ability to address or adapt to potentially restrictive new regulations that may be enacted by public utility commissions;</w:t>
      </w:r>
    </w:p>
    <w:p w:rsidR="00A77B3E" w:rsidRDefault="002C74B2">
      <w:pPr>
        <w:numPr>
          <w:ilvl w:val="0"/>
          <w:numId w:val="28"/>
        </w:numPr>
        <w:spacing w:line="248" w:lineRule="auto"/>
        <w:ind w:left="1170"/>
        <w:jc w:val="both"/>
        <w:rPr>
          <w:sz w:val="22"/>
        </w:rPr>
      </w:pPr>
      <w:r>
        <w:rPr>
          <w:sz w:val="22"/>
        </w:rPr>
        <w:t>our ability to borrow funds and access credit markets;</w:t>
      </w:r>
    </w:p>
    <w:p w:rsidR="00A77B3E" w:rsidRDefault="002C74B2">
      <w:pPr>
        <w:numPr>
          <w:ilvl w:val="0"/>
          <w:numId w:val="28"/>
        </w:numPr>
        <w:spacing w:line="248" w:lineRule="auto"/>
        <w:ind w:left="1170"/>
        <w:jc w:val="both"/>
        <w:rPr>
          <w:sz w:val="22"/>
        </w:rPr>
      </w:pPr>
      <w:r>
        <w:rPr>
          <w:sz w:val="22"/>
        </w:rPr>
        <w:t>restrictions in our debt agreements and collateral requirements;</w:t>
      </w:r>
    </w:p>
    <w:p w:rsidR="00A77B3E" w:rsidRDefault="002C74B2">
      <w:pPr>
        <w:numPr>
          <w:ilvl w:val="0"/>
          <w:numId w:val="28"/>
        </w:numPr>
        <w:spacing w:line="248" w:lineRule="auto"/>
        <w:ind w:left="1170"/>
        <w:jc w:val="both"/>
        <w:rPr>
          <w:sz w:val="22"/>
        </w:rPr>
      </w:pPr>
      <w:r>
        <w:rPr>
          <w:sz w:val="22"/>
        </w:rPr>
        <w:t>credit risk with respect to suppliers and customers;</w:t>
      </w:r>
    </w:p>
    <w:p w:rsidR="00A77B3E" w:rsidRDefault="002C74B2">
      <w:pPr>
        <w:numPr>
          <w:ilvl w:val="0"/>
          <w:numId w:val="28"/>
        </w:numPr>
        <w:spacing w:line="248" w:lineRule="auto"/>
        <w:ind w:left="1170"/>
        <w:jc w:val="both"/>
        <w:rPr>
          <w:sz w:val="22"/>
        </w:rPr>
      </w:pPr>
      <w:r>
        <w:rPr>
          <w:sz w:val="22"/>
        </w:rPr>
        <w:t>changes in costs to acquire customers as well as actual attrition rates;</w:t>
      </w:r>
    </w:p>
    <w:p w:rsidR="00A77B3E" w:rsidRDefault="002C74B2">
      <w:pPr>
        <w:numPr>
          <w:ilvl w:val="0"/>
          <w:numId w:val="28"/>
        </w:numPr>
        <w:spacing w:line="248" w:lineRule="auto"/>
        <w:ind w:left="1170"/>
        <w:jc w:val="both"/>
        <w:rPr>
          <w:sz w:val="22"/>
        </w:rPr>
      </w:pPr>
      <w:r>
        <w:rPr>
          <w:sz w:val="22"/>
        </w:rPr>
        <w:t xml:space="preserve">accuracy of billing systems; </w:t>
      </w:r>
    </w:p>
    <w:p w:rsidR="00A77B3E" w:rsidRDefault="002C74B2">
      <w:pPr>
        <w:numPr>
          <w:ilvl w:val="0"/>
          <w:numId w:val="28"/>
        </w:numPr>
        <w:spacing w:line="248" w:lineRule="auto"/>
        <w:ind w:left="1170"/>
        <w:jc w:val="both"/>
        <w:rPr>
          <w:sz w:val="22"/>
        </w:rPr>
      </w:pPr>
      <w:r>
        <w:rPr>
          <w:sz w:val="22"/>
        </w:rPr>
        <w:t>our ability to successfully identify, complete, and efficiently integrate acquisitions into our operations;</w:t>
      </w:r>
    </w:p>
    <w:p w:rsidR="00A77B3E" w:rsidRDefault="002C74B2">
      <w:pPr>
        <w:numPr>
          <w:ilvl w:val="0"/>
          <w:numId w:val="28"/>
        </w:numPr>
        <w:spacing w:line="248" w:lineRule="auto"/>
        <w:ind w:left="1170"/>
        <w:jc w:val="both"/>
        <w:rPr>
          <w:sz w:val="22"/>
        </w:rPr>
      </w:pPr>
      <w:r>
        <w:rPr>
          <w:sz w:val="22"/>
        </w:rPr>
        <w:t>significant changes in, or new charges by, the independent system operators (“ISOs”) in the regions in which we operate;</w:t>
      </w:r>
    </w:p>
    <w:p w:rsidR="00A77B3E" w:rsidRDefault="002C74B2">
      <w:pPr>
        <w:numPr>
          <w:ilvl w:val="0"/>
          <w:numId w:val="28"/>
        </w:numPr>
        <w:spacing w:line="248" w:lineRule="auto"/>
        <w:ind w:left="1170"/>
        <w:jc w:val="both"/>
        <w:rPr>
          <w:sz w:val="22"/>
        </w:rPr>
      </w:pPr>
      <w:r>
        <w:rPr>
          <w:sz w:val="22"/>
        </w:rPr>
        <w:t>competition; and</w:t>
      </w:r>
    </w:p>
    <w:p w:rsidR="00A77B3E" w:rsidRDefault="002C74B2">
      <w:pPr>
        <w:numPr>
          <w:ilvl w:val="0"/>
          <w:numId w:val="28"/>
        </w:numPr>
        <w:spacing w:after="200" w:line="248" w:lineRule="auto"/>
        <w:ind w:left="1170"/>
        <w:jc w:val="both"/>
        <w:rPr>
          <w:sz w:val="22"/>
        </w:rPr>
      </w:pPr>
      <w:r>
        <w:rPr>
          <w:sz w:val="22"/>
        </w:rPr>
        <w:t>the “Risk Factors” in our Annual Report on Form 10-K for the year ended December 31, 2019, in our Quarterly Report on Form 10-Q for the quarters ended March 31, 2020 and June 30, 2020 and September 30, 2020, other public filings and press releases.</w:t>
      </w:r>
    </w:p>
    <w:p w:rsidR="00A77B3E" w:rsidRDefault="002C74B2">
      <w:pPr>
        <w:spacing w:after="200" w:line="248" w:lineRule="auto"/>
        <w:jc w:val="both"/>
        <w:rPr>
          <w:sz w:val="22"/>
        </w:rPr>
      </w:pPr>
      <w:r>
        <w:rPr>
          <w:sz w:val="22"/>
        </w:rPr>
        <w:t>You should review the risk factors and other factors noted throughout or incorporated by reference in this earnings release that could cause our actual results to differ materially from those contained in any forward-looking statement. All forward-looking statements speak only as of the date of this earnings release. Unless required by law, we disclaim any obligation to publicly update or revise these statements whether as a result of new information, future events or otherwise. It is not possible for us to predict all risks, nor can we assess the impact of all factors on the business or the extent to which any factor, or combination of factors, may cause actual results to differ materially from those contained in any forward-looking statements.</w:t>
      </w:r>
    </w:p>
    <w:p w:rsidR="00A77B3E" w:rsidRDefault="002C74B2">
      <w:pPr>
        <w:spacing w:after="200" w:line="248" w:lineRule="auto"/>
        <w:jc w:val="both"/>
        <w:rPr>
          <w:b/>
          <w:sz w:val="22"/>
        </w:rPr>
      </w:pPr>
      <w:r>
        <w:rPr>
          <w:b/>
          <w:sz w:val="22"/>
        </w:rPr>
        <w:t>For further information, please contact:</w:t>
      </w:r>
    </w:p>
    <w:p w:rsidR="00A77B3E" w:rsidRDefault="002C74B2">
      <w:pPr>
        <w:spacing w:after="200" w:line="248" w:lineRule="auto"/>
        <w:jc w:val="both"/>
        <w:rPr>
          <w:b/>
          <w:sz w:val="22"/>
        </w:rPr>
      </w:pPr>
      <w:r>
        <w:rPr>
          <w:b/>
          <w:sz w:val="22"/>
        </w:rPr>
        <w:t>Investor Relations:</w:t>
      </w:r>
    </w:p>
    <w:p w:rsidR="00A77B3E" w:rsidRDefault="002C74B2">
      <w:pPr>
        <w:spacing w:after="200" w:line="248" w:lineRule="auto"/>
        <w:jc w:val="both"/>
        <w:rPr>
          <w:sz w:val="22"/>
        </w:rPr>
      </w:pPr>
      <w:r>
        <w:rPr>
          <w:sz w:val="22"/>
        </w:rPr>
        <w:t>Mike Barajas, 832-200-3727</w:t>
      </w:r>
    </w:p>
    <w:p w:rsidR="00A77B3E" w:rsidRDefault="002C74B2">
      <w:pPr>
        <w:spacing w:after="200" w:line="248" w:lineRule="auto"/>
        <w:jc w:val="both"/>
        <w:rPr>
          <w:b/>
          <w:sz w:val="22"/>
        </w:rPr>
      </w:pPr>
      <w:r>
        <w:rPr>
          <w:b/>
          <w:sz w:val="22"/>
        </w:rPr>
        <w:t>Media Relations:</w:t>
      </w:r>
    </w:p>
    <w:p w:rsidR="00A77B3E" w:rsidRDefault="002C74B2">
      <w:pPr>
        <w:spacing w:after="200" w:line="248" w:lineRule="auto"/>
        <w:jc w:val="both"/>
        <w:rPr>
          <w:sz w:val="22"/>
        </w:rPr>
      </w:pPr>
      <w:r>
        <w:rPr>
          <w:sz w:val="22"/>
        </w:rPr>
        <w:t>Kira Jordan, 832-255-7302</w:t>
      </w:r>
    </w:p>
    <w:p w:rsidR="00A77B3E" w:rsidRDefault="00A77B3E">
      <w:pPr>
        <w:spacing w:after="200" w:line="248" w:lineRule="auto"/>
        <w:jc w:val="both"/>
        <w:rPr>
          <w:sz w:val="22"/>
        </w:rPr>
      </w:pPr>
    </w:p>
    <w:p w:rsidR="00A77B3E" w:rsidRDefault="00A77B3E">
      <w:pPr>
        <w:spacing w:after="200" w:line="248" w:lineRule="auto"/>
        <w:jc w:val="both"/>
        <w:rPr>
          <w:sz w:val="22"/>
        </w:rPr>
      </w:pPr>
    </w:p>
    <w:p w:rsidR="00A77B3E" w:rsidRDefault="00A77B3E">
      <w:pPr>
        <w:spacing w:after="200" w:line="248" w:lineRule="auto"/>
        <w:jc w:val="both"/>
        <w:rPr>
          <w:sz w:val="22"/>
        </w:rPr>
      </w:pPr>
    </w:p>
    <w:p w:rsidR="00A77B3E" w:rsidRDefault="00A77B3E">
      <w:pPr>
        <w:spacing w:after="200" w:line="248" w:lineRule="auto"/>
        <w:jc w:val="both"/>
        <w:rPr>
          <w:sz w:val="22"/>
        </w:rPr>
      </w:pPr>
    </w:p>
    <w:p w:rsidR="00A77B3E" w:rsidRDefault="00A77B3E">
      <w:pPr>
        <w:spacing w:after="200" w:line="248" w:lineRule="auto"/>
        <w:jc w:val="both"/>
        <w:rPr>
          <w:sz w:val="22"/>
        </w:rPr>
      </w:pPr>
    </w:p>
    <w:p w:rsidR="00A77B3E" w:rsidRDefault="00A77B3E">
      <w:pPr>
        <w:spacing w:after="200" w:line="248" w:lineRule="auto"/>
        <w:jc w:val="both"/>
        <w:rPr>
          <w:sz w:val="22"/>
        </w:rPr>
      </w:pPr>
    </w:p>
    <w:p w:rsidR="00A77B3E" w:rsidRDefault="002C74B2">
      <w:pPr>
        <w:tabs>
          <w:tab w:val="left" w:pos="24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8" w:lineRule="auto"/>
        <w:jc w:val="center"/>
        <w:rPr>
          <w:b/>
          <w:sz w:val="22"/>
        </w:rPr>
      </w:pPr>
      <w:r>
        <w:rPr>
          <w:b/>
          <w:color w:val="3E413D"/>
          <w:sz w:val="22"/>
        </w:rPr>
        <w:lastRenderedPageBreak/>
        <w:t>SPARK ENERGY, INC.</w:t>
      </w:r>
    </w:p>
    <w:p w:rsidR="00A77B3E" w:rsidRDefault="002C74B2">
      <w:pPr>
        <w:spacing w:line="248" w:lineRule="auto"/>
        <w:jc w:val="center"/>
        <w:rPr>
          <w:b/>
          <w:sz w:val="22"/>
        </w:rPr>
      </w:pPr>
      <w:r>
        <w:rPr>
          <w:b/>
          <w:color w:val="3E413D"/>
          <w:sz w:val="22"/>
        </w:rPr>
        <w:t xml:space="preserve">CONDENSED CONSOLIDATED STATEMENTS OF OPERATIONS AND COMPREHENSIVE INCOME </w:t>
      </w:r>
    </w:p>
    <w:p w:rsidR="00A77B3E" w:rsidRDefault="002C74B2">
      <w:pPr>
        <w:spacing w:line="248" w:lineRule="auto"/>
        <w:jc w:val="center"/>
        <w:rPr>
          <w:b/>
          <w:sz w:val="18"/>
        </w:rPr>
      </w:pPr>
      <w:r>
        <w:rPr>
          <w:b/>
          <w:color w:val="3E413D"/>
          <w:sz w:val="18"/>
        </w:rPr>
        <w:t>(in thousands, except per share data)</w:t>
      </w:r>
    </w:p>
    <w:p w:rsidR="00A77B3E" w:rsidRDefault="002C74B2">
      <w:pPr>
        <w:spacing w:after="100" w:line="248" w:lineRule="auto"/>
        <w:jc w:val="center"/>
        <w:rPr>
          <w:b/>
          <w:sz w:val="18"/>
        </w:rPr>
      </w:pPr>
      <w:r>
        <w:rPr>
          <w:b/>
          <w:color w:val="3E413D"/>
          <w:sz w:val="18"/>
        </w:rPr>
        <w:t>(unaudited)</w:t>
      </w: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162"/>
        <w:gridCol w:w="1274"/>
        <w:gridCol w:w="101"/>
        <w:gridCol w:w="197"/>
        <w:gridCol w:w="163"/>
        <w:gridCol w:w="1275"/>
        <w:gridCol w:w="102"/>
        <w:gridCol w:w="114"/>
        <w:gridCol w:w="163"/>
        <w:gridCol w:w="1275"/>
        <w:gridCol w:w="102"/>
        <w:gridCol w:w="114"/>
        <w:gridCol w:w="163"/>
        <w:gridCol w:w="1275"/>
        <w:gridCol w:w="102"/>
      </w:tblGrid>
      <w:tr w:rsidR="00B236FF">
        <w:trPr>
          <w:cantSplit/>
          <w:trHeight w:hRule="exact" w:val="28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3225" w:type="dxa"/>
            <w:gridSpan w:val="7"/>
            <w:tcBorders>
              <w:top w:val="nil"/>
              <w:left w:val="nil"/>
              <w:bottom w:val="single" w:sz="8" w:space="0" w:color="000000"/>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jc w:val="center"/>
            </w:pPr>
            <w:r>
              <w:rPr>
                <w:b/>
                <w:color w:val="000000"/>
                <w:sz w:val="18"/>
              </w:rPr>
              <w:t>Three Months Ended September 30,</w:t>
            </w:r>
          </w:p>
        </w:tc>
        <w:tc>
          <w:tcPr>
            <w:tcW w:w="10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jc w:val="center"/>
            </w:pPr>
          </w:p>
        </w:tc>
        <w:tc>
          <w:tcPr>
            <w:tcW w:w="3105" w:type="dxa"/>
            <w:gridSpan w:val="7"/>
            <w:tcBorders>
              <w:top w:val="nil"/>
              <w:left w:val="nil"/>
              <w:bottom w:val="single" w:sz="8" w:space="0" w:color="000000"/>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jc w:val="center"/>
            </w:pPr>
            <w:r>
              <w:rPr>
                <w:b/>
                <w:color w:val="000000"/>
                <w:sz w:val="18"/>
              </w:rPr>
              <w:t>Nine Months Ended September 30,</w:t>
            </w:r>
          </w:p>
        </w:tc>
      </w:tr>
      <w:tr w:rsidR="00B236FF">
        <w:trPr>
          <w:cantSplit/>
          <w:trHeight w:hRule="exact" w:val="285"/>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18"/>
              </w:rPr>
              <w:t>2020</w:t>
            </w:r>
          </w:p>
        </w:tc>
        <w:tc>
          <w:tcPr>
            <w:tcW w:w="19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jc w:val="center"/>
            </w:pPr>
          </w:p>
        </w:tc>
        <w:tc>
          <w:tcPr>
            <w:tcW w:w="1515" w:type="dxa"/>
            <w:gridSpan w:val="3"/>
            <w:tcBorders>
              <w:top w:val="single" w:sz="8" w:space="0" w:color="000000"/>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18"/>
              </w:rPr>
              <w:t>2019</w:t>
            </w:r>
          </w:p>
        </w:tc>
        <w:tc>
          <w:tcPr>
            <w:tcW w:w="10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jc w:val="center"/>
            </w:pPr>
          </w:p>
        </w:tc>
        <w:tc>
          <w:tcPr>
            <w:tcW w:w="1515" w:type="dxa"/>
            <w:gridSpan w:val="3"/>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18"/>
              </w:rPr>
              <w:t>2020</w:t>
            </w:r>
          </w:p>
        </w:tc>
        <w:tc>
          <w:tcPr>
            <w:tcW w:w="7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jc w:val="center"/>
            </w:pPr>
          </w:p>
        </w:tc>
        <w:tc>
          <w:tcPr>
            <w:tcW w:w="1515" w:type="dxa"/>
            <w:gridSpan w:val="3"/>
            <w:tcBorders>
              <w:top w:val="single" w:sz="8" w:space="0" w:color="000000"/>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18"/>
              </w:rPr>
              <w:t>2019</w:t>
            </w:r>
          </w:p>
        </w:tc>
      </w:tr>
      <w:tr w:rsidR="00B236FF">
        <w:trPr>
          <w:cantSplit/>
          <w:trHeight w:hRule="exact" w:val="28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18"/>
              </w:rPr>
              <w:t>Revenues:</w:t>
            </w:r>
          </w:p>
        </w:tc>
        <w:tc>
          <w:tcPr>
            <w:tcW w:w="1515" w:type="dxa"/>
            <w:gridSpan w:val="3"/>
            <w:tcBorders>
              <w:top w:val="single" w:sz="8" w:space="0" w:color="000000"/>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single" w:sz="8" w:space="0" w:color="000000"/>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single" w:sz="8" w:space="0" w:color="000000"/>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single" w:sz="8" w:space="0" w:color="000000"/>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pPr>
          </w:p>
        </w:tc>
      </w:tr>
      <w:tr w:rsidR="00B236FF">
        <w:trPr>
          <w:cantSplit/>
          <w:trHeight w:hRule="exact" w:val="285"/>
          <w:jc w:val="center"/>
        </w:trPr>
        <w:tc>
          <w:tcPr>
            <w:tcW w:w="37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2C74B2">
            <w:pPr>
              <w:keepNext/>
              <w:spacing w:before="75" w:after="30" w:line="200" w:lineRule="auto"/>
              <w:ind w:left="360"/>
            </w:pPr>
            <w:r>
              <w:rPr>
                <w:color w:val="000000"/>
                <w:sz w:val="18"/>
              </w:rPr>
              <w:t>Retail revenues</w:t>
            </w: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pPr>
            <w:r>
              <w:rPr>
                <w:color w:val="000000"/>
                <w:sz w:val="18"/>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75" w:after="30" w:line="200" w:lineRule="auto"/>
              <w:jc w:val="right"/>
            </w:pPr>
            <w:r>
              <w:rPr>
                <w:color w:val="000000"/>
                <w:sz w:val="18"/>
              </w:rPr>
              <w:t>141,188 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pPr>
            <w:r>
              <w:rPr>
                <w:color w:val="000000"/>
                <w:sz w:val="18"/>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75" w:after="30" w:line="200" w:lineRule="auto"/>
              <w:jc w:val="right"/>
            </w:pPr>
            <w:r>
              <w:rPr>
                <w:color w:val="000000"/>
                <w:sz w:val="18"/>
              </w:rPr>
              <w:t>207,341 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pPr>
            <w:r>
              <w:rPr>
                <w:color w:val="000000"/>
                <w:sz w:val="18"/>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75" w:after="30" w:line="200" w:lineRule="auto"/>
              <w:jc w:val="right"/>
            </w:pPr>
            <w:r>
              <w:rPr>
                <w:color w:val="000000"/>
                <w:sz w:val="18"/>
              </w:rPr>
              <w:t>436,166 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pPr>
            <w:r>
              <w:rPr>
                <w:color w:val="000000"/>
                <w:sz w:val="18"/>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75" w:after="30" w:line="200" w:lineRule="auto"/>
              <w:jc w:val="right"/>
            </w:pPr>
            <w:r>
              <w:rPr>
                <w:color w:val="000000"/>
                <w:sz w:val="18"/>
              </w:rPr>
              <w:t>625,300 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37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2C74B2">
            <w:pPr>
              <w:keepNext/>
              <w:spacing w:before="75" w:after="30" w:line="200" w:lineRule="auto"/>
              <w:ind w:left="360"/>
            </w:pPr>
            <w:r>
              <w:rPr>
                <w:color w:val="000000"/>
                <w:sz w:val="18"/>
              </w:rPr>
              <w:t>Net asset optimization (expense) revenues</w:t>
            </w: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(558)</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(254)</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(319)</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2,242 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pPr>
            <w:r>
              <w:rPr>
                <w:color w:val="000000"/>
                <w:sz w:val="18"/>
              </w:rPr>
              <w:t>Total Revenues</w:t>
            </w:r>
          </w:p>
        </w:tc>
        <w:tc>
          <w:tcPr>
            <w:tcW w:w="141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140,630 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207,087 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435,847 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627,542 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28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18"/>
              </w:rPr>
              <w:t>Operating Expenses:</w:t>
            </w: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37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2C74B2">
            <w:pPr>
              <w:keepNext/>
              <w:spacing w:before="75" w:after="30" w:line="200" w:lineRule="auto"/>
              <w:ind w:left="360"/>
            </w:pPr>
            <w:r>
              <w:rPr>
                <w:color w:val="000000"/>
                <w:sz w:val="18"/>
              </w:rPr>
              <w:t>Retail cost of revenues</w:t>
            </w: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85,118 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123,867 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269,546 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477,881 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ind w:left="360"/>
            </w:pPr>
            <w:r>
              <w:rPr>
                <w:color w:val="000000"/>
                <w:sz w:val="18"/>
              </w:rPr>
              <w:t xml:space="preserve">General and administrative </w:t>
            </w: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19,080 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27,629 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66,087 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94,352 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ind w:left="360"/>
            </w:pPr>
            <w:r>
              <w:rPr>
                <w:color w:val="000000"/>
                <w:sz w:val="18"/>
              </w:rPr>
              <w:t>Depreciation and amortization</w:t>
            </w:r>
          </w:p>
        </w:tc>
        <w:tc>
          <w:tcPr>
            <w:tcW w:w="14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7,278 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9,496 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24,084 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31,963 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ind w:left="360"/>
            </w:pPr>
            <w:r>
              <w:rPr>
                <w:color w:val="000000"/>
                <w:sz w:val="18"/>
              </w:rPr>
              <w:t>Total Operating Expenses</w:t>
            </w:r>
          </w:p>
        </w:tc>
        <w:tc>
          <w:tcPr>
            <w:tcW w:w="1415"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111,476 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160,992 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359,717 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604,196 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285"/>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ind w:left="360"/>
            </w:pPr>
            <w:r>
              <w:rPr>
                <w:color w:val="000000"/>
                <w:sz w:val="18"/>
              </w:rPr>
              <w:t>Operating income</w:t>
            </w:r>
          </w:p>
        </w:tc>
        <w:tc>
          <w:tcPr>
            <w:tcW w:w="141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29,154 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46,095 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76,130 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23,346 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28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ind w:left="360"/>
            </w:pPr>
            <w:r>
              <w:rPr>
                <w:color w:val="000000"/>
                <w:sz w:val="18"/>
              </w:rPr>
              <w:t>Other (expense)/income:</w:t>
            </w: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ind w:left="720"/>
            </w:pPr>
            <w:r>
              <w:rPr>
                <w:color w:val="000000"/>
                <w:sz w:val="18"/>
              </w:rPr>
              <w:t>Interest expense</w:t>
            </w: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(1,487)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(2,174)</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(4,233)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(6,392)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ind w:left="720"/>
            </w:pPr>
            <w:r>
              <w:rPr>
                <w:color w:val="000000"/>
                <w:sz w:val="18"/>
              </w:rPr>
              <w:t xml:space="preserve">Interest and other income </w:t>
            </w: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80 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322 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293 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1,005 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ind w:left="360"/>
            </w:pPr>
            <w:r>
              <w:rPr>
                <w:color w:val="000000"/>
                <w:sz w:val="18"/>
              </w:rPr>
              <w:t>Total other expenses</w:t>
            </w:r>
          </w:p>
        </w:tc>
        <w:tc>
          <w:tcPr>
            <w:tcW w:w="1415" w:type="dxa"/>
            <w:gridSpan w:val="2"/>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(1,407)</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(1,852)</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(3,940)</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(5,387)</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28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18"/>
              </w:rPr>
              <w:t xml:space="preserve">Income before income tax expense </w:t>
            </w:r>
          </w:p>
        </w:tc>
        <w:tc>
          <w:tcPr>
            <w:tcW w:w="141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27,747 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44,243 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72,190 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17,959 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285"/>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ind w:left="360"/>
            </w:pPr>
            <w:r>
              <w:rPr>
                <w:color w:val="000000"/>
                <w:sz w:val="18"/>
              </w:rPr>
              <w:t xml:space="preserve">Income tax expense </w:t>
            </w:r>
          </w:p>
        </w:tc>
        <w:tc>
          <w:tcPr>
            <w:tcW w:w="14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5,141 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6,567 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12,739 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3,022 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18"/>
              </w:rPr>
              <w:t xml:space="preserve">Net income </w:t>
            </w: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22,606 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37,676 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59,451 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14,937 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465"/>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ind w:left="360"/>
            </w:pPr>
            <w:r>
              <w:rPr>
                <w:color w:val="000000"/>
                <w:sz w:val="18"/>
              </w:rPr>
              <w:t>Less: Net income attributable to non-controlling interests</w:t>
            </w:r>
          </w:p>
        </w:tc>
        <w:tc>
          <w:tcPr>
            <w:tcW w:w="1415" w:type="dxa"/>
            <w:gridSpan w:val="2"/>
            <w:tcBorders>
              <w:top w:val="doub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12,993 </w:t>
            </w:r>
          </w:p>
        </w:tc>
        <w:tc>
          <w:tcPr>
            <w:tcW w:w="100" w:type="dxa"/>
            <w:tcBorders>
              <w:top w:val="doub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doub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22,142 </w:t>
            </w:r>
          </w:p>
        </w:tc>
        <w:tc>
          <w:tcPr>
            <w:tcW w:w="100" w:type="dxa"/>
            <w:tcBorders>
              <w:top w:val="doub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doub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34,200 </w:t>
            </w:r>
          </w:p>
        </w:tc>
        <w:tc>
          <w:tcPr>
            <w:tcW w:w="100" w:type="dxa"/>
            <w:tcBorders>
              <w:top w:val="doub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doub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5,736 </w:t>
            </w:r>
          </w:p>
        </w:tc>
        <w:tc>
          <w:tcPr>
            <w:tcW w:w="100" w:type="dxa"/>
            <w:tcBorders>
              <w:top w:val="doub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46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18"/>
              </w:rPr>
              <w:t>Net income attributable to Spark Energy, Inc. stockholders</w:t>
            </w: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9,613 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15,534 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25,251 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9,201 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285"/>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ind w:left="360"/>
            </w:pPr>
            <w:r>
              <w:rPr>
                <w:color w:val="000000"/>
                <w:sz w:val="18"/>
              </w:rPr>
              <w:t>Less: Dividends on Series A Preferred Stock</w:t>
            </w:r>
          </w:p>
        </w:tc>
        <w:tc>
          <w:tcPr>
            <w:tcW w:w="1415" w:type="dxa"/>
            <w:gridSpan w:val="2"/>
            <w:tcBorders>
              <w:top w:val="doub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1,951 </w:t>
            </w:r>
          </w:p>
        </w:tc>
        <w:tc>
          <w:tcPr>
            <w:tcW w:w="100" w:type="dxa"/>
            <w:tcBorders>
              <w:top w:val="doub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doub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2,026 </w:t>
            </w:r>
          </w:p>
        </w:tc>
        <w:tc>
          <w:tcPr>
            <w:tcW w:w="100" w:type="dxa"/>
            <w:tcBorders>
              <w:top w:val="doub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doub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5,490 </w:t>
            </w:r>
          </w:p>
        </w:tc>
        <w:tc>
          <w:tcPr>
            <w:tcW w:w="100" w:type="dxa"/>
            <w:tcBorders>
              <w:top w:val="doub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doub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6,080 </w:t>
            </w:r>
          </w:p>
        </w:tc>
        <w:tc>
          <w:tcPr>
            <w:tcW w:w="100" w:type="dxa"/>
            <w:tcBorders>
              <w:top w:val="doub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46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18"/>
              </w:rPr>
              <w:t>Net income attributable to stockholders of Class A common stock</w:t>
            </w: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7,662 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13,508 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19,761 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3,121 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285"/>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pPr>
            <w:r>
              <w:rPr>
                <w:color w:val="000000"/>
                <w:sz w:val="18"/>
              </w:rPr>
              <w:t>Other comprehensive income, net of tax:</w:t>
            </w:r>
          </w:p>
        </w:tc>
        <w:tc>
          <w:tcPr>
            <w:tcW w:w="1515" w:type="dxa"/>
            <w:gridSpan w:val="3"/>
            <w:tcBorders>
              <w:top w:val="double" w:sz="8" w:space="0" w:color="000000"/>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double" w:sz="8" w:space="0" w:color="000000"/>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double" w:sz="8" w:space="0" w:color="000000"/>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double" w:sz="8" w:space="0" w:color="000000"/>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r>
      <w:tr w:rsidR="00B236FF">
        <w:trPr>
          <w:cantSplit/>
          <w:trHeight w:hRule="exact" w:val="28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18"/>
              </w:rPr>
              <w:t>Currency translation loss</w:t>
            </w:r>
          </w:p>
        </w:tc>
        <w:tc>
          <w:tcPr>
            <w:tcW w:w="160" w:type="dxa"/>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18"/>
              </w:rPr>
              <w:t>$</w:t>
            </w:r>
          </w:p>
        </w:tc>
        <w:tc>
          <w:tcPr>
            <w:tcW w:w="1255" w:type="dxa"/>
            <w:tcBorders>
              <w:top w:val="nil"/>
              <w:left w:val="nil"/>
              <w:bottom w:val="sing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18"/>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60" w:type="dxa"/>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18"/>
              </w:rPr>
              <w:t>$</w:t>
            </w:r>
          </w:p>
        </w:tc>
        <w:tc>
          <w:tcPr>
            <w:tcW w:w="1255" w:type="dxa"/>
            <w:tcBorders>
              <w:top w:val="nil"/>
              <w:left w:val="nil"/>
              <w:bottom w:val="sing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18"/>
              </w:rPr>
              <w:t>(45)</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60" w:type="dxa"/>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18"/>
              </w:rPr>
              <w:t>$</w:t>
            </w:r>
          </w:p>
        </w:tc>
        <w:tc>
          <w:tcPr>
            <w:tcW w:w="1255" w:type="dxa"/>
            <w:tcBorders>
              <w:top w:val="nil"/>
              <w:left w:val="nil"/>
              <w:bottom w:val="sing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18"/>
              </w:rPr>
              <w:t>—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60" w:type="dxa"/>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18"/>
              </w:rPr>
              <w:t>$</w:t>
            </w:r>
          </w:p>
        </w:tc>
        <w:tc>
          <w:tcPr>
            <w:tcW w:w="1255" w:type="dxa"/>
            <w:tcBorders>
              <w:top w:val="nil"/>
              <w:left w:val="nil"/>
              <w:bottom w:val="sing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18"/>
              </w:rPr>
              <w:t>(143)</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pPr>
            <w:r>
              <w:rPr>
                <w:color w:val="000000"/>
                <w:sz w:val="18"/>
              </w:rPr>
              <w:t>Other comprehensive loss</w:t>
            </w:r>
          </w:p>
        </w:tc>
        <w:tc>
          <w:tcPr>
            <w:tcW w:w="1415" w:type="dxa"/>
            <w:gridSpan w:val="2"/>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 </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(45)</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pPr>
          </w:p>
        </w:tc>
        <w:tc>
          <w:tcPr>
            <w:tcW w:w="1415" w:type="dxa"/>
            <w:gridSpan w:val="2"/>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 </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pPr>
          </w:p>
        </w:tc>
        <w:tc>
          <w:tcPr>
            <w:tcW w:w="1415" w:type="dxa"/>
            <w:gridSpan w:val="2"/>
            <w:tcBorders>
              <w:top w:val="sing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(143)</w:t>
            </w:r>
          </w:p>
        </w:tc>
        <w:tc>
          <w:tcPr>
            <w:tcW w:w="1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28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18"/>
              </w:rPr>
              <w:t>Comprehensive income</w:t>
            </w: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22,606 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37,631 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59,451 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14,794 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465"/>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ind w:left="360"/>
            </w:pPr>
            <w:r>
              <w:rPr>
                <w:color w:val="000000"/>
                <w:sz w:val="18"/>
              </w:rPr>
              <w:t>Less: Comprehensive income attributable to non-controlling interests</w:t>
            </w:r>
          </w:p>
        </w:tc>
        <w:tc>
          <w:tcPr>
            <w:tcW w:w="1415" w:type="dxa"/>
            <w:gridSpan w:val="2"/>
            <w:tcBorders>
              <w:top w:val="doub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12,993 </w:t>
            </w:r>
          </w:p>
        </w:tc>
        <w:tc>
          <w:tcPr>
            <w:tcW w:w="100" w:type="dxa"/>
            <w:tcBorders>
              <w:top w:val="doub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pPr>
          </w:p>
        </w:tc>
        <w:tc>
          <w:tcPr>
            <w:tcW w:w="1415" w:type="dxa"/>
            <w:gridSpan w:val="2"/>
            <w:tcBorders>
              <w:top w:val="doub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22,116 </w:t>
            </w:r>
          </w:p>
        </w:tc>
        <w:tc>
          <w:tcPr>
            <w:tcW w:w="100" w:type="dxa"/>
            <w:tcBorders>
              <w:top w:val="doub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pPr>
          </w:p>
        </w:tc>
        <w:tc>
          <w:tcPr>
            <w:tcW w:w="1415" w:type="dxa"/>
            <w:gridSpan w:val="2"/>
            <w:tcBorders>
              <w:top w:val="doub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34,200 </w:t>
            </w:r>
          </w:p>
        </w:tc>
        <w:tc>
          <w:tcPr>
            <w:tcW w:w="100" w:type="dxa"/>
            <w:tcBorders>
              <w:top w:val="doub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pPr>
          </w:p>
        </w:tc>
        <w:tc>
          <w:tcPr>
            <w:tcW w:w="1415" w:type="dxa"/>
            <w:gridSpan w:val="2"/>
            <w:tcBorders>
              <w:top w:val="double" w:sz="8" w:space="0" w:color="000000"/>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18"/>
              </w:rPr>
              <w:t>5,652 </w:t>
            </w:r>
          </w:p>
        </w:tc>
        <w:tc>
          <w:tcPr>
            <w:tcW w:w="100" w:type="dxa"/>
            <w:tcBorders>
              <w:top w:val="double" w:sz="8" w:space="0" w:color="000000"/>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49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18"/>
              </w:rPr>
              <w:t>Comprehensive income attributable to Spark Energy, Inc. stockholders</w:t>
            </w: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9,613 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15,515 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25,251 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60" w:type="dxa"/>
            <w:tcBorders>
              <w:top w:val="single" w:sz="8" w:space="0" w:color="000000"/>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18"/>
              </w:rPr>
              <w:t>$</w:t>
            </w:r>
          </w:p>
        </w:tc>
        <w:tc>
          <w:tcPr>
            <w:tcW w:w="12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18"/>
              </w:rPr>
              <w:t>9,142 </w:t>
            </w:r>
          </w:p>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75"/>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double" w:sz="8" w:space="0" w:color="000000"/>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double" w:sz="8" w:space="0" w:color="000000"/>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c>
          <w:tcPr>
            <w:tcW w:w="10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double" w:sz="8" w:space="0" w:color="000000"/>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double" w:sz="8" w:space="0" w:color="000000"/>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r>
      <w:tr w:rsidR="00B236FF">
        <w:trPr>
          <w:cantSplit/>
          <w:trHeight w:hRule="exact" w:val="49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18"/>
              </w:rPr>
              <w:t xml:space="preserve">Net income attributable to Spark Energy, Inc. per share of Class A common stock </w:t>
            </w: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r>
      <w:tr w:rsidR="00B236FF">
        <w:trPr>
          <w:cantSplit/>
          <w:trHeight w:hRule="exact" w:val="255"/>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pPr>
            <w:r>
              <w:rPr>
                <w:color w:val="000000"/>
                <w:sz w:val="18"/>
              </w:rPr>
              <w:t xml:space="preserve">       Basic</w:t>
            </w: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pPr>
            <w:r>
              <w:rPr>
                <w:color w:val="000000"/>
                <w:sz w:val="18"/>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75" w:after="30" w:line="200" w:lineRule="auto"/>
              <w:jc w:val="right"/>
            </w:pPr>
            <w:r>
              <w:rPr>
                <w:color w:val="000000"/>
                <w:sz w:val="18"/>
              </w:rPr>
              <w:t>0.52 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pPr>
            <w:r>
              <w:rPr>
                <w:color w:val="000000"/>
                <w:sz w:val="18"/>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75" w:after="30" w:line="200" w:lineRule="auto"/>
              <w:jc w:val="right"/>
            </w:pPr>
            <w:r>
              <w:rPr>
                <w:color w:val="000000"/>
                <w:sz w:val="18"/>
              </w:rPr>
              <w:t>0.94 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pPr>
            <w:r>
              <w:rPr>
                <w:color w:val="000000"/>
                <w:sz w:val="18"/>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75" w:after="30" w:line="200" w:lineRule="auto"/>
              <w:jc w:val="right"/>
            </w:pPr>
            <w:r>
              <w:rPr>
                <w:color w:val="000000"/>
                <w:sz w:val="18"/>
              </w:rPr>
              <w:t>1.36 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pPr>
            <w:r>
              <w:rPr>
                <w:color w:val="000000"/>
                <w:sz w:val="18"/>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75" w:after="30" w:line="200" w:lineRule="auto"/>
              <w:jc w:val="right"/>
            </w:pPr>
            <w:r>
              <w:rPr>
                <w:color w:val="000000"/>
                <w:sz w:val="18"/>
              </w:rPr>
              <w:t>0.22 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5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18"/>
              </w:rPr>
              <w:t xml:space="preserve">       Diluted</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18"/>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18"/>
              </w:rPr>
              <w:t>0.52 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18"/>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18"/>
              </w:rPr>
              <w:t>0.93 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18"/>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18"/>
              </w:rPr>
              <w:t>1.35 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18"/>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18"/>
              </w:rPr>
              <w:t>0.22 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120"/>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jc w:val="right"/>
            </w:pPr>
          </w:p>
        </w:tc>
      </w:tr>
      <w:tr w:rsidR="00B236FF">
        <w:trPr>
          <w:cantSplit/>
          <w:trHeight w:hRule="exact" w:val="420"/>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18"/>
              </w:rPr>
              <w:t>Weighted average shares of Class A common stock outstanding</w:t>
            </w:r>
          </w:p>
        </w:tc>
        <w:tc>
          <w:tcPr>
            <w:tcW w:w="1515" w:type="dxa"/>
            <w:gridSpan w:val="3"/>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jc w:val="right"/>
            </w:pPr>
          </w:p>
        </w:tc>
        <w:tc>
          <w:tcPr>
            <w:tcW w:w="10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jc w:val="right"/>
            </w:pPr>
          </w:p>
        </w:tc>
      </w:tr>
      <w:tr w:rsidR="00B236FF">
        <w:trPr>
          <w:cantSplit/>
          <w:trHeight w:hRule="exact" w:val="255"/>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pPr>
            <w:r>
              <w:rPr>
                <w:color w:val="000000"/>
                <w:sz w:val="18"/>
              </w:rPr>
              <w:t xml:space="preserve">       Basic</w:t>
            </w: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14,653 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14,380 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14,531 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14,254 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55"/>
          <w:jc w:val="center"/>
        </w:trPr>
        <w:tc>
          <w:tcPr>
            <w:tcW w:w="37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18"/>
              </w:rPr>
              <w:t xml:space="preserve">       Diluted</w:t>
            </w: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14,671 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14,514 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0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14,655 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18"/>
              </w:rPr>
              <w:t>14,429 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165"/>
          <w:jc w:val="center"/>
        </w:trPr>
        <w:tc>
          <w:tcPr>
            <w:tcW w:w="37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spacing w:before="75" w:after="30" w:line="200" w:lineRule="auto"/>
            </w:pPr>
          </w:p>
        </w:tc>
        <w:tc>
          <w:tcPr>
            <w:tcW w:w="1515" w:type="dxa"/>
            <w:gridSpan w:val="3"/>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spacing w:before="75" w:after="30" w:line="200" w:lineRule="auto"/>
              <w:jc w:val="right"/>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spacing w:before="75" w:after="30" w:line="200" w:lineRule="auto"/>
            </w:pPr>
          </w:p>
        </w:tc>
        <w:tc>
          <w:tcPr>
            <w:tcW w:w="1515" w:type="dxa"/>
            <w:gridSpan w:val="3"/>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spacing w:before="75" w:after="30" w:line="200" w:lineRule="auto"/>
              <w:jc w:val="right"/>
            </w:pPr>
          </w:p>
        </w:tc>
        <w:tc>
          <w:tcPr>
            <w:tcW w:w="10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spacing w:before="75" w:after="30" w:line="200" w:lineRule="auto"/>
            </w:pPr>
          </w:p>
        </w:tc>
        <w:tc>
          <w:tcPr>
            <w:tcW w:w="1515" w:type="dxa"/>
            <w:gridSpan w:val="3"/>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spacing w:before="75" w:after="30" w:line="200" w:lineRule="auto"/>
            </w:pPr>
          </w:p>
        </w:tc>
        <w:tc>
          <w:tcPr>
            <w:tcW w:w="7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spacing w:before="75" w:after="30" w:line="200" w:lineRule="auto"/>
            </w:pPr>
          </w:p>
        </w:tc>
        <w:tc>
          <w:tcPr>
            <w:tcW w:w="1515" w:type="dxa"/>
            <w:gridSpan w:val="3"/>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spacing w:before="75" w:after="30" w:line="200" w:lineRule="auto"/>
              <w:jc w:val="right"/>
            </w:pPr>
          </w:p>
        </w:tc>
      </w:tr>
    </w:tbl>
    <w:p w:rsidR="00A77B3E" w:rsidRDefault="00A77B3E">
      <w:pPr>
        <w:spacing w:before="100" w:after="100" w:line="248" w:lineRule="auto"/>
        <w:jc w:val="center"/>
        <w:rPr>
          <w:b/>
          <w:sz w:val="18"/>
        </w:rPr>
      </w:pP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6"/>
        <w:gridCol w:w="163"/>
        <w:gridCol w:w="1770"/>
        <w:gridCol w:w="102"/>
        <w:gridCol w:w="199"/>
        <w:gridCol w:w="163"/>
        <w:gridCol w:w="1770"/>
        <w:gridCol w:w="102"/>
      </w:tblGrid>
      <w:tr w:rsidR="00B236FF">
        <w:trPr>
          <w:cantSplit/>
          <w:trHeight w:hRule="exact" w:val="285"/>
          <w:jc w:val="center"/>
        </w:trPr>
        <w:tc>
          <w:tcPr>
            <w:tcW w:w="6045" w:type="dxa"/>
            <w:tcBorders>
              <w:top w:val="nil"/>
              <w:left w:val="nil"/>
              <w:bottom w:val="nil"/>
              <w:right w:val="nil"/>
            </w:tcBorders>
            <w:tcMar>
              <w:top w:w="0" w:type="dxa"/>
              <w:left w:w="53" w:type="dxa"/>
              <w:bottom w:w="0" w:type="dxa"/>
              <w:right w:w="53" w:type="dxa"/>
            </w:tcMar>
            <w:vAlign w:val="bottom"/>
          </w:tcPr>
          <w:p w:rsidR="00B236FF" w:rsidRDefault="002C74B2">
            <w:pPr>
              <w:keepNext/>
              <w:spacing w:before="75" w:after="30" w:line="200" w:lineRule="auto"/>
            </w:pPr>
            <w:r>
              <w:rPr>
                <w:b/>
                <w:color w:val="000000"/>
              </w:rPr>
              <w:lastRenderedPageBreak/>
              <w:t>Selected Balance Sheet Data</w:t>
            </w:r>
          </w:p>
        </w:tc>
        <w:tc>
          <w:tcPr>
            <w:tcW w:w="1995" w:type="dxa"/>
            <w:gridSpan w:val="3"/>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pPr>
          </w:p>
        </w:tc>
        <w:tc>
          <w:tcPr>
            <w:tcW w:w="195" w:type="dxa"/>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pPr>
          </w:p>
        </w:tc>
        <w:tc>
          <w:tcPr>
            <w:tcW w:w="1995" w:type="dxa"/>
            <w:gridSpan w:val="3"/>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pPr>
          </w:p>
        </w:tc>
      </w:tr>
      <w:tr w:rsidR="00B236FF">
        <w:trPr>
          <w:cantSplit/>
          <w:trHeight w:hRule="exact" w:val="285"/>
          <w:jc w:val="center"/>
        </w:trPr>
        <w:tc>
          <w:tcPr>
            <w:tcW w:w="6045" w:type="dxa"/>
            <w:tcBorders>
              <w:top w:val="nil"/>
              <w:left w:val="nil"/>
              <w:bottom w:val="nil"/>
              <w:right w:val="nil"/>
            </w:tcBorders>
            <w:tcMar>
              <w:top w:w="0" w:type="dxa"/>
              <w:left w:w="53" w:type="dxa"/>
              <w:bottom w:w="0" w:type="dxa"/>
              <w:right w:w="53" w:type="dxa"/>
            </w:tcMar>
            <w:vAlign w:val="bottom"/>
          </w:tcPr>
          <w:p w:rsidR="00B236FF" w:rsidRDefault="002C74B2">
            <w:pPr>
              <w:keepNext/>
              <w:spacing w:before="75" w:after="30" w:line="200" w:lineRule="auto"/>
            </w:pPr>
            <w:r>
              <w:rPr>
                <w:color w:val="000000"/>
                <w:sz w:val="20"/>
              </w:rPr>
              <w:t>(in thousands)</w:t>
            </w:r>
          </w:p>
        </w:tc>
        <w:tc>
          <w:tcPr>
            <w:tcW w:w="1995" w:type="dxa"/>
            <w:gridSpan w:val="3"/>
            <w:tcBorders>
              <w:top w:val="nil"/>
              <w:left w:val="nil"/>
              <w:bottom w:val="single" w:sz="8" w:space="0" w:color="000000"/>
              <w:right w:val="nil"/>
            </w:tcBorders>
            <w:tcMar>
              <w:top w:w="0" w:type="dxa"/>
              <w:left w:w="53" w:type="dxa"/>
              <w:bottom w:w="0" w:type="dxa"/>
              <w:right w:w="53" w:type="dxa"/>
            </w:tcMar>
            <w:vAlign w:val="bottom"/>
          </w:tcPr>
          <w:p w:rsidR="00B236FF" w:rsidRDefault="002C74B2">
            <w:pPr>
              <w:keepNext/>
              <w:spacing w:before="75" w:after="30" w:line="200" w:lineRule="auto"/>
              <w:jc w:val="center"/>
            </w:pPr>
            <w:r>
              <w:rPr>
                <w:b/>
                <w:color w:val="000000"/>
                <w:sz w:val="20"/>
              </w:rPr>
              <w:t>September 30, 2020</w:t>
            </w:r>
          </w:p>
        </w:tc>
        <w:tc>
          <w:tcPr>
            <w:tcW w:w="195" w:type="dxa"/>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jc w:val="center"/>
            </w:pPr>
          </w:p>
        </w:tc>
        <w:tc>
          <w:tcPr>
            <w:tcW w:w="1995" w:type="dxa"/>
            <w:gridSpan w:val="3"/>
            <w:tcBorders>
              <w:top w:val="nil"/>
              <w:left w:val="nil"/>
              <w:bottom w:val="single" w:sz="8" w:space="0" w:color="000000"/>
              <w:right w:val="nil"/>
            </w:tcBorders>
            <w:tcMar>
              <w:top w:w="0" w:type="dxa"/>
              <w:left w:w="53" w:type="dxa"/>
              <w:bottom w:w="0" w:type="dxa"/>
              <w:right w:w="53" w:type="dxa"/>
            </w:tcMar>
            <w:vAlign w:val="bottom"/>
          </w:tcPr>
          <w:p w:rsidR="00B236FF" w:rsidRDefault="002C74B2">
            <w:pPr>
              <w:keepNext/>
              <w:spacing w:before="75" w:after="30" w:line="200" w:lineRule="auto"/>
              <w:jc w:val="center"/>
            </w:pPr>
            <w:r>
              <w:rPr>
                <w:b/>
                <w:color w:val="000000"/>
                <w:sz w:val="20"/>
              </w:rPr>
              <w:t>December 31, 2019</w:t>
            </w:r>
          </w:p>
        </w:tc>
      </w:tr>
      <w:tr w:rsidR="00B236FF">
        <w:trPr>
          <w:cantSplit/>
          <w:trHeight w:hRule="exact" w:val="285"/>
          <w:jc w:val="center"/>
        </w:trPr>
        <w:tc>
          <w:tcPr>
            <w:tcW w:w="604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20"/>
              </w:rPr>
              <w:t>Cash and cash equivalents</w:t>
            </w: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73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75,347 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6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73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56,664 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285"/>
          <w:jc w:val="center"/>
        </w:trPr>
        <w:tc>
          <w:tcPr>
            <w:tcW w:w="6045" w:type="dxa"/>
            <w:tcBorders>
              <w:top w:val="nil"/>
              <w:left w:val="nil"/>
              <w:bottom w:val="nil"/>
              <w:right w:val="nil"/>
            </w:tcBorders>
            <w:tcMar>
              <w:top w:w="0" w:type="dxa"/>
              <w:left w:w="53" w:type="dxa"/>
              <w:bottom w:w="0" w:type="dxa"/>
              <w:right w:w="53" w:type="dxa"/>
            </w:tcMar>
            <w:vAlign w:val="bottom"/>
          </w:tcPr>
          <w:p w:rsidR="00B236FF" w:rsidRDefault="002C74B2">
            <w:pPr>
              <w:keepNext/>
              <w:spacing w:before="75" w:after="30" w:line="200" w:lineRule="auto"/>
            </w:pPr>
            <w:r>
              <w:rPr>
                <w:color w:val="000000"/>
                <w:sz w:val="20"/>
              </w:rPr>
              <w:t>Working capital</w:t>
            </w:r>
          </w:p>
        </w:tc>
        <w:tc>
          <w:tcPr>
            <w:tcW w:w="1895" w:type="dxa"/>
            <w:gridSpan w:val="2"/>
            <w:tcBorders>
              <w:top w:val="nil"/>
              <w:left w:val="nil"/>
              <w:bottom w:val="nil"/>
              <w:right w:val="nil"/>
            </w:tcBorders>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113,468 </w:t>
            </w:r>
          </w:p>
        </w:tc>
        <w:tc>
          <w:tcPr>
            <w:tcW w:w="100" w:type="dxa"/>
            <w:tcBorders>
              <w:top w:val="nil"/>
              <w:left w:val="nil"/>
              <w:bottom w:val="nil"/>
              <w:right w:val="nil"/>
            </w:tcBorders>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pPr>
          </w:p>
        </w:tc>
        <w:tc>
          <w:tcPr>
            <w:tcW w:w="1895" w:type="dxa"/>
            <w:gridSpan w:val="2"/>
            <w:tcBorders>
              <w:top w:val="nil"/>
              <w:left w:val="nil"/>
              <w:bottom w:val="nil"/>
              <w:right w:val="nil"/>
            </w:tcBorders>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94,173 </w:t>
            </w:r>
          </w:p>
        </w:tc>
        <w:tc>
          <w:tcPr>
            <w:tcW w:w="100" w:type="dxa"/>
            <w:tcBorders>
              <w:top w:val="nil"/>
              <w:left w:val="nil"/>
              <w:bottom w:val="nil"/>
              <w:right w:val="nil"/>
            </w:tcBorders>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604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20"/>
              </w:rPr>
              <w:t>Total assets</w:t>
            </w:r>
          </w:p>
        </w:tc>
        <w:tc>
          <w:tcPr>
            <w:tcW w:w="189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361,128 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89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422,968 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6045" w:type="dxa"/>
            <w:tcBorders>
              <w:top w:val="nil"/>
              <w:left w:val="nil"/>
              <w:bottom w:val="nil"/>
              <w:right w:val="nil"/>
            </w:tcBorders>
            <w:tcMar>
              <w:top w:w="0" w:type="dxa"/>
              <w:left w:w="53" w:type="dxa"/>
              <w:bottom w:w="0" w:type="dxa"/>
              <w:right w:w="53" w:type="dxa"/>
            </w:tcMar>
            <w:vAlign w:val="bottom"/>
          </w:tcPr>
          <w:p w:rsidR="00B236FF" w:rsidRDefault="002C74B2">
            <w:pPr>
              <w:keepNext/>
              <w:spacing w:before="75" w:after="30" w:line="200" w:lineRule="auto"/>
            </w:pPr>
            <w:r>
              <w:rPr>
                <w:color w:val="000000"/>
                <w:sz w:val="20"/>
              </w:rPr>
              <w:t>Total debt</w:t>
            </w:r>
          </w:p>
        </w:tc>
        <w:tc>
          <w:tcPr>
            <w:tcW w:w="1895" w:type="dxa"/>
            <w:gridSpan w:val="2"/>
            <w:tcBorders>
              <w:top w:val="nil"/>
              <w:left w:val="nil"/>
              <w:bottom w:val="nil"/>
              <w:right w:val="nil"/>
            </w:tcBorders>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100,000 </w:t>
            </w:r>
          </w:p>
        </w:tc>
        <w:tc>
          <w:tcPr>
            <w:tcW w:w="100" w:type="dxa"/>
            <w:tcBorders>
              <w:top w:val="nil"/>
              <w:left w:val="nil"/>
              <w:bottom w:val="nil"/>
              <w:right w:val="nil"/>
            </w:tcBorders>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pPr>
          </w:p>
        </w:tc>
        <w:tc>
          <w:tcPr>
            <w:tcW w:w="1895" w:type="dxa"/>
            <w:gridSpan w:val="2"/>
            <w:tcBorders>
              <w:top w:val="nil"/>
              <w:left w:val="nil"/>
              <w:bottom w:val="nil"/>
              <w:right w:val="nil"/>
            </w:tcBorders>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123,000 </w:t>
            </w:r>
          </w:p>
        </w:tc>
        <w:tc>
          <w:tcPr>
            <w:tcW w:w="100" w:type="dxa"/>
            <w:tcBorders>
              <w:top w:val="nil"/>
              <w:left w:val="nil"/>
              <w:bottom w:val="nil"/>
              <w:right w:val="nil"/>
            </w:tcBorders>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604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20"/>
              </w:rPr>
              <w:t>Total liabilities</w:t>
            </w:r>
          </w:p>
        </w:tc>
        <w:tc>
          <w:tcPr>
            <w:tcW w:w="189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183,799 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89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265,667 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6045" w:type="dxa"/>
            <w:tcBorders>
              <w:top w:val="nil"/>
              <w:left w:val="nil"/>
              <w:bottom w:val="nil"/>
              <w:right w:val="nil"/>
            </w:tcBorders>
            <w:tcMar>
              <w:top w:w="0" w:type="dxa"/>
              <w:left w:w="53" w:type="dxa"/>
              <w:bottom w:w="0" w:type="dxa"/>
              <w:right w:w="53" w:type="dxa"/>
            </w:tcMar>
            <w:vAlign w:val="bottom"/>
          </w:tcPr>
          <w:p w:rsidR="00B236FF" w:rsidRDefault="002C74B2">
            <w:pPr>
              <w:spacing w:before="75" w:after="30" w:line="200" w:lineRule="auto"/>
            </w:pPr>
            <w:r>
              <w:rPr>
                <w:color w:val="000000"/>
                <w:sz w:val="20"/>
              </w:rPr>
              <w:t xml:space="preserve">Total stockholders' equity </w:t>
            </w:r>
          </w:p>
        </w:tc>
        <w:tc>
          <w:tcPr>
            <w:tcW w:w="1895" w:type="dxa"/>
            <w:gridSpan w:val="2"/>
            <w:tcBorders>
              <w:top w:val="nil"/>
              <w:left w:val="nil"/>
              <w:bottom w:val="nil"/>
              <w:right w:val="nil"/>
            </w:tcBorders>
            <w:tcMar>
              <w:top w:w="0" w:type="dxa"/>
              <w:left w:w="53" w:type="dxa"/>
              <w:bottom w:w="0" w:type="dxa"/>
              <w:right w:w="0" w:type="dxa"/>
            </w:tcMar>
            <w:vAlign w:val="bottom"/>
          </w:tcPr>
          <w:p w:rsidR="00B236FF" w:rsidRDefault="002C74B2">
            <w:pPr>
              <w:spacing w:before="75" w:after="30" w:line="200" w:lineRule="auto"/>
              <w:jc w:val="right"/>
            </w:pPr>
            <w:r>
              <w:rPr>
                <w:color w:val="000000"/>
                <w:sz w:val="20"/>
              </w:rPr>
              <w:t>64,364 </w:t>
            </w:r>
          </w:p>
        </w:tc>
        <w:tc>
          <w:tcPr>
            <w:tcW w:w="100" w:type="dxa"/>
            <w:tcBorders>
              <w:top w:val="nil"/>
              <w:left w:val="nil"/>
              <w:bottom w:val="nil"/>
              <w:right w:val="nil"/>
            </w:tcBorders>
            <w:tcMar>
              <w:top w:w="0" w:type="dxa"/>
              <w:left w:w="0" w:type="dxa"/>
              <w:bottom w:w="0" w:type="dxa"/>
              <w:right w:w="15" w:type="dxa"/>
            </w:tcMar>
            <w:vAlign w:val="bottom"/>
          </w:tcPr>
          <w:p w:rsidR="00B236FF" w:rsidRDefault="00B236FF">
            <w:pPr>
              <w:spacing w:before="75" w:after="30" w:line="200" w:lineRule="auto"/>
            </w:pPr>
          </w:p>
        </w:tc>
        <w:tc>
          <w:tcPr>
            <w:tcW w:w="195" w:type="dxa"/>
            <w:tcBorders>
              <w:top w:val="nil"/>
              <w:left w:val="nil"/>
              <w:bottom w:val="nil"/>
              <w:right w:val="nil"/>
            </w:tcBorders>
            <w:tcMar>
              <w:top w:w="0" w:type="dxa"/>
              <w:left w:w="53" w:type="dxa"/>
              <w:bottom w:w="0" w:type="dxa"/>
              <w:right w:w="15" w:type="dxa"/>
            </w:tcMar>
            <w:vAlign w:val="bottom"/>
          </w:tcPr>
          <w:p w:rsidR="00B236FF" w:rsidRDefault="00B236FF">
            <w:pPr>
              <w:spacing w:before="75" w:after="30" w:line="200" w:lineRule="auto"/>
            </w:pPr>
          </w:p>
        </w:tc>
        <w:tc>
          <w:tcPr>
            <w:tcW w:w="1895" w:type="dxa"/>
            <w:gridSpan w:val="2"/>
            <w:tcBorders>
              <w:top w:val="nil"/>
              <w:left w:val="nil"/>
              <w:bottom w:val="nil"/>
              <w:right w:val="nil"/>
            </w:tcBorders>
            <w:tcMar>
              <w:top w:w="0" w:type="dxa"/>
              <w:left w:w="53" w:type="dxa"/>
              <w:bottom w:w="0" w:type="dxa"/>
              <w:right w:w="0" w:type="dxa"/>
            </w:tcMar>
            <w:vAlign w:val="bottom"/>
          </w:tcPr>
          <w:p w:rsidR="00B236FF" w:rsidRDefault="002C74B2">
            <w:pPr>
              <w:spacing w:before="75" w:after="30" w:line="200" w:lineRule="auto"/>
              <w:jc w:val="right"/>
            </w:pPr>
            <w:r>
              <w:rPr>
                <w:color w:val="000000"/>
                <w:sz w:val="20"/>
              </w:rPr>
              <w:t>51,219 </w:t>
            </w:r>
          </w:p>
        </w:tc>
        <w:tc>
          <w:tcPr>
            <w:tcW w:w="100" w:type="dxa"/>
            <w:tcBorders>
              <w:top w:val="nil"/>
              <w:left w:val="nil"/>
              <w:bottom w:val="nil"/>
              <w:right w:val="nil"/>
            </w:tcBorders>
            <w:tcMar>
              <w:top w:w="0" w:type="dxa"/>
              <w:left w:w="0" w:type="dxa"/>
              <w:bottom w:w="0" w:type="dxa"/>
              <w:right w:w="15" w:type="dxa"/>
            </w:tcMar>
            <w:vAlign w:val="bottom"/>
          </w:tcPr>
          <w:p w:rsidR="00B236FF" w:rsidRDefault="00B236FF">
            <w:pPr>
              <w:spacing w:before="75" w:after="30" w:line="200" w:lineRule="auto"/>
            </w:pPr>
          </w:p>
        </w:tc>
      </w:tr>
    </w:tbl>
    <w:p w:rsidR="00A77B3E" w:rsidRDefault="00A77B3E">
      <w:pPr>
        <w:spacing w:before="100" w:after="100" w:line="248" w:lineRule="auto"/>
        <w:jc w:val="center"/>
        <w:rPr>
          <w:sz w:val="20"/>
        </w:rPr>
      </w:pP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6"/>
        <w:gridCol w:w="163"/>
        <w:gridCol w:w="1770"/>
        <w:gridCol w:w="102"/>
        <w:gridCol w:w="199"/>
        <w:gridCol w:w="163"/>
        <w:gridCol w:w="1770"/>
        <w:gridCol w:w="102"/>
      </w:tblGrid>
      <w:tr w:rsidR="00B236FF">
        <w:trPr>
          <w:cantSplit/>
          <w:trHeight w:hRule="exact" w:val="285"/>
          <w:jc w:val="center"/>
        </w:trPr>
        <w:tc>
          <w:tcPr>
            <w:tcW w:w="6045" w:type="dxa"/>
            <w:tcBorders>
              <w:top w:val="nil"/>
              <w:left w:val="nil"/>
              <w:bottom w:val="nil"/>
              <w:right w:val="nil"/>
            </w:tcBorders>
            <w:tcMar>
              <w:top w:w="0" w:type="dxa"/>
              <w:left w:w="53" w:type="dxa"/>
              <w:bottom w:w="0" w:type="dxa"/>
              <w:right w:w="53" w:type="dxa"/>
            </w:tcMar>
            <w:vAlign w:val="bottom"/>
          </w:tcPr>
          <w:p w:rsidR="00B236FF" w:rsidRDefault="002C74B2">
            <w:pPr>
              <w:keepNext/>
              <w:spacing w:before="75" w:after="30" w:line="200" w:lineRule="auto"/>
            </w:pPr>
            <w:r>
              <w:rPr>
                <w:b/>
                <w:color w:val="000000"/>
              </w:rPr>
              <w:t>Selected Cash Flow Data</w:t>
            </w:r>
          </w:p>
        </w:tc>
        <w:tc>
          <w:tcPr>
            <w:tcW w:w="1995" w:type="dxa"/>
            <w:gridSpan w:val="3"/>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pPr>
          </w:p>
        </w:tc>
        <w:tc>
          <w:tcPr>
            <w:tcW w:w="195" w:type="dxa"/>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pPr>
          </w:p>
        </w:tc>
        <w:tc>
          <w:tcPr>
            <w:tcW w:w="1995" w:type="dxa"/>
            <w:gridSpan w:val="3"/>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pPr>
          </w:p>
        </w:tc>
      </w:tr>
      <w:tr w:rsidR="00B236FF">
        <w:trPr>
          <w:cantSplit/>
          <w:trHeight w:hRule="exact" w:val="285"/>
          <w:jc w:val="center"/>
        </w:trPr>
        <w:tc>
          <w:tcPr>
            <w:tcW w:w="6045" w:type="dxa"/>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pPr>
          </w:p>
        </w:tc>
        <w:tc>
          <w:tcPr>
            <w:tcW w:w="4185" w:type="dxa"/>
            <w:gridSpan w:val="7"/>
            <w:tcBorders>
              <w:top w:val="nil"/>
              <w:left w:val="nil"/>
              <w:bottom w:val="nil"/>
              <w:right w:val="nil"/>
            </w:tcBorders>
            <w:tcMar>
              <w:top w:w="0" w:type="dxa"/>
              <w:left w:w="53" w:type="dxa"/>
              <w:bottom w:w="0" w:type="dxa"/>
              <w:right w:w="53" w:type="dxa"/>
            </w:tcMar>
            <w:vAlign w:val="bottom"/>
          </w:tcPr>
          <w:p w:rsidR="00B236FF" w:rsidRDefault="002C74B2">
            <w:pPr>
              <w:keepNext/>
              <w:spacing w:before="75" w:after="30" w:line="200" w:lineRule="auto"/>
              <w:jc w:val="center"/>
            </w:pPr>
            <w:r>
              <w:rPr>
                <w:b/>
                <w:color w:val="000000"/>
                <w:sz w:val="20"/>
              </w:rPr>
              <w:t>Nine Months Ended September 30,</w:t>
            </w:r>
          </w:p>
        </w:tc>
      </w:tr>
      <w:tr w:rsidR="00B236FF">
        <w:trPr>
          <w:cantSplit/>
          <w:trHeight w:hRule="exact" w:val="285"/>
          <w:jc w:val="center"/>
        </w:trPr>
        <w:tc>
          <w:tcPr>
            <w:tcW w:w="604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20"/>
              </w:rPr>
              <w:t>(in thousands)</w:t>
            </w:r>
          </w:p>
        </w:tc>
        <w:tc>
          <w:tcPr>
            <w:tcW w:w="1995" w:type="dxa"/>
            <w:gridSpan w:val="3"/>
            <w:tcBorders>
              <w:top w:val="single" w:sz="8" w:space="0" w:color="000000"/>
              <w:left w:val="nil"/>
              <w:bottom w:val="single" w:sz="8" w:space="0" w:color="000000"/>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2020</w:t>
            </w: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jc w:val="center"/>
            </w:pPr>
          </w:p>
        </w:tc>
        <w:tc>
          <w:tcPr>
            <w:tcW w:w="1995" w:type="dxa"/>
            <w:gridSpan w:val="3"/>
            <w:tcBorders>
              <w:top w:val="single" w:sz="8" w:space="0" w:color="000000"/>
              <w:left w:val="nil"/>
              <w:bottom w:val="single" w:sz="8" w:space="0" w:color="000000"/>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2019</w:t>
            </w:r>
          </w:p>
        </w:tc>
      </w:tr>
      <w:tr w:rsidR="00B236FF">
        <w:trPr>
          <w:cantSplit/>
          <w:trHeight w:hRule="exact" w:val="285"/>
          <w:jc w:val="center"/>
        </w:trPr>
        <w:tc>
          <w:tcPr>
            <w:tcW w:w="6045" w:type="dxa"/>
            <w:tcBorders>
              <w:top w:val="nil"/>
              <w:left w:val="nil"/>
              <w:bottom w:val="nil"/>
              <w:right w:val="nil"/>
            </w:tcBorders>
            <w:tcMar>
              <w:top w:w="0" w:type="dxa"/>
              <w:left w:w="53" w:type="dxa"/>
              <w:bottom w:w="0" w:type="dxa"/>
              <w:right w:w="53" w:type="dxa"/>
            </w:tcMar>
            <w:vAlign w:val="bottom"/>
          </w:tcPr>
          <w:p w:rsidR="00B236FF" w:rsidRDefault="002C74B2">
            <w:pPr>
              <w:keepNext/>
              <w:spacing w:before="75" w:after="30" w:line="200" w:lineRule="auto"/>
            </w:pPr>
            <w:r>
              <w:rPr>
                <w:color w:val="000000"/>
                <w:sz w:val="20"/>
              </w:rPr>
              <w:t>Cash flows provided by operating activities</w:t>
            </w:r>
          </w:p>
        </w:tc>
        <w:tc>
          <w:tcPr>
            <w:tcW w:w="160" w:type="dxa"/>
            <w:tcBorders>
              <w:top w:val="single" w:sz="8" w:space="0" w:color="000000"/>
              <w:left w:val="nil"/>
              <w:bottom w:val="nil"/>
              <w:right w:val="nil"/>
            </w:tcBorders>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735" w:type="dxa"/>
            <w:tcBorders>
              <w:top w:val="single" w:sz="8" w:space="0" w:color="000000"/>
              <w:left w:val="nil"/>
              <w:bottom w:val="nil"/>
              <w:right w:val="nil"/>
            </w:tcBorders>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83,948 </w:t>
            </w:r>
          </w:p>
        </w:tc>
        <w:tc>
          <w:tcPr>
            <w:tcW w:w="100" w:type="dxa"/>
            <w:tcBorders>
              <w:top w:val="single" w:sz="8" w:space="0" w:color="000000"/>
              <w:left w:val="nil"/>
              <w:bottom w:val="nil"/>
              <w:right w:val="nil"/>
            </w:tcBorders>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pPr>
          </w:p>
        </w:tc>
        <w:tc>
          <w:tcPr>
            <w:tcW w:w="160" w:type="dxa"/>
            <w:tcBorders>
              <w:top w:val="single" w:sz="8" w:space="0" w:color="000000"/>
              <w:left w:val="nil"/>
              <w:bottom w:val="nil"/>
              <w:right w:val="nil"/>
            </w:tcBorders>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735" w:type="dxa"/>
            <w:tcBorders>
              <w:top w:val="single" w:sz="8" w:space="0" w:color="000000"/>
              <w:left w:val="nil"/>
              <w:bottom w:val="nil"/>
              <w:right w:val="nil"/>
            </w:tcBorders>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77,085 </w:t>
            </w:r>
          </w:p>
        </w:tc>
        <w:tc>
          <w:tcPr>
            <w:tcW w:w="100" w:type="dxa"/>
            <w:tcBorders>
              <w:top w:val="single" w:sz="8" w:space="0" w:color="000000"/>
              <w:left w:val="nil"/>
              <w:bottom w:val="nil"/>
              <w:right w:val="nil"/>
            </w:tcBorders>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285"/>
          <w:jc w:val="center"/>
        </w:trPr>
        <w:tc>
          <w:tcPr>
            <w:tcW w:w="604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20"/>
              </w:rPr>
              <w:t>Cash flows used in investing activities</w:t>
            </w:r>
          </w:p>
        </w:tc>
        <w:tc>
          <w:tcPr>
            <w:tcW w:w="189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(1,219)</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89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(6,490)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6045" w:type="dxa"/>
            <w:tcBorders>
              <w:top w:val="nil"/>
              <w:left w:val="nil"/>
              <w:bottom w:val="nil"/>
              <w:right w:val="nil"/>
            </w:tcBorders>
            <w:tcMar>
              <w:top w:w="0" w:type="dxa"/>
              <w:left w:w="53" w:type="dxa"/>
              <w:bottom w:w="0" w:type="dxa"/>
              <w:right w:w="53" w:type="dxa"/>
            </w:tcMar>
            <w:vAlign w:val="bottom"/>
          </w:tcPr>
          <w:p w:rsidR="00B236FF" w:rsidRDefault="002C74B2">
            <w:pPr>
              <w:spacing w:before="75" w:after="30" w:line="200" w:lineRule="auto"/>
            </w:pPr>
            <w:r>
              <w:rPr>
                <w:color w:val="000000"/>
                <w:sz w:val="20"/>
              </w:rPr>
              <w:t>Cash flows used in financing activities</w:t>
            </w:r>
          </w:p>
        </w:tc>
        <w:tc>
          <w:tcPr>
            <w:tcW w:w="1895" w:type="dxa"/>
            <w:gridSpan w:val="2"/>
            <w:tcBorders>
              <w:top w:val="nil"/>
              <w:left w:val="nil"/>
              <w:bottom w:val="nil"/>
              <w:right w:val="nil"/>
            </w:tcBorders>
            <w:tcMar>
              <w:top w:w="0" w:type="dxa"/>
              <w:left w:w="53" w:type="dxa"/>
              <w:bottom w:w="0" w:type="dxa"/>
              <w:right w:w="0" w:type="dxa"/>
            </w:tcMar>
            <w:vAlign w:val="bottom"/>
          </w:tcPr>
          <w:p w:rsidR="00B236FF" w:rsidRDefault="002C74B2">
            <w:pPr>
              <w:spacing w:before="75" w:after="30" w:line="200" w:lineRule="auto"/>
              <w:jc w:val="right"/>
            </w:pPr>
            <w:r>
              <w:rPr>
                <w:color w:val="000000"/>
                <w:sz w:val="20"/>
              </w:rPr>
              <w:t>(65,017)</w:t>
            </w:r>
          </w:p>
        </w:tc>
        <w:tc>
          <w:tcPr>
            <w:tcW w:w="100" w:type="dxa"/>
            <w:tcBorders>
              <w:top w:val="nil"/>
              <w:left w:val="nil"/>
              <w:bottom w:val="nil"/>
              <w:right w:val="nil"/>
            </w:tcBorders>
            <w:tcMar>
              <w:top w:w="0" w:type="dxa"/>
              <w:left w:w="0" w:type="dxa"/>
              <w:bottom w:w="0" w:type="dxa"/>
              <w:right w:w="15" w:type="dxa"/>
            </w:tcMar>
            <w:vAlign w:val="bottom"/>
          </w:tcPr>
          <w:p w:rsidR="00B236FF" w:rsidRDefault="00B236FF">
            <w:pPr>
              <w:spacing w:before="75" w:after="30" w:line="200" w:lineRule="auto"/>
            </w:pPr>
          </w:p>
        </w:tc>
        <w:tc>
          <w:tcPr>
            <w:tcW w:w="195" w:type="dxa"/>
            <w:tcBorders>
              <w:top w:val="nil"/>
              <w:left w:val="nil"/>
              <w:bottom w:val="nil"/>
              <w:right w:val="nil"/>
            </w:tcBorders>
            <w:tcMar>
              <w:top w:w="0" w:type="dxa"/>
              <w:left w:w="53" w:type="dxa"/>
              <w:bottom w:w="0" w:type="dxa"/>
              <w:right w:w="53" w:type="dxa"/>
            </w:tcMar>
            <w:vAlign w:val="bottom"/>
          </w:tcPr>
          <w:p w:rsidR="00B236FF" w:rsidRDefault="00B236FF">
            <w:pPr>
              <w:spacing w:before="75" w:after="30" w:line="200" w:lineRule="auto"/>
            </w:pPr>
          </w:p>
        </w:tc>
        <w:tc>
          <w:tcPr>
            <w:tcW w:w="1895" w:type="dxa"/>
            <w:gridSpan w:val="2"/>
            <w:tcBorders>
              <w:top w:val="nil"/>
              <w:left w:val="nil"/>
              <w:bottom w:val="nil"/>
              <w:right w:val="nil"/>
            </w:tcBorders>
            <w:tcMar>
              <w:top w:w="0" w:type="dxa"/>
              <w:left w:w="53" w:type="dxa"/>
              <w:bottom w:w="0" w:type="dxa"/>
              <w:right w:w="0" w:type="dxa"/>
            </w:tcMar>
            <w:vAlign w:val="bottom"/>
          </w:tcPr>
          <w:p w:rsidR="00B236FF" w:rsidRDefault="002C74B2">
            <w:pPr>
              <w:spacing w:before="75" w:after="30" w:line="200" w:lineRule="auto"/>
              <w:jc w:val="right"/>
            </w:pPr>
            <w:r>
              <w:rPr>
                <w:color w:val="000000"/>
                <w:sz w:val="20"/>
              </w:rPr>
              <w:t>(76,651)</w:t>
            </w:r>
          </w:p>
        </w:tc>
        <w:tc>
          <w:tcPr>
            <w:tcW w:w="100" w:type="dxa"/>
            <w:tcBorders>
              <w:top w:val="nil"/>
              <w:left w:val="nil"/>
              <w:bottom w:val="nil"/>
              <w:right w:val="nil"/>
            </w:tcBorders>
            <w:tcMar>
              <w:top w:w="0" w:type="dxa"/>
              <w:left w:w="0" w:type="dxa"/>
              <w:bottom w:w="0" w:type="dxa"/>
              <w:right w:w="15" w:type="dxa"/>
            </w:tcMar>
            <w:vAlign w:val="bottom"/>
          </w:tcPr>
          <w:p w:rsidR="00B236FF" w:rsidRDefault="00B236FF">
            <w:pPr>
              <w:spacing w:before="75" w:after="30" w:line="200" w:lineRule="auto"/>
            </w:pPr>
          </w:p>
        </w:tc>
      </w:tr>
    </w:tbl>
    <w:p w:rsidR="00A77B3E" w:rsidRDefault="00A77B3E">
      <w:pPr>
        <w:spacing w:before="100" w:after="100" w:line="248" w:lineRule="auto"/>
        <w:jc w:val="center"/>
        <w:rPr>
          <w:sz w:val="20"/>
        </w:rPr>
      </w:pP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6"/>
        <w:gridCol w:w="163"/>
        <w:gridCol w:w="1280"/>
        <w:gridCol w:w="102"/>
        <w:gridCol w:w="199"/>
        <w:gridCol w:w="163"/>
        <w:gridCol w:w="1280"/>
        <w:gridCol w:w="102"/>
        <w:gridCol w:w="291"/>
        <w:gridCol w:w="163"/>
        <w:gridCol w:w="1280"/>
        <w:gridCol w:w="102"/>
        <w:gridCol w:w="199"/>
        <w:gridCol w:w="163"/>
        <w:gridCol w:w="1280"/>
        <w:gridCol w:w="102"/>
      </w:tblGrid>
      <w:tr w:rsidR="00B236FF">
        <w:trPr>
          <w:cantSplit/>
          <w:trHeight w:hRule="exact" w:val="585"/>
          <w:jc w:val="center"/>
        </w:trPr>
        <w:tc>
          <w:tcPr>
            <w:tcW w:w="3525" w:type="dxa"/>
            <w:tcBorders>
              <w:top w:val="nil"/>
              <w:left w:val="nil"/>
              <w:bottom w:val="nil"/>
              <w:right w:val="nil"/>
            </w:tcBorders>
            <w:tcMar>
              <w:top w:w="0" w:type="dxa"/>
              <w:left w:w="53" w:type="dxa"/>
              <w:bottom w:w="0" w:type="dxa"/>
              <w:right w:w="53" w:type="dxa"/>
            </w:tcMar>
            <w:vAlign w:val="bottom"/>
          </w:tcPr>
          <w:p w:rsidR="00B236FF" w:rsidRDefault="002C74B2">
            <w:pPr>
              <w:keepNext/>
              <w:spacing w:before="75" w:after="30" w:line="200" w:lineRule="auto"/>
            </w:pPr>
            <w:r>
              <w:rPr>
                <w:b/>
                <w:color w:val="000000"/>
              </w:rPr>
              <w:t>Operating Segment Results</w:t>
            </w:r>
          </w:p>
        </w:tc>
        <w:tc>
          <w:tcPr>
            <w:tcW w:w="1515" w:type="dxa"/>
            <w:gridSpan w:val="3"/>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pPr>
          </w:p>
        </w:tc>
        <w:tc>
          <w:tcPr>
            <w:tcW w:w="195" w:type="dxa"/>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pPr>
          </w:p>
        </w:tc>
        <w:tc>
          <w:tcPr>
            <w:tcW w:w="285" w:type="dxa"/>
            <w:tcBorders>
              <w:top w:val="nil"/>
              <w:left w:val="nil"/>
              <w:bottom w:val="nil"/>
              <w:right w:val="nil"/>
            </w:tcBorders>
            <w:tcMar>
              <w:top w:w="0" w:type="dxa"/>
              <w:left w:w="0" w:type="dxa"/>
              <w:bottom w:w="0" w:type="dxa"/>
              <w:right w:w="0" w:type="dxa"/>
            </w:tcMar>
            <w:vAlign w:val="bottom"/>
          </w:tcPr>
          <w:p w:rsidR="00B236FF" w:rsidRDefault="00B236FF">
            <w:pPr>
              <w:keepNext/>
            </w:pPr>
          </w:p>
        </w:tc>
        <w:tc>
          <w:tcPr>
            <w:tcW w:w="1515" w:type="dxa"/>
            <w:gridSpan w:val="3"/>
            <w:tcBorders>
              <w:top w:val="nil"/>
              <w:left w:val="nil"/>
              <w:bottom w:val="nil"/>
              <w:right w:val="nil"/>
            </w:tcBorders>
            <w:tcMar>
              <w:top w:w="0" w:type="dxa"/>
              <w:left w:w="0" w:type="dxa"/>
              <w:bottom w:w="0" w:type="dxa"/>
              <w:right w:w="0" w:type="dxa"/>
            </w:tcMar>
            <w:vAlign w:val="bottom"/>
          </w:tcPr>
          <w:p w:rsidR="00B236FF" w:rsidRDefault="00B236FF">
            <w:pPr>
              <w:keepNext/>
            </w:pPr>
          </w:p>
        </w:tc>
        <w:tc>
          <w:tcPr>
            <w:tcW w:w="195" w:type="dxa"/>
            <w:tcBorders>
              <w:top w:val="nil"/>
              <w:left w:val="nil"/>
              <w:bottom w:val="nil"/>
              <w:right w:val="nil"/>
            </w:tcBorders>
            <w:tcMar>
              <w:top w:w="0" w:type="dxa"/>
              <w:left w:w="0" w:type="dxa"/>
              <w:bottom w:w="0" w:type="dxa"/>
              <w:right w:w="0" w:type="dxa"/>
            </w:tcMar>
            <w:vAlign w:val="bottom"/>
          </w:tcPr>
          <w:p w:rsidR="00B236FF" w:rsidRDefault="00B236FF">
            <w:pPr>
              <w:keepNext/>
            </w:pPr>
          </w:p>
        </w:tc>
        <w:tc>
          <w:tcPr>
            <w:tcW w:w="1515" w:type="dxa"/>
            <w:gridSpan w:val="3"/>
            <w:tcBorders>
              <w:top w:val="nil"/>
              <w:left w:val="nil"/>
              <w:bottom w:val="nil"/>
              <w:right w:val="nil"/>
            </w:tcBorders>
            <w:tcMar>
              <w:top w:w="0" w:type="dxa"/>
              <w:left w:w="0" w:type="dxa"/>
              <w:bottom w:w="0" w:type="dxa"/>
              <w:right w:w="0" w:type="dxa"/>
            </w:tcMar>
            <w:vAlign w:val="bottom"/>
          </w:tcPr>
          <w:p w:rsidR="00B236FF" w:rsidRDefault="00B236FF">
            <w:pPr>
              <w:keepNext/>
            </w:pPr>
          </w:p>
        </w:tc>
      </w:tr>
      <w:tr w:rsidR="00B236FF">
        <w:trPr>
          <w:cantSplit/>
          <w:trHeight w:hRule="exact" w:val="300"/>
          <w:jc w:val="center"/>
        </w:trPr>
        <w:tc>
          <w:tcPr>
            <w:tcW w:w="3525" w:type="dxa"/>
            <w:tcBorders>
              <w:top w:val="nil"/>
              <w:left w:val="nil"/>
              <w:bottom w:val="nil"/>
              <w:right w:val="nil"/>
            </w:tcBorders>
            <w:tcMar>
              <w:top w:w="0" w:type="dxa"/>
              <w:left w:w="53" w:type="dxa"/>
              <w:bottom w:w="0" w:type="dxa"/>
              <w:right w:w="53" w:type="dxa"/>
            </w:tcMar>
            <w:vAlign w:val="bottom"/>
          </w:tcPr>
          <w:p w:rsidR="00B236FF" w:rsidRDefault="002C74B2">
            <w:pPr>
              <w:keepNext/>
              <w:spacing w:before="75" w:after="30" w:line="200" w:lineRule="auto"/>
            </w:pPr>
            <w:r>
              <w:rPr>
                <w:color w:val="000000"/>
                <w:sz w:val="20"/>
              </w:rPr>
              <w:t> </w:t>
            </w:r>
          </w:p>
        </w:tc>
        <w:tc>
          <w:tcPr>
            <w:tcW w:w="3225" w:type="dxa"/>
            <w:gridSpan w:val="7"/>
            <w:tcBorders>
              <w:top w:val="nil"/>
              <w:left w:val="nil"/>
              <w:bottom w:val="single" w:sz="8" w:space="0" w:color="000000"/>
              <w:right w:val="nil"/>
            </w:tcBorders>
            <w:tcMar>
              <w:top w:w="0" w:type="dxa"/>
              <w:left w:w="53" w:type="dxa"/>
              <w:bottom w:w="0" w:type="dxa"/>
              <w:right w:w="53" w:type="dxa"/>
            </w:tcMar>
            <w:vAlign w:val="bottom"/>
          </w:tcPr>
          <w:p w:rsidR="00B236FF" w:rsidRDefault="002C74B2">
            <w:pPr>
              <w:keepNext/>
              <w:spacing w:before="75" w:after="30" w:line="200" w:lineRule="auto"/>
              <w:jc w:val="center"/>
            </w:pPr>
            <w:r>
              <w:rPr>
                <w:b/>
                <w:color w:val="000000"/>
                <w:sz w:val="20"/>
              </w:rPr>
              <w:t>Three Months Ended September 30,</w:t>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c>
          <w:tcPr>
            <w:tcW w:w="3225" w:type="dxa"/>
            <w:gridSpan w:val="7"/>
            <w:tcBorders>
              <w:top w:val="nil"/>
              <w:left w:val="nil"/>
              <w:bottom w:val="single" w:sz="8" w:space="0" w:color="000000"/>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jc w:val="center"/>
            </w:pPr>
            <w:r>
              <w:rPr>
                <w:b/>
                <w:color w:val="000000"/>
                <w:sz w:val="20"/>
              </w:rPr>
              <w:t>Nine Months Ended September 30,</w:t>
            </w:r>
          </w:p>
        </w:tc>
      </w:tr>
      <w:tr w:rsidR="00B236FF">
        <w:trPr>
          <w:cantSplit/>
          <w:trHeight w:hRule="exact" w:val="465"/>
          <w:jc w:val="center"/>
        </w:trPr>
        <w:tc>
          <w:tcPr>
            <w:tcW w:w="352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20"/>
              </w:rPr>
              <w:t>(in thousands, except volume and per unit operating data)</w:t>
            </w:r>
          </w:p>
        </w:tc>
        <w:tc>
          <w:tcPr>
            <w:tcW w:w="1515" w:type="dxa"/>
            <w:gridSpan w:val="3"/>
            <w:tcBorders>
              <w:top w:val="nil"/>
              <w:left w:val="nil"/>
              <w:bottom w:val="single" w:sz="8" w:space="0" w:color="000000"/>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2020</w:t>
            </w:r>
          </w:p>
        </w:tc>
        <w:tc>
          <w:tcPr>
            <w:tcW w:w="19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jc w:val="center"/>
            </w:pPr>
          </w:p>
        </w:tc>
        <w:tc>
          <w:tcPr>
            <w:tcW w:w="1515" w:type="dxa"/>
            <w:gridSpan w:val="3"/>
            <w:tcBorders>
              <w:top w:val="single" w:sz="8" w:space="0" w:color="000000"/>
              <w:left w:val="nil"/>
              <w:bottom w:val="single" w:sz="8" w:space="0" w:color="000000"/>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2019</w:t>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rsidR="00B236FF" w:rsidRDefault="00B236FF">
            <w:pPr>
              <w:keepNext/>
            </w:pPr>
          </w:p>
        </w:tc>
        <w:tc>
          <w:tcPr>
            <w:tcW w:w="1515" w:type="dxa"/>
            <w:gridSpan w:val="3"/>
            <w:tcBorders>
              <w:top w:val="nil"/>
              <w:left w:val="nil"/>
              <w:bottom w:val="single" w:sz="8" w:space="0" w:color="000000"/>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2020</w:t>
            </w:r>
          </w:p>
        </w:tc>
        <w:tc>
          <w:tcPr>
            <w:tcW w:w="19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jc w:val="center"/>
            </w:pPr>
          </w:p>
        </w:tc>
        <w:tc>
          <w:tcPr>
            <w:tcW w:w="1515" w:type="dxa"/>
            <w:gridSpan w:val="3"/>
            <w:tcBorders>
              <w:top w:val="single" w:sz="8" w:space="0" w:color="000000"/>
              <w:left w:val="nil"/>
              <w:bottom w:val="single" w:sz="8" w:space="0" w:color="000000"/>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2019</w:t>
            </w:r>
          </w:p>
        </w:tc>
      </w:tr>
      <w:tr w:rsidR="00B236FF">
        <w:trPr>
          <w:cantSplit/>
          <w:trHeight w:hRule="exact" w:val="300"/>
          <w:jc w:val="center"/>
        </w:trPr>
        <w:tc>
          <w:tcPr>
            <w:tcW w:w="3525" w:type="dxa"/>
            <w:tcBorders>
              <w:top w:val="nil"/>
              <w:left w:val="nil"/>
              <w:bottom w:val="nil"/>
              <w:right w:val="nil"/>
            </w:tcBorders>
            <w:shd w:val="clear" w:color="auto" w:fill="FFFFFF"/>
            <w:tcMar>
              <w:top w:w="0" w:type="dxa"/>
              <w:left w:w="53" w:type="dxa"/>
              <w:bottom w:w="0" w:type="dxa"/>
              <w:right w:w="53" w:type="dxa"/>
            </w:tcMar>
          </w:tcPr>
          <w:p w:rsidR="00B236FF" w:rsidRDefault="002C74B2">
            <w:pPr>
              <w:keepNext/>
              <w:spacing w:before="75" w:after="30" w:line="200" w:lineRule="auto"/>
            </w:pPr>
            <w:r>
              <w:rPr>
                <w:color w:val="000000"/>
                <w:sz w:val="20"/>
              </w:rPr>
              <w:t>Retail Electricity Segment</w:t>
            </w:r>
          </w:p>
        </w:tc>
        <w:tc>
          <w:tcPr>
            <w:tcW w:w="1515" w:type="dxa"/>
            <w:gridSpan w:val="3"/>
            <w:tcBorders>
              <w:top w:val="single" w:sz="8" w:space="0" w:color="000000"/>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single" w:sz="8" w:space="0" w:color="000000"/>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c>
          <w:tcPr>
            <w:tcW w:w="285" w:type="dxa"/>
            <w:tcBorders>
              <w:top w:val="nil"/>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c>
          <w:tcPr>
            <w:tcW w:w="1515" w:type="dxa"/>
            <w:gridSpan w:val="3"/>
            <w:tcBorders>
              <w:top w:val="single" w:sz="8" w:space="0" w:color="000000"/>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c>
          <w:tcPr>
            <w:tcW w:w="1515" w:type="dxa"/>
            <w:gridSpan w:val="3"/>
            <w:tcBorders>
              <w:top w:val="single" w:sz="8" w:space="0" w:color="000000"/>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r>
      <w:tr w:rsidR="00B236FF">
        <w:trPr>
          <w:cantSplit/>
          <w:trHeight w:hRule="exact" w:val="300"/>
          <w:jc w:val="center"/>
        </w:trPr>
        <w:tc>
          <w:tcPr>
            <w:tcW w:w="3525" w:type="dxa"/>
            <w:tcBorders>
              <w:top w:val="nil"/>
              <w:left w:val="nil"/>
              <w:bottom w:val="nil"/>
              <w:right w:val="nil"/>
            </w:tcBorders>
            <w:shd w:val="clear" w:color="auto" w:fill="CCEEFF"/>
            <w:tcMar>
              <w:top w:w="0" w:type="dxa"/>
              <w:left w:w="53" w:type="dxa"/>
              <w:bottom w:w="0" w:type="dxa"/>
              <w:right w:w="53" w:type="dxa"/>
            </w:tcMar>
          </w:tcPr>
          <w:p w:rsidR="00B236FF" w:rsidRDefault="002C74B2">
            <w:pPr>
              <w:keepNext/>
              <w:spacing w:before="75" w:after="30" w:line="200" w:lineRule="auto"/>
            </w:pPr>
            <w:r>
              <w:rPr>
                <w:color w:val="000000"/>
                <w:sz w:val="20"/>
              </w:rPr>
              <w:t>Total Revenues</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132,958 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197,010 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CCEEFF"/>
            <w:tcMar>
              <w:top w:w="0" w:type="dxa"/>
              <w:left w:w="0" w:type="dxa"/>
              <w:bottom w:w="0" w:type="dxa"/>
              <w:right w:w="0" w:type="dxa"/>
            </w:tcMar>
            <w:vAlign w:val="bottom"/>
          </w:tcPr>
          <w:p w:rsidR="00B236FF" w:rsidRDefault="00B236FF">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366,981 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539,878 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00"/>
          <w:jc w:val="center"/>
        </w:trPr>
        <w:tc>
          <w:tcPr>
            <w:tcW w:w="3525" w:type="dxa"/>
            <w:tcBorders>
              <w:top w:val="nil"/>
              <w:left w:val="nil"/>
              <w:bottom w:val="nil"/>
              <w:right w:val="nil"/>
            </w:tcBorders>
            <w:shd w:val="clear" w:color="auto" w:fill="FFFFFF"/>
            <w:tcMar>
              <w:top w:w="0" w:type="dxa"/>
              <w:left w:w="53" w:type="dxa"/>
              <w:bottom w:w="0" w:type="dxa"/>
              <w:right w:w="53" w:type="dxa"/>
            </w:tcMar>
          </w:tcPr>
          <w:p w:rsidR="00B236FF" w:rsidRDefault="002C74B2">
            <w:pPr>
              <w:keepNext/>
              <w:spacing w:before="75" w:after="30" w:line="200" w:lineRule="auto"/>
            </w:pPr>
            <w:r>
              <w:rPr>
                <w:color w:val="000000"/>
                <w:sz w:val="20"/>
              </w:rPr>
              <w:t>Retail Cost of Revenues</w:t>
            </w: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82,061 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119,100 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241,712 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433,175 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495"/>
          <w:jc w:val="center"/>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Less: Net gain (loss) on non-trading derivatives, net of cash settlements</w:t>
            </w: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8,135 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B236FF">
            <w:pPr>
              <w:keepNext/>
              <w:spacing w:line="200" w:lineRule="auto"/>
              <w:jc w:val="right"/>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24,767 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c>
          <w:tcPr>
            <w:tcW w:w="285" w:type="dxa"/>
            <w:tcBorders>
              <w:top w:val="nil"/>
              <w:left w:val="nil"/>
              <w:bottom w:val="nil"/>
              <w:right w:val="nil"/>
            </w:tcBorders>
            <w:shd w:val="clear" w:color="auto" w:fill="CCEEFF"/>
            <w:tcMar>
              <w:top w:w="0" w:type="dxa"/>
              <w:left w:w="0" w:type="dxa"/>
              <w:bottom w:w="0" w:type="dxa"/>
              <w:right w:w="0" w:type="dxa"/>
            </w:tcMar>
            <w:vAlign w:val="bottom"/>
          </w:tcPr>
          <w:p w:rsidR="00B236FF" w:rsidRDefault="00B236FF">
            <w:pPr>
              <w:keepNext/>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16,128 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B236FF">
            <w:pPr>
              <w:keepNext/>
              <w:spacing w:line="200" w:lineRule="auto"/>
              <w:jc w:val="right"/>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(10,027)</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r>
      <w:tr w:rsidR="00B236FF">
        <w:trPr>
          <w:cantSplit/>
          <w:trHeight w:hRule="exact" w:val="300"/>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9" w:lineRule="auto"/>
              <w:rPr>
                <w:sz w:val="20"/>
              </w:rPr>
            </w:pPr>
            <w:r>
              <w:rPr>
                <w:sz w:val="20"/>
              </w:rPr>
              <w:t>Retail Gross Margin</w:t>
            </w:r>
            <w:r>
              <w:rPr>
                <w:sz w:val="20"/>
                <w:vertAlign w:val="superscript"/>
              </w:rPr>
              <w:t xml:space="preserve"> (1)</w:t>
            </w:r>
            <w:r>
              <w:rPr>
                <w:sz w:val="20"/>
              </w:rPr>
              <w:t xml:space="preserve"> </w:t>
            </w:r>
            <w:r>
              <w:rPr>
                <w:sz w:val="20"/>
                <w:vertAlign w:val="superscript"/>
              </w:rPr>
              <w:t xml:space="preserve"> </w:t>
            </w:r>
            <w:r>
              <w:rPr>
                <w:sz w:val="20"/>
              </w:rPr>
              <w:t>— Electricity</w:t>
            </w: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center"/>
          </w:tcPr>
          <w:p w:rsidR="00B236FF" w:rsidRDefault="002C74B2">
            <w:pPr>
              <w:keepNext/>
              <w:spacing w:line="200" w:lineRule="auto"/>
            </w:pPr>
            <w:r>
              <w:rPr>
                <w:color w:val="000000"/>
                <w:sz w:val="20"/>
              </w:rPr>
              <w:t>$</w:t>
            </w:r>
          </w:p>
        </w:tc>
        <w:tc>
          <w:tcPr>
            <w:tcW w:w="125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center"/>
          </w:tcPr>
          <w:p w:rsidR="00B236FF" w:rsidRDefault="002C74B2">
            <w:pPr>
              <w:keepNext/>
              <w:spacing w:line="200" w:lineRule="auto"/>
              <w:jc w:val="right"/>
            </w:pPr>
            <w:r>
              <w:rPr>
                <w:color w:val="000000"/>
                <w:sz w:val="20"/>
              </w:rPr>
              <w:t>42,762 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B236FF">
            <w:pPr>
              <w:keepNext/>
              <w:spacing w:line="200" w:lineRule="auto"/>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center"/>
          </w:tcPr>
          <w:p w:rsidR="00B236FF" w:rsidRDefault="002C74B2">
            <w:pPr>
              <w:keepNext/>
              <w:spacing w:line="200" w:lineRule="auto"/>
            </w:pPr>
            <w:r>
              <w:rPr>
                <w:color w:val="000000"/>
                <w:sz w:val="20"/>
              </w:rPr>
              <w:t>$</w:t>
            </w:r>
          </w:p>
        </w:tc>
        <w:tc>
          <w:tcPr>
            <w:tcW w:w="125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center"/>
          </w:tcPr>
          <w:p w:rsidR="00B236FF" w:rsidRDefault="002C74B2">
            <w:pPr>
              <w:keepNext/>
              <w:spacing w:line="200" w:lineRule="auto"/>
              <w:jc w:val="right"/>
            </w:pPr>
            <w:r>
              <w:rPr>
                <w:color w:val="000000"/>
                <w:sz w:val="20"/>
              </w:rPr>
              <w:t>53,143 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285" w:type="dxa"/>
            <w:tcBorders>
              <w:top w:val="nil"/>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center"/>
          </w:tcPr>
          <w:p w:rsidR="00B236FF" w:rsidRDefault="002C74B2">
            <w:pPr>
              <w:keepNext/>
              <w:spacing w:line="200" w:lineRule="auto"/>
            </w:pPr>
            <w:r>
              <w:rPr>
                <w:color w:val="000000"/>
                <w:sz w:val="20"/>
              </w:rPr>
              <w:t>$</w:t>
            </w:r>
          </w:p>
        </w:tc>
        <w:tc>
          <w:tcPr>
            <w:tcW w:w="125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center"/>
          </w:tcPr>
          <w:p w:rsidR="00B236FF" w:rsidRDefault="002C74B2">
            <w:pPr>
              <w:keepNext/>
              <w:spacing w:line="200" w:lineRule="auto"/>
              <w:jc w:val="right"/>
            </w:pPr>
            <w:r>
              <w:rPr>
                <w:color w:val="000000"/>
                <w:sz w:val="20"/>
              </w:rPr>
              <w:t>109,141 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B236FF">
            <w:pPr>
              <w:keepNext/>
              <w:spacing w:line="200" w:lineRule="auto"/>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center"/>
          </w:tcPr>
          <w:p w:rsidR="00B236FF" w:rsidRDefault="002C74B2">
            <w:pPr>
              <w:keepNext/>
              <w:spacing w:line="200" w:lineRule="auto"/>
            </w:pPr>
            <w:r>
              <w:rPr>
                <w:color w:val="000000"/>
                <w:sz w:val="20"/>
              </w:rPr>
              <w:t>$</w:t>
            </w:r>
          </w:p>
        </w:tc>
        <w:tc>
          <w:tcPr>
            <w:tcW w:w="125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center"/>
          </w:tcPr>
          <w:p w:rsidR="00B236FF" w:rsidRDefault="002C74B2">
            <w:pPr>
              <w:keepNext/>
              <w:spacing w:line="200" w:lineRule="auto"/>
              <w:jc w:val="right"/>
            </w:pPr>
            <w:r>
              <w:rPr>
                <w:color w:val="000000"/>
                <w:sz w:val="20"/>
              </w:rPr>
              <w:t>116,730 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r>
      <w:tr w:rsidR="00B236FF">
        <w:trPr>
          <w:cantSplit/>
          <w:trHeight w:hRule="exact" w:val="300"/>
          <w:jc w:val="center"/>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Volumes — Electricity (MWhs)</w:t>
            </w:r>
          </w:p>
        </w:tc>
        <w:tc>
          <w:tcPr>
            <w:tcW w:w="1415" w:type="dxa"/>
            <w:gridSpan w:val="2"/>
            <w:tcBorders>
              <w:top w:val="double" w:sz="8" w:space="0" w:color="000000"/>
              <w:left w:val="nil"/>
              <w:bottom w:val="nil"/>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1,165,500 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B236FF">
            <w:pPr>
              <w:keepNext/>
              <w:spacing w:line="200" w:lineRule="auto"/>
              <w:jc w:val="right"/>
            </w:pPr>
          </w:p>
        </w:tc>
        <w:tc>
          <w:tcPr>
            <w:tcW w:w="1415" w:type="dxa"/>
            <w:gridSpan w:val="2"/>
            <w:tcBorders>
              <w:top w:val="double" w:sz="8" w:space="0" w:color="000000"/>
              <w:left w:val="nil"/>
              <w:bottom w:val="nil"/>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1,808,276 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c>
          <w:tcPr>
            <w:tcW w:w="285" w:type="dxa"/>
            <w:tcBorders>
              <w:top w:val="nil"/>
              <w:left w:val="nil"/>
              <w:bottom w:val="nil"/>
              <w:right w:val="nil"/>
            </w:tcBorders>
            <w:shd w:val="clear" w:color="auto" w:fill="CCEEFF"/>
            <w:tcMar>
              <w:top w:w="0" w:type="dxa"/>
              <w:left w:w="0" w:type="dxa"/>
              <w:bottom w:w="0" w:type="dxa"/>
              <w:right w:w="0" w:type="dxa"/>
            </w:tcMar>
            <w:vAlign w:val="bottom"/>
          </w:tcPr>
          <w:p w:rsidR="00B236FF" w:rsidRDefault="00B236FF">
            <w:pPr>
              <w:keepNext/>
            </w:pPr>
          </w:p>
        </w:tc>
        <w:tc>
          <w:tcPr>
            <w:tcW w:w="1415" w:type="dxa"/>
            <w:gridSpan w:val="2"/>
            <w:tcBorders>
              <w:top w:val="double" w:sz="8" w:space="0" w:color="000000"/>
              <w:left w:val="nil"/>
              <w:bottom w:val="nil"/>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3,235,222 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B236FF">
            <w:pPr>
              <w:keepNext/>
              <w:spacing w:line="200" w:lineRule="auto"/>
              <w:jc w:val="right"/>
            </w:pPr>
          </w:p>
        </w:tc>
        <w:tc>
          <w:tcPr>
            <w:tcW w:w="1415" w:type="dxa"/>
            <w:gridSpan w:val="2"/>
            <w:tcBorders>
              <w:top w:val="double" w:sz="8" w:space="0" w:color="000000"/>
              <w:left w:val="nil"/>
              <w:bottom w:val="nil"/>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5,052,498 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r>
      <w:tr w:rsidR="00B236FF">
        <w:trPr>
          <w:cantSplit/>
          <w:trHeight w:hRule="exact" w:val="495"/>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9" w:lineRule="auto"/>
              <w:rPr>
                <w:sz w:val="20"/>
              </w:rPr>
            </w:pPr>
            <w:r>
              <w:rPr>
                <w:sz w:val="20"/>
              </w:rPr>
              <w:t xml:space="preserve">Retail Gross Margin </w:t>
            </w:r>
            <w:r>
              <w:rPr>
                <w:sz w:val="20"/>
                <w:vertAlign w:val="superscript"/>
              </w:rPr>
              <w:t xml:space="preserve">(2) </w:t>
            </w:r>
            <w:r>
              <w:rPr>
                <w:sz w:val="20"/>
              </w:rPr>
              <w:t>— Electricity per MWh</w:t>
            </w:r>
          </w:p>
        </w:tc>
        <w:tc>
          <w:tcPr>
            <w:tcW w:w="160" w:type="dxa"/>
            <w:tcBorders>
              <w:top w:val="nil"/>
              <w:left w:val="nil"/>
              <w:bottom w:val="single" w:sz="8" w:space="0" w:color="3E413D"/>
              <w:right w:val="nil"/>
            </w:tcBorders>
            <w:shd w:val="clear" w:color="auto" w:fill="FFFFFF"/>
            <w:tcMar>
              <w:top w:w="0" w:type="dxa"/>
              <w:left w:w="53" w:type="dxa"/>
              <w:bottom w:w="0" w:type="dxa"/>
              <w:right w:w="0" w:type="dxa"/>
            </w:tcMar>
            <w:vAlign w:val="center"/>
          </w:tcPr>
          <w:p w:rsidR="00B236FF" w:rsidRDefault="002C74B2">
            <w:pPr>
              <w:keepNext/>
              <w:spacing w:line="200" w:lineRule="auto"/>
            </w:pPr>
            <w:r>
              <w:rPr>
                <w:color w:val="000000"/>
                <w:sz w:val="20"/>
              </w:rPr>
              <w:t>$</w:t>
            </w:r>
          </w:p>
        </w:tc>
        <w:tc>
          <w:tcPr>
            <w:tcW w:w="1255" w:type="dxa"/>
            <w:tcBorders>
              <w:top w:val="nil"/>
              <w:left w:val="nil"/>
              <w:bottom w:val="single" w:sz="8" w:space="0" w:color="3E413D"/>
              <w:right w:val="nil"/>
            </w:tcBorders>
            <w:shd w:val="clear" w:color="auto" w:fill="FFFFFF"/>
            <w:tcMar>
              <w:top w:w="0" w:type="dxa"/>
              <w:left w:w="0" w:type="dxa"/>
              <w:bottom w:w="0" w:type="dxa"/>
              <w:right w:w="0" w:type="dxa"/>
            </w:tcMar>
            <w:vAlign w:val="center"/>
          </w:tcPr>
          <w:p w:rsidR="00B236FF" w:rsidRDefault="002C74B2">
            <w:pPr>
              <w:keepNext/>
              <w:spacing w:line="200" w:lineRule="auto"/>
              <w:jc w:val="right"/>
            </w:pPr>
            <w:r>
              <w:rPr>
                <w:color w:val="000000"/>
                <w:sz w:val="20"/>
              </w:rPr>
              <w:t>36.69 </w:t>
            </w:r>
          </w:p>
        </w:tc>
        <w:tc>
          <w:tcPr>
            <w:tcW w:w="100" w:type="dxa"/>
            <w:tcBorders>
              <w:top w:val="nil"/>
              <w:left w:val="nil"/>
              <w:bottom w:val="single" w:sz="8" w:space="0" w:color="3E413D"/>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B236FF">
            <w:pPr>
              <w:keepNext/>
              <w:spacing w:line="200" w:lineRule="auto"/>
              <w:jc w:val="right"/>
            </w:pPr>
          </w:p>
        </w:tc>
        <w:tc>
          <w:tcPr>
            <w:tcW w:w="160" w:type="dxa"/>
            <w:tcBorders>
              <w:top w:val="nil"/>
              <w:left w:val="nil"/>
              <w:bottom w:val="single" w:sz="8" w:space="0" w:color="3E413D"/>
              <w:right w:val="nil"/>
            </w:tcBorders>
            <w:shd w:val="clear" w:color="auto" w:fill="FFFFFF"/>
            <w:tcMar>
              <w:top w:w="0" w:type="dxa"/>
              <w:left w:w="53" w:type="dxa"/>
              <w:bottom w:w="0" w:type="dxa"/>
              <w:right w:w="0" w:type="dxa"/>
            </w:tcMar>
            <w:vAlign w:val="center"/>
          </w:tcPr>
          <w:p w:rsidR="00B236FF" w:rsidRDefault="002C74B2">
            <w:pPr>
              <w:keepNext/>
              <w:spacing w:line="200" w:lineRule="auto"/>
            </w:pPr>
            <w:r>
              <w:rPr>
                <w:color w:val="000000"/>
                <w:sz w:val="20"/>
              </w:rPr>
              <w:t>$</w:t>
            </w:r>
          </w:p>
        </w:tc>
        <w:tc>
          <w:tcPr>
            <w:tcW w:w="1255" w:type="dxa"/>
            <w:tcBorders>
              <w:top w:val="nil"/>
              <w:left w:val="nil"/>
              <w:bottom w:val="single" w:sz="8" w:space="0" w:color="3E413D"/>
              <w:right w:val="nil"/>
            </w:tcBorders>
            <w:shd w:val="clear" w:color="auto" w:fill="FFFFFF"/>
            <w:tcMar>
              <w:top w:w="0" w:type="dxa"/>
              <w:left w:w="0" w:type="dxa"/>
              <w:bottom w:w="0" w:type="dxa"/>
              <w:right w:w="0" w:type="dxa"/>
            </w:tcMar>
            <w:vAlign w:val="center"/>
          </w:tcPr>
          <w:p w:rsidR="00B236FF" w:rsidRDefault="002C74B2">
            <w:pPr>
              <w:keepNext/>
              <w:spacing w:line="200" w:lineRule="auto"/>
              <w:jc w:val="right"/>
            </w:pPr>
            <w:r>
              <w:rPr>
                <w:color w:val="000000"/>
                <w:sz w:val="20"/>
              </w:rPr>
              <w:t>29.39 </w:t>
            </w:r>
          </w:p>
        </w:tc>
        <w:tc>
          <w:tcPr>
            <w:tcW w:w="100" w:type="dxa"/>
            <w:tcBorders>
              <w:top w:val="nil"/>
              <w:left w:val="nil"/>
              <w:bottom w:val="single" w:sz="8" w:space="0" w:color="3E413D"/>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285" w:type="dxa"/>
            <w:tcBorders>
              <w:top w:val="nil"/>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c>
          <w:tcPr>
            <w:tcW w:w="160" w:type="dxa"/>
            <w:tcBorders>
              <w:top w:val="nil"/>
              <w:left w:val="nil"/>
              <w:bottom w:val="single" w:sz="8" w:space="0" w:color="3E413D"/>
              <w:right w:val="nil"/>
            </w:tcBorders>
            <w:shd w:val="clear" w:color="auto" w:fill="FFFFFF"/>
            <w:tcMar>
              <w:top w:w="0" w:type="dxa"/>
              <w:left w:w="53" w:type="dxa"/>
              <w:bottom w:w="0" w:type="dxa"/>
              <w:right w:w="0" w:type="dxa"/>
            </w:tcMar>
            <w:vAlign w:val="center"/>
          </w:tcPr>
          <w:p w:rsidR="00B236FF" w:rsidRDefault="002C74B2">
            <w:pPr>
              <w:keepNext/>
              <w:spacing w:line="200" w:lineRule="auto"/>
            </w:pPr>
            <w:r>
              <w:rPr>
                <w:color w:val="000000"/>
                <w:sz w:val="20"/>
              </w:rPr>
              <w:t>$</w:t>
            </w:r>
          </w:p>
        </w:tc>
        <w:tc>
          <w:tcPr>
            <w:tcW w:w="1255" w:type="dxa"/>
            <w:tcBorders>
              <w:top w:val="nil"/>
              <w:left w:val="nil"/>
              <w:bottom w:val="single" w:sz="8" w:space="0" w:color="3E413D"/>
              <w:right w:val="nil"/>
            </w:tcBorders>
            <w:shd w:val="clear" w:color="auto" w:fill="FFFFFF"/>
            <w:tcMar>
              <w:top w:w="0" w:type="dxa"/>
              <w:left w:w="0" w:type="dxa"/>
              <w:bottom w:w="0" w:type="dxa"/>
              <w:right w:w="0" w:type="dxa"/>
            </w:tcMar>
            <w:vAlign w:val="center"/>
          </w:tcPr>
          <w:p w:rsidR="00B236FF" w:rsidRDefault="002C74B2">
            <w:pPr>
              <w:keepNext/>
              <w:spacing w:line="200" w:lineRule="auto"/>
              <w:jc w:val="right"/>
            </w:pPr>
            <w:r>
              <w:rPr>
                <w:color w:val="000000"/>
                <w:sz w:val="20"/>
              </w:rPr>
              <w:t>33.74 </w:t>
            </w:r>
          </w:p>
        </w:tc>
        <w:tc>
          <w:tcPr>
            <w:tcW w:w="100" w:type="dxa"/>
            <w:tcBorders>
              <w:top w:val="nil"/>
              <w:left w:val="nil"/>
              <w:bottom w:val="single" w:sz="8" w:space="0" w:color="3E413D"/>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B236FF">
            <w:pPr>
              <w:keepNext/>
              <w:spacing w:line="200" w:lineRule="auto"/>
              <w:jc w:val="right"/>
            </w:pPr>
          </w:p>
        </w:tc>
        <w:tc>
          <w:tcPr>
            <w:tcW w:w="160" w:type="dxa"/>
            <w:tcBorders>
              <w:top w:val="nil"/>
              <w:left w:val="nil"/>
              <w:bottom w:val="single" w:sz="8" w:space="0" w:color="3E413D"/>
              <w:right w:val="nil"/>
            </w:tcBorders>
            <w:shd w:val="clear" w:color="auto" w:fill="FFFFFF"/>
            <w:tcMar>
              <w:top w:w="0" w:type="dxa"/>
              <w:left w:w="53" w:type="dxa"/>
              <w:bottom w:w="0" w:type="dxa"/>
              <w:right w:w="0" w:type="dxa"/>
            </w:tcMar>
            <w:vAlign w:val="center"/>
          </w:tcPr>
          <w:p w:rsidR="00B236FF" w:rsidRDefault="002C74B2">
            <w:pPr>
              <w:keepNext/>
              <w:spacing w:line="200" w:lineRule="auto"/>
            </w:pPr>
            <w:r>
              <w:rPr>
                <w:color w:val="000000"/>
                <w:sz w:val="20"/>
              </w:rPr>
              <w:t>$</w:t>
            </w:r>
          </w:p>
        </w:tc>
        <w:tc>
          <w:tcPr>
            <w:tcW w:w="1255" w:type="dxa"/>
            <w:tcBorders>
              <w:top w:val="nil"/>
              <w:left w:val="nil"/>
              <w:bottom w:val="single" w:sz="8" w:space="0" w:color="3E413D"/>
              <w:right w:val="nil"/>
            </w:tcBorders>
            <w:shd w:val="clear" w:color="auto" w:fill="FFFFFF"/>
            <w:tcMar>
              <w:top w:w="0" w:type="dxa"/>
              <w:left w:w="0" w:type="dxa"/>
              <w:bottom w:w="0" w:type="dxa"/>
              <w:right w:w="0" w:type="dxa"/>
            </w:tcMar>
            <w:vAlign w:val="center"/>
          </w:tcPr>
          <w:p w:rsidR="00B236FF" w:rsidRDefault="002C74B2">
            <w:pPr>
              <w:keepNext/>
              <w:spacing w:line="200" w:lineRule="auto"/>
              <w:jc w:val="right"/>
            </w:pPr>
            <w:r>
              <w:rPr>
                <w:color w:val="000000"/>
                <w:sz w:val="20"/>
              </w:rPr>
              <w:t>23.10 </w:t>
            </w:r>
          </w:p>
        </w:tc>
        <w:tc>
          <w:tcPr>
            <w:tcW w:w="100" w:type="dxa"/>
            <w:tcBorders>
              <w:top w:val="nil"/>
              <w:left w:val="nil"/>
              <w:bottom w:val="single" w:sz="8" w:space="0" w:color="3E413D"/>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r>
      <w:tr w:rsidR="00B236FF">
        <w:trPr>
          <w:cantSplit/>
          <w:trHeight w:hRule="exact" w:val="300"/>
          <w:jc w:val="center"/>
        </w:trPr>
        <w:tc>
          <w:tcPr>
            <w:tcW w:w="3525" w:type="dxa"/>
            <w:tcBorders>
              <w:top w:val="nil"/>
              <w:left w:val="nil"/>
              <w:bottom w:val="nil"/>
              <w:right w:val="nil"/>
            </w:tcBorders>
            <w:shd w:val="clear" w:color="auto" w:fill="CCEEFF"/>
            <w:tcMar>
              <w:top w:w="0" w:type="dxa"/>
              <w:left w:w="53" w:type="dxa"/>
              <w:bottom w:w="0" w:type="dxa"/>
              <w:right w:w="53" w:type="dxa"/>
            </w:tcMar>
          </w:tcPr>
          <w:p w:rsidR="00B236FF" w:rsidRDefault="00B236FF">
            <w:pPr>
              <w:keepNext/>
              <w:spacing w:before="75" w:after="30" w:line="200" w:lineRule="auto"/>
            </w:pPr>
          </w:p>
        </w:tc>
        <w:tc>
          <w:tcPr>
            <w:tcW w:w="1515" w:type="dxa"/>
            <w:gridSpan w:val="3"/>
            <w:tcBorders>
              <w:top w:val="single" w:sz="8" w:space="0" w:color="3E413D"/>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jc w:val="right"/>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jc w:val="right"/>
            </w:pPr>
          </w:p>
        </w:tc>
        <w:tc>
          <w:tcPr>
            <w:tcW w:w="1515" w:type="dxa"/>
            <w:gridSpan w:val="3"/>
            <w:tcBorders>
              <w:top w:val="single" w:sz="8" w:space="0" w:color="3E413D"/>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jc w:val="right"/>
            </w:pPr>
          </w:p>
        </w:tc>
        <w:tc>
          <w:tcPr>
            <w:tcW w:w="285" w:type="dxa"/>
            <w:tcBorders>
              <w:top w:val="nil"/>
              <w:left w:val="nil"/>
              <w:bottom w:val="nil"/>
              <w:right w:val="nil"/>
            </w:tcBorders>
            <w:shd w:val="clear" w:color="auto" w:fill="CCEEFF"/>
            <w:tcMar>
              <w:top w:w="0" w:type="dxa"/>
              <w:left w:w="0" w:type="dxa"/>
              <w:bottom w:w="0" w:type="dxa"/>
              <w:right w:w="0" w:type="dxa"/>
            </w:tcMar>
            <w:vAlign w:val="bottom"/>
          </w:tcPr>
          <w:p w:rsidR="00B236FF" w:rsidRDefault="00B236FF">
            <w:pPr>
              <w:keepNext/>
            </w:pPr>
          </w:p>
        </w:tc>
        <w:tc>
          <w:tcPr>
            <w:tcW w:w="1515" w:type="dxa"/>
            <w:gridSpan w:val="3"/>
            <w:tcBorders>
              <w:top w:val="single" w:sz="8" w:space="0" w:color="3E413D"/>
              <w:left w:val="nil"/>
              <w:bottom w:val="nil"/>
              <w:right w:val="nil"/>
            </w:tcBorders>
            <w:shd w:val="clear" w:color="auto" w:fill="CCEEFF"/>
            <w:tcMar>
              <w:top w:w="0" w:type="dxa"/>
              <w:left w:w="0" w:type="dxa"/>
              <w:bottom w:w="0" w:type="dxa"/>
              <w:right w:w="0" w:type="dxa"/>
            </w:tcMar>
            <w:vAlign w:val="bottom"/>
          </w:tcPr>
          <w:p w:rsidR="00B236FF" w:rsidRDefault="00B236FF">
            <w:pPr>
              <w:keepNext/>
            </w:pPr>
          </w:p>
        </w:tc>
        <w:tc>
          <w:tcPr>
            <w:tcW w:w="195" w:type="dxa"/>
            <w:tcBorders>
              <w:top w:val="nil"/>
              <w:left w:val="nil"/>
              <w:bottom w:val="nil"/>
              <w:right w:val="nil"/>
            </w:tcBorders>
            <w:shd w:val="clear" w:color="auto" w:fill="CCEEFF"/>
            <w:tcMar>
              <w:top w:w="0" w:type="dxa"/>
              <w:left w:w="0" w:type="dxa"/>
              <w:bottom w:w="0" w:type="dxa"/>
              <w:right w:w="0" w:type="dxa"/>
            </w:tcMar>
            <w:vAlign w:val="bottom"/>
          </w:tcPr>
          <w:p w:rsidR="00B236FF" w:rsidRDefault="00B236FF">
            <w:pPr>
              <w:keepNext/>
            </w:pPr>
          </w:p>
        </w:tc>
        <w:tc>
          <w:tcPr>
            <w:tcW w:w="1515" w:type="dxa"/>
            <w:gridSpan w:val="3"/>
            <w:tcBorders>
              <w:top w:val="single" w:sz="8" w:space="0" w:color="3E413D"/>
              <w:left w:val="nil"/>
              <w:bottom w:val="nil"/>
              <w:right w:val="nil"/>
            </w:tcBorders>
            <w:shd w:val="clear" w:color="auto" w:fill="CCEEFF"/>
            <w:tcMar>
              <w:top w:w="0" w:type="dxa"/>
              <w:left w:w="0" w:type="dxa"/>
              <w:bottom w:w="0" w:type="dxa"/>
              <w:right w:w="0" w:type="dxa"/>
            </w:tcMar>
            <w:vAlign w:val="bottom"/>
          </w:tcPr>
          <w:p w:rsidR="00B236FF" w:rsidRDefault="00B236FF">
            <w:pPr>
              <w:keepNext/>
            </w:pPr>
          </w:p>
        </w:tc>
      </w:tr>
      <w:tr w:rsidR="00B236FF">
        <w:trPr>
          <w:cantSplit/>
          <w:trHeight w:hRule="exact" w:val="300"/>
          <w:jc w:val="center"/>
        </w:trPr>
        <w:tc>
          <w:tcPr>
            <w:tcW w:w="3525" w:type="dxa"/>
            <w:tcBorders>
              <w:top w:val="nil"/>
              <w:left w:val="nil"/>
              <w:bottom w:val="nil"/>
              <w:right w:val="nil"/>
            </w:tcBorders>
            <w:shd w:val="clear" w:color="auto" w:fill="FFFFFF"/>
            <w:tcMar>
              <w:top w:w="0" w:type="dxa"/>
              <w:left w:w="53" w:type="dxa"/>
              <w:bottom w:w="0" w:type="dxa"/>
              <w:right w:w="53" w:type="dxa"/>
            </w:tcMar>
          </w:tcPr>
          <w:p w:rsidR="00B236FF" w:rsidRDefault="002C74B2">
            <w:pPr>
              <w:keepNext/>
              <w:spacing w:before="75" w:after="30" w:line="200" w:lineRule="auto"/>
            </w:pPr>
            <w:r>
              <w:rPr>
                <w:color w:val="000000"/>
                <w:sz w:val="20"/>
              </w:rPr>
              <w:t>Retail Natural Gas Segment</w:t>
            </w:r>
          </w:p>
        </w:tc>
        <w:tc>
          <w:tcPr>
            <w:tcW w:w="1515" w:type="dxa"/>
            <w:gridSpan w:val="3"/>
            <w:tcBorders>
              <w:top w:val="nil"/>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c>
          <w:tcPr>
            <w:tcW w:w="1515" w:type="dxa"/>
            <w:gridSpan w:val="3"/>
            <w:tcBorders>
              <w:top w:val="nil"/>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c>
          <w:tcPr>
            <w:tcW w:w="285" w:type="dxa"/>
            <w:tcBorders>
              <w:top w:val="nil"/>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c>
          <w:tcPr>
            <w:tcW w:w="1515" w:type="dxa"/>
            <w:gridSpan w:val="3"/>
            <w:tcBorders>
              <w:top w:val="nil"/>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c>
          <w:tcPr>
            <w:tcW w:w="1515" w:type="dxa"/>
            <w:gridSpan w:val="3"/>
            <w:tcBorders>
              <w:top w:val="nil"/>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r>
      <w:tr w:rsidR="00B236FF">
        <w:trPr>
          <w:cantSplit/>
          <w:trHeight w:hRule="exact" w:val="300"/>
          <w:jc w:val="center"/>
        </w:trPr>
        <w:tc>
          <w:tcPr>
            <w:tcW w:w="3525" w:type="dxa"/>
            <w:tcBorders>
              <w:top w:val="nil"/>
              <w:left w:val="nil"/>
              <w:bottom w:val="nil"/>
              <w:right w:val="nil"/>
            </w:tcBorders>
            <w:shd w:val="clear" w:color="auto" w:fill="CCEEFF"/>
            <w:tcMar>
              <w:top w:w="0" w:type="dxa"/>
              <w:left w:w="53" w:type="dxa"/>
              <w:bottom w:w="0" w:type="dxa"/>
              <w:right w:w="53" w:type="dxa"/>
            </w:tcMar>
          </w:tcPr>
          <w:p w:rsidR="00B236FF" w:rsidRDefault="002C74B2">
            <w:pPr>
              <w:keepNext/>
              <w:spacing w:before="75" w:after="30" w:line="200" w:lineRule="auto"/>
            </w:pPr>
            <w:r>
              <w:rPr>
                <w:color w:val="000000"/>
                <w:sz w:val="20"/>
              </w:rPr>
              <w:t>Total Revenues</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8,230 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10,331 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CCEEFF"/>
            <w:tcMar>
              <w:top w:w="0" w:type="dxa"/>
              <w:left w:w="0" w:type="dxa"/>
              <w:bottom w:w="0" w:type="dxa"/>
              <w:right w:w="0" w:type="dxa"/>
            </w:tcMar>
            <w:vAlign w:val="bottom"/>
          </w:tcPr>
          <w:p w:rsidR="00B236FF" w:rsidRDefault="00B236FF">
            <w:pPr>
              <w:keepNex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69,185 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85,422 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00"/>
          <w:jc w:val="center"/>
        </w:trPr>
        <w:tc>
          <w:tcPr>
            <w:tcW w:w="3525" w:type="dxa"/>
            <w:tcBorders>
              <w:top w:val="nil"/>
              <w:left w:val="nil"/>
              <w:bottom w:val="nil"/>
              <w:right w:val="nil"/>
            </w:tcBorders>
            <w:shd w:val="clear" w:color="auto" w:fill="FFFFFF"/>
            <w:tcMar>
              <w:top w:w="0" w:type="dxa"/>
              <w:left w:w="53" w:type="dxa"/>
              <w:bottom w:w="0" w:type="dxa"/>
              <w:right w:w="53" w:type="dxa"/>
            </w:tcMar>
          </w:tcPr>
          <w:p w:rsidR="00B236FF" w:rsidRDefault="002C74B2">
            <w:pPr>
              <w:keepNext/>
              <w:spacing w:before="75" w:after="30" w:line="200" w:lineRule="auto"/>
            </w:pPr>
            <w:r>
              <w:rPr>
                <w:color w:val="000000"/>
                <w:sz w:val="20"/>
              </w:rPr>
              <w:t>Retail Cost of Revenues</w:t>
            </w: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3,057 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4,767 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27,834 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44,706 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495"/>
          <w:jc w:val="center"/>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Less: Net gain on non-trading derivatives, net of cash settlements</w:t>
            </w: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904 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B236FF">
            <w:pPr>
              <w:keepNext/>
              <w:spacing w:line="200" w:lineRule="auto"/>
              <w:jc w:val="right"/>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525 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c>
          <w:tcPr>
            <w:tcW w:w="285" w:type="dxa"/>
            <w:tcBorders>
              <w:top w:val="nil"/>
              <w:left w:val="nil"/>
              <w:bottom w:val="nil"/>
              <w:right w:val="nil"/>
            </w:tcBorders>
            <w:shd w:val="clear" w:color="auto" w:fill="CCEEFF"/>
            <w:tcMar>
              <w:top w:w="0" w:type="dxa"/>
              <w:left w:w="0" w:type="dxa"/>
              <w:bottom w:w="0" w:type="dxa"/>
              <w:right w:w="0" w:type="dxa"/>
            </w:tcMar>
            <w:vAlign w:val="bottom"/>
          </w:tcPr>
          <w:p w:rsidR="00B236FF" w:rsidRDefault="00B236FF">
            <w:pPr>
              <w:keepNext/>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3,006 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B236FF">
            <w:pPr>
              <w:keepNext/>
              <w:spacing w:line="200" w:lineRule="auto"/>
              <w:jc w:val="right"/>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963 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r>
      <w:tr w:rsidR="00B236FF">
        <w:trPr>
          <w:cantSplit/>
          <w:trHeight w:hRule="exact" w:val="300"/>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9" w:lineRule="auto"/>
              <w:rPr>
                <w:sz w:val="20"/>
              </w:rPr>
            </w:pPr>
            <w:r>
              <w:rPr>
                <w:sz w:val="20"/>
              </w:rPr>
              <w:t xml:space="preserve">Retail Gross Margin </w:t>
            </w:r>
            <w:r>
              <w:rPr>
                <w:sz w:val="20"/>
                <w:vertAlign w:val="superscript"/>
              </w:rPr>
              <w:t xml:space="preserve">(1) </w:t>
            </w:r>
            <w:r>
              <w:rPr>
                <w:sz w:val="20"/>
              </w:rPr>
              <w:t>— Gas</w:t>
            </w: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center"/>
          </w:tcPr>
          <w:p w:rsidR="00B236FF" w:rsidRDefault="002C74B2">
            <w:pPr>
              <w:keepNext/>
              <w:spacing w:line="200" w:lineRule="auto"/>
            </w:pPr>
            <w:r>
              <w:rPr>
                <w:color w:val="000000"/>
                <w:sz w:val="20"/>
              </w:rPr>
              <w:t>$</w:t>
            </w:r>
          </w:p>
        </w:tc>
        <w:tc>
          <w:tcPr>
            <w:tcW w:w="125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center"/>
          </w:tcPr>
          <w:p w:rsidR="00B236FF" w:rsidRDefault="002C74B2">
            <w:pPr>
              <w:keepNext/>
              <w:spacing w:line="200" w:lineRule="auto"/>
              <w:jc w:val="right"/>
            </w:pPr>
            <w:r>
              <w:rPr>
                <w:color w:val="000000"/>
                <w:sz w:val="20"/>
              </w:rPr>
              <w:t>4,269 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B236FF">
            <w:pPr>
              <w:keepNext/>
              <w:spacing w:line="200" w:lineRule="auto"/>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center"/>
          </w:tcPr>
          <w:p w:rsidR="00B236FF" w:rsidRDefault="002C74B2">
            <w:pPr>
              <w:keepNext/>
              <w:spacing w:line="200" w:lineRule="auto"/>
            </w:pPr>
            <w:r>
              <w:rPr>
                <w:color w:val="000000"/>
                <w:sz w:val="20"/>
              </w:rPr>
              <w:t>$</w:t>
            </w:r>
          </w:p>
        </w:tc>
        <w:tc>
          <w:tcPr>
            <w:tcW w:w="125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center"/>
          </w:tcPr>
          <w:p w:rsidR="00B236FF" w:rsidRDefault="002C74B2">
            <w:pPr>
              <w:keepNext/>
              <w:spacing w:line="200" w:lineRule="auto"/>
              <w:jc w:val="right"/>
            </w:pPr>
            <w:r>
              <w:rPr>
                <w:color w:val="000000"/>
                <w:sz w:val="20"/>
              </w:rPr>
              <w:t>5,039 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285" w:type="dxa"/>
            <w:tcBorders>
              <w:top w:val="nil"/>
              <w:left w:val="nil"/>
              <w:bottom w:val="nil"/>
              <w:right w:val="nil"/>
            </w:tcBorders>
            <w:shd w:val="clear" w:color="auto" w:fill="FFFFFF"/>
            <w:tcMar>
              <w:top w:w="0" w:type="dxa"/>
              <w:left w:w="0" w:type="dxa"/>
              <w:bottom w:w="0" w:type="dxa"/>
              <w:right w:w="0" w:type="dxa"/>
            </w:tcMar>
            <w:vAlign w:val="bottom"/>
          </w:tcPr>
          <w:p w:rsidR="00B236FF" w:rsidRDefault="00B236FF">
            <w:pPr>
              <w:keepNex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center"/>
          </w:tcPr>
          <w:p w:rsidR="00B236FF" w:rsidRDefault="002C74B2">
            <w:pPr>
              <w:keepNext/>
              <w:spacing w:line="200" w:lineRule="auto"/>
            </w:pPr>
            <w:r>
              <w:rPr>
                <w:color w:val="000000"/>
                <w:sz w:val="20"/>
              </w:rPr>
              <w:t>$</w:t>
            </w:r>
          </w:p>
        </w:tc>
        <w:tc>
          <w:tcPr>
            <w:tcW w:w="125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center"/>
          </w:tcPr>
          <w:p w:rsidR="00B236FF" w:rsidRDefault="002C74B2">
            <w:pPr>
              <w:keepNext/>
              <w:spacing w:line="200" w:lineRule="auto"/>
              <w:jc w:val="right"/>
            </w:pPr>
            <w:r>
              <w:rPr>
                <w:color w:val="000000"/>
                <w:sz w:val="20"/>
              </w:rPr>
              <w:t>38,345 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B236FF">
            <w:pPr>
              <w:keepNext/>
              <w:spacing w:line="200" w:lineRule="auto"/>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center"/>
          </w:tcPr>
          <w:p w:rsidR="00B236FF" w:rsidRDefault="002C74B2">
            <w:pPr>
              <w:keepNext/>
              <w:spacing w:line="200" w:lineRule="auto"/>
            </w:pPr>
            <w:r>
              <w:rPr>
                <w:color w:val="000000"/>
                <w:sz w:val="20"/>
              </w:rPr>
              <w:t>$</w:t>
            </w:r>
          </w:p>
        </w:tc>
        <w:tc>
          <w:tcPr>
            <w:tcW w:w="125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center"/>
          </w:tcPr>
          <w:p w:rsidR="00B236FF" w:rsidRDefault="002C74B2">
            <w:pPr>
              <w:keepNext/>
              <w:spacing w:line="200" w:lineRule="auto"/>
              <w:jc w:val="right"/>
            </w:pPr>
            <w:r>
              <w:rPr>
                <w:color w:val="000000"/>
                <w:sz w:val="20"/>
              </w:rPr>
              <w:t>39,753 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r>
      <w:tr w:rsidR="00B236FF">
        <w:trPr>
          <w:cantSplit/>
          <w:trHeight w:hRule="exact" w:val="300"/>
          <w:jc w:val="center"/>
        </w:trPr>
        <w:tc>
          <w:tcPr>
            <w:tcW w:w="352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color w:val="000000"/>
                <w:sz w:val="20"/>
              </w:rPr>
              <w:t>Volumes — Gas (MMBtus)</w:t>
            </w:r>
          </w:p>
        </w:tc>
        <w:tc>
          <w:tcPr>
            <w:tcW w:w="1415" w:type="dxa"/>
            <w:gridSpan w:val="2"/>
            <w:tcBorders>
              <w:top w:val="double" w:sz="8" w:space="0" w:color="000000"/>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20"/>
              </w:rPr>
              <w:t>949,088 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jc w:val="right"/>
            </w:pPr>
          </w:p>
        </w:tc>
        <w:tc>
          <w:tcPr>
            <w:tcW w:w="1415" w:type="dxa"/>
            <w:gridSpan w:val="2"/>
            <w:tcBorders>
              <w:top w:val="double" w:sz="8" w:space="0" w:color="000000"/>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20"/>
              </w:rPr>
              <w:t>1,119,126 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285" w:type="dxa"/>
            <w:tcBorders>
              <w:top w:val="nil"/>
              <w:left w:val="nil"/>
              <w:bottom w:val="nil"/>
              <w:right w:val="nil"/>
            </w:tcBorders>
            <w:shd w:val="clear" w:color="auto" w:fill="CCEEFF"/>
            <w:tcMar>
              <w:top w:w="0" w:type="dxa"/>
              <w:left w:w="0" w:type="dxa"/>
              <w:bottom w:w="0" w:type="dxa"/>
              <w:right w:w="0" w:type="dxa"/>
            </w:tcMar>
            <w:vAlign w:val="bottom"/>
          </w:tcPr>
          <w:p w:rsidR="00B236FF" w:rsidRDefault="00B236FF">
            <w:pPr>
              <w:keepNext/>
            </w:pPr>
          </w:p>
        </w:tc>
        <w:tc>
          <w:tcPr>
            <w:tcW w:w="1415" w:type="dxa"/>
            <w:gridSpan w:val="2"/>
            <w:tcBorders>
              <w:top w:val="double" w:sz="8" w:space="0" w:color="000000"/>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20"/>
              </w:rPr>
              <w:t>8,198,827 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jc w:val="right"/>
            </w:pPr>
          </w:p>
        </w:tc>
        <w:tc>
          <w:tcPr>
            <w:tcW w:w="1415" w:type="dxa"/>
            <w:gridSpan w:val="2"/>
            <w:tcBorders>
              <w:top w:val="double" w:sz="8" w:space="0" w:color="000000"/>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20"/>
              </w:rPr>
              <w:t>10,127,857 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495"/>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spacing w:line="209" w:lineRule="auto"/>
              <w:rPr>
                <w:sz w:val="20"/>
              </w:rPr>
            </w:pPr>
            <w:r>
              <w:rPr>
                <w:sz w:val="20"/>
              </w:rPr>
              <w:t xml:space="preserve">Retail Gross Margin </w:t>
            </w:r>
            <w:r>
              <w:rPr>
                <w:sz w:val="20"/>
                <w:vertAlign w:val="superscript"/>
              </w:rPr>
              <w:t xml:space="preserve">(2) </w:t>
            </w:r>
            <w:r>
              <w:rPr>
                <w:sz w:val="20"/>
              </w:rPr>
              <w:t>— Gas per MMBtu</w:t>
            </w:r>
          </w:p>
        </w:tc>
        <w:tc>
          <w:tcPr>
            <w:tcW w:w="160" w:type="dxa"/>
            <w:tcBorders>
              <w:top w:val="nil"/>
              <w:left w:val="nil"/>
              <w:bottom w:val="single" w:sz="8" w:space="0" w:color="3E413D"/>
              <w:right w:val="nil"/>
            </w:tcBorders>
            <w:shd w:val="clear" w:color="auto" w:fill="FFFFFF"/>
            <w:tcMar>
              <w:top w:w="0" w:type="dxa"/>
              <w:left w:w="53" w:type="dxa"/>
              <w:bottom w:w="0" w:type="dxa"/>
              <w:right w:w="0" w:type="dxa"/>
            </w:tcMar>
            <w:vAlign w:val="center"/>
          </w:tcPr>
          <w:p w:rsidR="00B236FF" w:rsidRDefault="002C74B2">
            <w:pPr>
              <w:spacing w:line="200" w:lineRule="auto"/>
            </w:pPr>
            <w:r>
              <w:rPr>
                <w:color w:val="000000"/>
                <w:sz w:val="20"/>
              </w:rPr>
              <w:t>$</w:t>
            </w:r>
          </w:p>
        </w:tc>
        <w:tc>
          <w:tcPr>
            <w:tcW w:w="1255" w:type="dxa"/>
            <w:tcBorders>
              <w:top w:val="nil"/>
              <w:left w:val="nil"/>
              <w:bottom w:val="single" w:sz="8" w:space="0" w:color="3E413D"/>
              <w:right w:val="nil"/>
            </w:tcBorders>
            <w:shd w:val="clear" w:color="auto" w:fill="FFFFFF"/>
            <w:tcMar>
              <w:top w:w="0" w:type="dxa"/>
              <w:left w:w="0" w:type="dxa"/>
              <w:bottom w:w="0" w:type="dxa"/>
              <w:right w:w="0" w:type="dxa"/>
            </w:tcMar>
            <w:vAlign w:val="center"/>
          </w:tcPr>
          <w:p w:rsidR="00B236FF" w:rsidRDefault="002C74B2">
            <w:pPr>
              <w:spacing w:line="200" w:lineRule="auto"/>
              <w:jc w:val="right"/>
            </w:pPr>
            <w:r>
              <w:rPr>
                <w:color w:val="000000"/>
                <w:sz w:val="20"/>
              </w:rPr>
              <w:t>4.50 </w:t>
            </w:r>
          </w:p>
        </w:tc>
        <w:tc>
          <w:tcPr>
            <w:tcW w:w="100" w:type="dxa"/>
            <w:tcBorders>
              <w:top w:val="nil"/>
              <w:left w:val="nil"/>
              <w:bottom w:val="single" w:sz="8" w:space="0" w:color="3E413D"/>
              <w:right w:val="nil"/>
            </w:tcBorders>
            <w:shd w:val="clear" w:color="auto" w:fill="FFFFFF"/>
            <w:tcMar>
              <w:top w:w="0" w:type="dxa"/>
              <w:left w:w="0" w:type="dxa"/>
              <w:bottom w:w="0" w:type="dxa"/>
              <w:right w:w="15" w:type="dxa"/>
            </w:tcMar>
            <w:vAlign w:val="center"/>
          </w:tcPr>
          <w:p w:rsidR="00B236FF" w:rsidRDefault="00B236FF">
            <w:pPr>
              <w:spacing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B236FF">
            <w:pPr>
              <w:spacing w:line="200" w:lineRule="auto"/>
              <w:jc w:val="right"/>
            </w:pPr>
          </w:p>
        </w:tc>
        <w:tc>
          <w:tcPr>
            <w:tcW w:w="160" w:type="dxa"/>
            <w:tcBorders>
              <w:top w:val="nil"/>
              <w:left w:val="nil"/>
              <w:bottom w:val="single" w:sz="8" w:space="0" w:color="3E413D"/>
              <w:right w:val="nil"/>
            </w:tcBorders>
            <w:shd w:val="clear" w:color="auto" w:fill="FFFFFF"/>
            <w:tcMar>
              <w:top w:w="0" w:type="dxa"/>
              <w:left w:w="53" w:type="dxa"/>
              <w:bottom w:w="0" w:type="dxa"/>
              <w:right w:w="0" w:type="dxa"/>
            </w:tcMar>
            <w:vAlign w:val="center"/>
          </w:tcPr>
          <w:p w:rsidR="00B236FF" w:rsidRDefault="002C74B2">
            <w:pPr>
              <w:spacing w:line="200" w:lineRule="auto"/>
            </w:pPr>
            <w:r>
              <w:rPr>
                <w:color w:val="000000"/>
                <w:sz w:val="20"/>
              </w:rPr>
              <w:t>$</w:t>
            </w:r>
          </w:p>
        </w:tc>
        <w:tc>
          <w:tcPr>
            <w:tcW w:w="1255" w:type="dxa"/>
            <w:tcBorders>
              <w:top w:val="nil"/>
              <w:left w:val="nil"/>
              <w:bottom w:val="single" w:sz="8" w:space="0" w:color="3E413D"/>
              <w:right w:val="nil"/>
            </w:tcBorders>
            <w:shd w:val="clear" w:color="auto" w:fill="FFFFFF"/>
            <w:tcMar>
              <w:top w:w="0" w:type="dxa"/>
              <w:left w:w="0" w:type="dxa"/>
              <w:bottom w:w="0" w:type="dxa"/>
              <w:right w:w="0" w:type="dxa"/>
            </w:tcMar>
            <w:vAlign w:val="center"/>
          </w:tcPr>
          <w:p w:rsidR="00B236FF" w:rsidRDefault="002C74B2">
            <w:pPr>
              <w:spacing w:line="200" w:lineRule="auto"/>
              <w:jc w:val="right"/>
            </w:pPr>
            <w:r>
              <w:rPr>
                <w:color w:val="000000"/>
                <w:sz w:val="20"/>
              </w:rPr>
              <w:t>4.50 </w:t>
            </w:r>
          </w:p>
        </w:tc>
        <w:tc>
          <w:tcPr>
            <w:tcW w:w="100" w:type="dxa"/>
            <w:tcBorders>
              <w:top w:val="nil"/>
              <w:left w:val="nil"/>
              <w:bottom w:val="single" w:sz="8" w:space="0" w:color="3E413D"/>
              <w:right w:val="nil"/>
            </w:tcBorders>
            <w:shd w:val="clear" w:color="auto" w:fill="FFFFFF"/>
            <w:tcMar>
              <w:top w:w="0" w:type="dxa"/>
              <w:left w:w="0" w:type="dxa"/>
              <w:bottom w:w="0" w:type="dxa"/>
              <w:right w:w="15" w:type="dxa"/>
            </w:tcMar>
            <w:vAlign w:val="center"/>
          </w:tcPr>
          <w:p w:rsidR="00B236FF" w:rsidRDefault="00B236FF">
            <w:pPr>
              <w:spacing w:line="200" w:lineRule="auto"/>
            </w:pPr>
          </w:p>
        </w:tc>
        <w:tc>
          <w:tcPr>
            <w:tcW w:w="285" w:type="dxa"/>
            <w:tcBorders>
              <w:top w:val="nil"/>
              <w:left w:val="nil"/>
              <w:bottom w:val="nil"/>
              <w:right w:val="nil"/>
            </w:tcBorders>
            <w:shd w:val="clear" w:color="auto" w:fill="FFFFFF"/>
            <w:tcMar>
              <w:top w:w="0" w:type="dxa"/>
              <w:left w:w="0" w:type="dxa"/>
              <w:bottom w:w="0" w:type="dxa"/>
              <w:right w:w="0" w:type="dxa"/>
            </w:tcMar>
            <w:vAlign w:val="bottom"/>
          </w:tcPr>
          <w:p w:rsidR="00B236FF" w:rsidRDefault="00B236FF"/>
        </w:tc>
        <w:tc>
          <w:tcPr>
            <w:tcW w:w="160" w:type="dxa"/>
            <w:tcBorders>
              <w:top w:val="nil"/>
              <w:left w:val="nil"/>
              <w:bottom w:val="single" w:sz="8" w:space="0" w:color="3E413D"/>
              <w:right w:val="nil"/>
            </w:tcBorders>
            <w:shd w:val="clear" w:color="auto" w:fill="FFFFFF"/>
            <w:tcMar>
              <w:top w:w="0" w:type="dxa"/>
              <w:left w:w="53" w:type="dxa"/>
              <w:bottom w:w="0" w:type="dxa"/>
              <w:right w:w="0" w:type="dxa"/>
            </w:tcMar>
            <w:vAlign w:val="center"/>
          </w:tcPr>
          <w:p w:rsidR="00B236FF" w:rsidRDefault="002C74B2">
            <w:pPr>
              <w:spacing w:line="200" w:lineRule="auto"/>
            </w:pPr>
            <w:r>
              <w:rPr>
                <w:color w:val="000000"/>
                <w:sz w:val="20"/>
              </w:rPr>
              <w:t>$</w:t>
            </w:r>
          </w:p>
        </w:tc>
        <w:tc>
          <w:tcPr>
            <w:tcW w:w="1255" w:type="dxa"/>
            <w:tcBorders>
              <w:top w:val="nil"/>
              <w:left w:val="nil"/>
              <w:bottom w:val="single" w:sz="8" w:space="0" w:color="3E413D"/>
              <w:right w:val="nil"/>
            </w:tcBorders>
            <w:shd w:val="clear" w:color="auto" w:fill="FFFFFF"/>
            <w:tcMar>
              <w:top w:w="0" w:type="dxa"/>
              <w:left w:w="0" w:type="dxa"/>
              <w:bottom w:w="0" w:type="dxa"/>
              <w:right w:w="0" w:type="dxa"/>
            </w:tcMar>
            <w:vAlign w:val="center"/>
          </w:tcPr>
          <w:p w:rsidR="00B236FF" w:rsidRDefault="002C74B2">
            <w:pPr>
              <w:spacing w:line="200" w:lineRule="auto"/>
              <w:jc w:val="right"/>
            </w:pPr>
            <w:r>
              <w:rPr>
                <w:color w:val="000000"/>
                <w:sz w:val="20"/>
              </w:rPr>
              <w:t>4.68 </w:t>
            </w:r>
          </w:p>
        </w:tc>
        <w:tc>
          <w:tcPr>
            <w:tcW w:w="100" w:type="dxa"/>
            <w:tcBorders>
              <w:top w:val="nil"/>
              <w:left w:val="nil"/>
              <w:bottom w:val="single" w:sz="8" w:space="0" w:color="3E413D"/>
              <w:right w:val="nil"/>
            </w:tcBorders>
            <w:shd w:val="clear" w:color="auto" w:fill="FFFFFF"/>
            <w:tcMar>
              <w:top w:w="0" w:type="dxa"/>
              <w:left w:w="0" w:type="dxa"/>
              <w:bottom w:w="0" w:type="dxa"/>
              <w:right w:w="15" w:type="dxa"/>
            </w:tcMar>
            <w:vAlign w:val="center"/>
          </w:tcPr>
          <w:p w:rsidR="00B236FF" w:rsidRDefault="00B236FF">
            <w:pPr>
              <w:spacing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B236FF">
            <w:pPr>
              <w:spacing w:line="200" w:lineRule="auto"/>
              <w:jc w:val="right"/>
            </w:pPr>
          </w:p>
        </w:tc>
        <w:tc>
          <w:tcPr>
            <w:tcW w:w="160" w:type="dxa"/>
            <w:tcBorders>
              <w:top w:val="nil"/>
              <w:left w:val="nil"/>
              <w:bottom w:val="single" w:sz="8" w:space="0" w:color="3E413D"/>
              <w:right w:val="nil"/>
            </w:tcBorders>
            <w:shd w:val="clear" w:color="auto" w:fill="FFFFFF"/>
            <w:tcMar>
              <w:top w:w="0" w:type="dxa"/>
              <w:left w:w="53" w:type="dxa"/>
              <w:bottom w:w="0" w:type="dxa"/>
              <w:right w:w="0" w:type="dxa"/>
            </w:tcMar>
            <w:vAlign w:val="center"/>
          </w:tcPr>
          <w:p w:rsidR="00B236FF" w:rsidRDefault="002C74B2">
            <w:pPr>
              <w:spacing w:line="200" w:lineRule="auto"/>
            </w:pPr>
            <w:r>
              <w:rPr>
                <w:color w:val="000000"/>
                <w:sz w:val="20"/>
              </w:rPr>
              <w:t>$</w:t>
            </w:r>
          </w:p>
        </w:tc>
        <w:tc>
          <w:tcPr>
            <w:tcW w:w="1255" w:type="dxa"/>
            <w:tcBorders>
              <w:top w:val="nil"/>
              <w:left w:val="nil"/>
              <w:bottom w:val="single" w:sz="8" w:space="0" w:color="3E413D"/>
              <w:right w:val="nil"/>
            </w:tcBorders>
            <w:shd w:val="clear" w:color="auto" w:fill="FFFFFF"/>
            <w:tcMar>
              <w:top w:w="0" w:type="dxa"/>
              <w:left w:w="0" w:type="dxa"/>
              <w:bottom w:w="0" w:type="dxa"/>
              <w:right w:w="0" w:type="dxa"/>
            </w:tcMar>
            <w:vAlign w:val="center"/>
          </w:tcPr>
          <w:p w:rsidR="00B236FF" w:rsidRDefault="002C74B2">
            <w:pPr>
              <w:spacing w:line="200" w:lineRule="auto"/>
              <w:jc w:val="right"/>
            </w:pPr>
            <w:r>
              <w:rPr>
                <w:color w:val="000000"/>
                <w:sz w:val="20"/>
              </w:rPr>
              <w:t>3.93 </w:t>
            </w:r>
          </w:p>
        </w:tc>
        <w:tc>
          <w:tcPr>
            <w:tcW w:w="100" w:type="dxa"/>
            <w:tcBorders>
              <w:top w:val="nil"/>
              <w:left w:val="nil"/>
              <w:bottom w:val="single" w:sz="8" w:space="0" w:color="3E413D"/>
              <w:right w:val="nil"/>
            </w:tcBorders>
            <w:shd w:val="clear" w:color="auto" w:fill="FFFFFF"/>
            <w:tcMar>
              <w:top w:w="0" w:type="dxa"/>
              <w:left w:w="0" w:type="dxa"/>
              <w:bottom w:w="0" w:type="dxa"/>
              <w:right w:w="15" w:type="dxa"/>
            </w:tcMar>
            <w:vAlign w:val="center"/>
          </w:tcPr>
          <w:p w:rsidR="00B236FF" w:rsidRDefault="00B236FF">
            <w:pPr>
              <w:spacing w:line="200" w:lineRule="auto"/>
            </w:pPr>
          </w:p>
        </w:tc>
      </w:tr>
    </w:tbl>
    <w:p w:rsidR="00A77B3E" w:rsidRDefault="00A77B3E">
      <w:pPr>
        <w:tabs>
          <w:tab w:val="left" w:pos="360"/>
          <w:tab w:val="left" w:pos="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00" w:line="248" w:lineRule="auto"/>
        <w:ind w:left="360" w:hanging="360"/>
        <w:rPr>
          <w:sz w:val="18"/>
        </w:rPr>
      </w:pPr>
    </w:p>
    <w:p w:rsidR="00A77B3E" w:rsidRDefault="002C74B2">
      <w:pPr>
        <w:tabs>
          <w:tab w:val="left" w:pos="360"/>
          <w:tab w:val="left" w:pos="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8" w:lineRule="auto"/>
        <w:ind w:left="360" w:hanging="360"/>
        <w:rPr>
          <w:sz w:val="18"/>
        </w:rPr>
      </w:pPr>
      <w:r>
        <w:rPr>
          <w:sz w:val="18"/>
        </w:rPr>
        <w:t>(1)</w:t>
      </w:r>
      <w:r>
        <w:rPr>
          <w:sz w:val="18"/>
        </w:rPr>
        <w:tab/>
        <w:t>Reflects the Retail Gross Margin attributable to our Retail Natural Gas Segment or Retail Electricity Segment, as applicable. Retail Gross Margin is a non-GAAP financial measure. See “Reconciliation of GAAP to Non-GAAP Measures” section below for a reconciliation of Adjusted EBITDA and Retail Gross Margin to their most directly comparable financial measures presented in accordance with GAAP.</w:t>
      </w:r>
    </w:p>
    <w:p w:rsidR="00A77B3E" w:rsidRDefault="002C74B2">
      <w:pPr>
        <w:tabs>
          <w:tab w:val="left" w:pos="360"/>
          <w:tab w:val="left" w:pos="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8" w:lineRule="auto"/>
        <w:ind w:left="360" w:hanging="360"/>
        <w:rPr>
          <w:sz w:val="18"/>
        </w:rPr>
      </w:pPr>
      <w:r>
        <w:rPr>
          <w:sz w:val="18"/>
        </w:rPr>
        <w:t>(2)</w:t>
      </w:r>
      <w:r>
        <w:rPr>
          <w:sz w:val="18"/>
        </w:rPr>
        <w:tab/>
        <w:t xml:space="preserve">Reflects the Retail Gross Margin for the Retail Natural Gas Segment or Retail Electricity Segment, as applicable, divided by the total volumes in MMBtu or MWh, respectively. </w:t>
      </w:r>
    </w:p>
    <w:p w:rsidR="00A77B3E" w:rsidRDefault="00A77B3E">
      <w:pPr>
        <w:tabs>
          <w:tab w:val="left" w:pos="360"/>
          <w:tab w:val="left" w:pos="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8" w:lineRule="auto"/>
        <w:ind w:left="360" w:hanging="360"/>
        <w:rPr>
          <w:sz w:val="16"/>
        </w:rPr>
      </w:pPr>
    </w:p>
    <w:p w:rsidR="00A77B3E" w:rsidRDefault="00A77B3E">
      <w:pPr>
        <w:tabs>
          <w:tab w:val="left" w:pos="360"/>
          <w:tab w:val="left" w:pos="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8" w:lineRule="auto"/>
        <w:ind w:left="360" w:hanging="360"/>
        <w:rPr>
          <w:sz w:val="16"/>
        </w:rPr>
      </w:pPr>
    </w:p>
    <w:p w:rsidR="00A77B3E" w:rsidRDefault="00A77B3E">
      <w:pPr>
        <w:tabs>
          <w:tab w:val="left" w:pos="360"/>
          <w:tab w:val="left" w:pos="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8" w:lineRule="auto"/>
        <w:ind w:left="360" w:hanging="360"/>
        <w:rPr>
          <w:b/>
          <w:sz w:val="22"/>
        </w:rPr>
      </w:pPr>
    </w:p>
    <w:p w:rsidR="00A77B3E" w:rsidRDefault="00A77B3E">
      <w:pPr>
        <w:spacing w:after="200" w:line="248" w:lineRule="auto"/>
        <w:jc w:val="center"/>
        <w:rPr>
          <w:b/>
          <w:sz w:val="22"/>
        </w:rPr>
      </w:pPr>
    </w:p>
    <w:p w:rsidR="00A77B3E" w:rsidRDefault="002C74B2">
      <w:pPr>
        <w:spacing w:after="200" w:line="248" w:lineRule="auto"/>
        <w:jc w:val="center"/>
        <w:rPr>
          <w:b/>
          <w:sz w:val="22"/>
        </w:rPr>
      </w:pPr>
      <w:r>
        <w:rPr>
          <w:b/>
          <w:sz w:val="22"/>
        </w:rPr>
        <w:lastRenderedPageBreak/>
        <w:t>Reconciliation of GAAP to Non-GAAP Measures</w:t>
      </w:r>
    </w:p>
    <w:p w:rsidR="00A77B3E" w:rsidRDefault="002C74B2">
      <w:pPr>
        <w:spacing w:after="200" w:line="248" w:lineRule="auto"/>
        <w:jc w:val="both"/>
        <w:rPr>
          <w:b/>
          <w:sz w:val="22"/>
        </w:rPr>
      </w:pPr>
      <w:r>
        <w:rPr>
          <w:b/>
          <w:sz w:val="22"/>
        </w:rPr>
        <w:t>Adjusted EBITDA</w:t>
      </w:r>
    </w:p>
    <w:p w:rsidR="00A77B3E" w:rsidRDefault="002C74B2">
      <w:pPr>
        <w:spacing w:line="213" w:lineRule="auto"/>
        <w:jc w:val="both"/>
        <w:rPr>
          <w:sz w:val="22"/>
        </w:rPr>
      </w:pPr>
      <w:r>
        <w:rPr>
          <w:sz w:val="22"/>
        </w:rPr>
        <w:t>We define “Adjusted EBITDA” as EBITDA less (i) customer acquisition costs incurred in the current period, plus or minus (ii) net gain (loss) on derivative instruments, and (iii) net current period cash settlements on derivative instruments, plus (iv) non-cash compensation expense, and (v) other non-cash and non-recurring operating items. EBITDA is defined as net income (loss) before provision for income taxes, interest expense and depreciation and amortization. We deduct all current period customer acquisition costs (representing spending for organic customer acquisitions) in the Adjusted EBITDA calculation because such costs reflect a cash outlay in the period in which they are incurred, even though we capitalize such costs and amortize them over two years. We do not deduct the cost of customer acquisitions through acquisitions of business or portfolios of customers in calculating Adjusted EBITDA. We deduct our net gains (losses) on derivative instruments, excluding current period cash settlements, from the Adjusted EBITDA calculation in order to remove the non-cash impact of net gains and losses on derivative instruments. We also deduct non-cash compensation expense as a result of restricted stock units that are issued under our long-term incentive plan due to the non-cash nature of the expense. Finally, we also adjust from time to time other non-cash or unusual and/or infrequent charges due to either their non-cash nature or their infrequency.</w:t>
      </w:r>
    </w:p>
    <w:p w:rsidR="00A77B3E" w:rsidRDefault="002C74B2">
      <w:pPr>
        <w:spacing w:line="213" w:lineRule="auto"/>
        <w:jc w:val="both"/>
        <w:rPr>
          <w:sz w:val="22"/>
        </w:rPr>
      </w:pPr>
      <w:r>
        <w:rPr>
          <w:sz w:val="22"/>
        </w:rPr>
        <w:t>We believe that the presentation of Adjusted EBITDA provides information useful to investors in assessing our liquidity and financial condition and results of operations and that Adjusted EBITDA is also useful to investors as a financial indicator of our ability to incur and service debt, pay dividends and fund capital expenditures. Adjusted EBITDA is a supplemental financial measure that management and external users of our condensed consolidated financial statements, such as industry analysts, investors, commercial banks and rating agencies, use to assess the following:</w:t>
      </w:r>
    </w:p>
    <w:p w:rsidR="00A77B3E" w:rsidRDefault="002C74B2">
      <w:pPr>
        <w:numPr>
          <w:ilvl w:val="0"/>
          <w:numId w:val="29"/>
        </w:numPr>
        <w:spacing w:line="213" w:lineRule="auto"/>
        <w:jc w:val="both"/>
        <w:rPr>
          <w:rFonts w:ascii="Arial" w:eastAsia="Arial" w:hAnsi="Arial" w:cs="Arial"/>
        </w:rPr>
      </w:pPr>
      <w:r>
        <w:rPr>
          <w:sz w:val="22"/>
        </w:rPr>
        <w:t>our operating performance as compared to other publicly traded companies in the retail energy industry, without regard to financing methods, capital structure or historical cost basis;</w:t>
      </w:r>
    </w:p>
    <w:p w:rsidR="00A77B3E" w:rsidRDefault="002C74B2">
      <w:pPr>
        <w:numPr>
          <w:ilvl w:val="0"/>
          <w:numId w:val="29"/>
        </w:numPr>
        <w:spacing w:line="213" w:lineRule="auto"/>
        <w:jc w:val="both"/>
        <w:rPr>
          <w:rFonts w:ascii="Arial" w:eastAsia="Arial" w:hAnsi="Arial" w:cs="Arial"/>
        </w:rPr>
      </w:pPr>
      <w:r>
        <w:rPr>
          <w:sz w:val="22"/>
        </w:rPr>
        <w:t xml:space="preserve">the ability of our assets to generate earnings sufficient to support our proposed cash dividends; </w:t>
      </w:r>
    </w:p>
    <w:p w:rsidR="00A77B3E" w:rsidRDefault="002C74B2">
      <w:pPr>
        <w:numPr>
          <w:ilvl w:val="0"/>
          <w:numId w:val="29"/>
        </w:numPr>
        <w:spacing w:line="213" w:lineRule="auto"/>
        <w:rPr>
          <w:rFonts w:ascii="Arial" w:eastAsia="Arial" w:hAnsi="Arial" w:cs="Arial"/>
        </w:rPr>
      </w:pPr>
      <w:r>
        <w:rPr>
          <w:sz w:val="22"/>
        </w:rPr>
        <w:t>our ability to fund capital expenditures (including customer acquisition costs) and incur and service debt; and</w:t>
      </w:r>
    </w:p>
    <w:p w:rsidR="00A77B3E" w:rsidRDefault="002C74B2">
      <w:pPr>
        <w:numPr>
          <w:ilvl w:val="0"/>
          <w:numId w:val="29"/>
        </w:numPr>
        <w:spacing w:line="213" w:lineRule="auto"/>
        <w:rPr>
          <w:rFonts w:ascii="Arial" w:eastAsia="Arial" w:hAnsi="Arial" w:cs="Arial"/>
        </w:rPr>
      </w:pPr>
      <w:r>
        <w:rPr>
          <w:sz w:val="22"/>
        </w:rPr>
        <w:t>our compliance with financial debt covenants.</w:t>
      </w:r>
    </w:p>
    <w:p w:rsidR="00A77B3E" w:rsidRDefault="00A77B3E">
      <w:pPr>
        <w:spacing w:after="200" w:line="248" w:lineRule="auto"/>
        <w:jc w:val="both"/>
        <w:rPr>
          <w:sz w:val="22"/>
        </w:rPr>
      </w:pPr>
    </w:p>
    <w:p w:rsidR="00A77B3E" w:rsidRDefault="002C74B2">
      <w:pPr>
        <w:spacing w:after="200" w:line="248" w:lineRule="auto"/>
        <w:jc w:val="both"/>
        <w:rPr>
          <w:b/>
          <w:sz w:val="22"/>
        </w:rPr>
      </w:pPr>
      <w:r>
        <w:rPr>
          <w:b/>
          <w:sz w:val="22"/>
        </w:rPr>
        <w:t>Retail Gross Margin</w:t>
      </w:r>
    </w:p>
    <w:p w:rsidR="00A77B3E" w:rsidRDefault="002C74B2">
      <w:pPr>
        <w:spacing w:after="200" w:line="248" w:lineRule="auto"/>
        <w:jc w:val="both"/>
        <w:rPr>
          <w:sz w:val="22"/>
        </w:rPr>
      </w:pPr>
      <w:r>
        <w:rPr>
          <w:sz w:val="22"/>
        </w:rPr>
        <w:t>We define retail gross margin as operating income (loss) plus (i) depreciation and amortization expenses and (ii) general and administrative expenses, less (iii) net asset optimization revenues (expenses), (iv) net gains (losses) on non-trading derivative instruments, and (v) net current period cash settlements on non-trading derivative instruments. Retail gross margin is included as a supplemental disclosure because it is a primary performance measure used by our management to determine the performance of our retail natural gas and electricity segments. As an indicator of our retail energy business’ operating performance, retail gross margin should not be considered an alternative to, or more meaningful than, operating income (loss), its most directly comparable financial measure calculated and presented in accordance with GAAP.</w:t>
      </w:r>
    </w:p>
    <w:p w:rsidR="00A77B3E" w:rsidRDefault="002C74B2">
      <w:pPr>
        <w:spacing w:after="200" w:line="248" w:lineRule="auto"/>
        <w:jc w:val="both"/>
        <w:rPr>
          <w:sz w:val="22"/>
        </w:rPr>
      </w:pPr>
      <w:r>
        <w:rPr>
          <w:sz w:val="22"/>
        </w:rPr>
        <w:t>We believe retail gross margin provides information useful to investors as an indicator of our retail energy business's operating performance.</w:t>
      </w:r>
    </w:p>
    <w:p w:rsidR="00A77B3E" w:rsidRDefault="002C74B2">
      <w:pPr>
        <w:spacing w:after="200" w:line="248" w:lineRule="auto"/>
        <w:jc w:val="both"/>
        <w:rPr>
          <w:sz w:val="22"/>
        </w:rPr>
      </w:pPr>
      <w:r>
        <w:rPr>
          <w:sz w:val="22"/>
        </w:rPr>
        <w:t xml:space="preserve">The GAAP measures most directly comparable to Adjusted EBITDA are net income (loss) and net cash provided by operating activities. The GAAP measure most directly comparable to Retail Gross Margin is operating income (loss). Our non-GAAP financial measures of Adjusted EBITDA and Retail Gross Margin should not be considered as alternatives to net income (loss), net cash provided by operating activities, or operating income (loss). Adjusted EBITDA and Retail Gross Margin are not presentations made in accordance with GAAP and have important limitations as analytical tools. You should not consider Adjusted EBITDA or Retail Gross Margin in isolation or as a substitute for analysis of our results as reported under GAAP. Because Adjusted EBITDA and Retail Gross Margin exclude some, but not all, items that affect net income (loss) and net cash provided by operating activities, and are defined differently by different companies in our industry, our definition of Adjusted EBITDA and Retail Gross Margin may not be comparable to similarly titled measures of other companies. </w:t>
      </w:r>
    </w:p>
    <w:p w:rsidR="00A77B3E" w:rsidRDefault="002C74B2">
      <w:pPr>
        <w:spacing w:after="200" w:line="248" w:lineRule="auto"/>
        <w:jc w:val="both"/>
        <w:rPr>
          <w:sz w:val="22"/>
        </w:rPr>
      </w:pPr>
      <w:r>
        <w:rPr>
          <w:sz w:val="22"/>
        </w:rPr>
        <w:lastRenderedPageBreak/>
        <w:t xml:space="preserve">Management compensates for the limitations of Adjusted EBITDA and Retail Gross Margin as analytical tools by reviewing the comparable GAAP measures, understanding the differences between the measures and incorporating these data points into management’s decision-making process. </w:t>
      </w:r>
    </w:p>
    <w:p w:rsidR="00A77B3E" w:rsidRDefault="002C74B2">
      <w:pPr>
        <w:spacing w:after="200" w:line="248" w:lineRule="auto"/>
        <w:jc w:val="both"/>
        <w:rPr>
          <w:sz w:val="22"/>
        </w:rPr>
      </w:pPr>
      <w:r>
        <w:rPr>
          <w:sz w:val="22"/>
        </w:rPr>
        <w:t>The following tables present a reconciliation of Adjusted EBITDA to net income (loss) and net cash provided by operating activities for each of the periods indicated.</w:t>
      </w:r>
    </w:p>
    <w:p w:rsidR="00A77B3E" w:rsidRDefault="00A77B3E">
      <w:pPr>
        <w:spacing w:line="248" w:lineRule="auto"/>
        <w:jc w:val="center"/>
        <w:rPr>
          <w:b/>
          <w:sz w:val="18"/>
        </w:rPr>
      </w:pPr>
    </w:p>
    <w:p w:rsidR="00A77B3E" w:rsidRDefault="00A77B3E">
      <w:pPr>
        <w:spacing w:line="248" w:lineRule="auto"/>
        <w:jc w:val="center"/>
        <w:rPr>
          <w:b/>
          <w:sz w:val="18"/>
        </w:rPr>
      </w:pPr>
    </w:p>
    <w:p w:rsidR="00A77B3E" w:rsidRDefault="00A77B3E">
      <w:pPr>
        <w:spacing w:line="248" w:lineRule="auto"/>
        <w:jc w:val="center"/>
        <w:rPr>
          <w:b/>
          <w:sz w:val="18"/>
        </w:rPr>
      </w:pPr>
    </w:p>
    <w:p w:rsidR="00A77B3E" w:rsidRDefault="00A77B3E">
      <w:pPr>
        <w:spacing w:line="248" w:lineRule="auto"/>
        <w:jc w:val="center"/>
        <w:rPr>
          <w:b/>
          <w:sz w:val="18"/>
        </w:rPr>
      </w:pPr>
    </w:p>
    <w:tbl>
      <w:tblPr>
        <w:tblW w:w="10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163"/>
        <w:gridCol w:w="1274"/>
        <w:gridCol w:w="101"/>
        <w:gridCol w:w="198"/>
        <w:gridCol w:w="162"/>
        <w:gridCol w:w="1274"/>
        <w:gridCol w:w="101"/>
        <w:gridCol w:w="289"/>
        <w:gridCol w:w="162"/>
        <w:gridCol w:w="1274"/>
        <w:gridCol w:w="101"/>
        <w:gridCol w:w="114"/>
        <w:gridCol w:w="162"/>
        <w:gridCol w:w="1274"/>
        <w:gridCol w:w="101"/>
      </w:tblGrid>
      <w:tr w:rsidR="00B236FF">
        <w:trPr>
          <w:cantSplit/>
          <w:trHeight w:hRule="exact" w:val="555"/>
          <w:jc w:val="center"/>
        </w:trPr>
        <w:tc>
          <w:tcPr>
            <w:tcW w:w="3525" w:type="dxa"/>
            <w:tcBorders>
              <w:top w:val="nil"/>
              <w:left w:val="nil"/>
              <w:bottom w:val="nil"/>
              <w:right w:val="nil"/>
            </w:tcBorders>
            <w:tcMar>
              <w:top w:w="0" w:type="dxa"/>
              <w:left w:w="53" w:type="dxa"/>
              <w:bottom w:w="0" w:type="dxa"/>
              <w:right w:w="53" w:type="dxa"/>
            </w:tcMar>
            <w:vAlign w:val="bottom"/>
          </w:tcPr>
          <w:p w:rsidR="00B236FF" w:rsidRDefault="002C74B2">
            <w:pPr>
              <w:keepNext/>
              <w:spacing w:before="75" w:after="30" w:line="200" w:lineRule="auto"/>
            </w:pPr>
            <w:r>
              <w:rPr>
                <w:b/>
                <w:color w:val="000000"/>
              </w:rPr>
              <w:t>Reconciliation of Adjusted EBITDA to Net income:</w:t>
            </w:r>
          </w:p>
        </w:tc>
        <w:tc>
          <w:tcPr>
            <w:tcW w:w="1515" w:type="dxa"/>
            <w:gridSpan w:val="3"/>
            <w:tcBorders>
              <w:top w:val="nil"/>
              <w:left w:val="nil"/>
              <w:bottom w:val="nil"/>
              <w:right w:val="nil"/>
            </w:tcBorders>
            <w:tcMar>
              <w:top w:w="0" w:type="dxa"/>
              <w:left w:w="0" w:type="dxa"/>
              <w:bottom w:w="0" w:type="dxa"/>
              <w:right w:w="0" w:type="dxa"/>
            </w:tcMar>
            <w:vAlign w:val="bottom"/>
          </w:tcPr>
          <w:p w:rsidR="00B236FF" w:rsidRDefault="00B236FF">
            <w:pPr>
              <w:keepNext/>
            </w:pPr>
          </w:p>
        </w:tc>
        <w:tc>
          <w:tcPr>
            <w:tcW w:w="195" w:type="dxa"/>
            <w:tcBorders>
              <w:top w:val="nil"/>
              <w:left w:val="nil"/>
              <w:bottom w:val="nil"/>
              <w:right w:val="nil"/>
            </w:tcBorders>
            <w:tcMar>
              <w:top w:w="0" w:type="dxa"/>
              <w:left w:w="0" w:type="dxa"/>
              <w:bottom w:w="0" w:type="dxa"/>
              <w:right w:w="0" w:type="dxa"/>
            </w:tcMar>
            <w:vAlign w:val="bottom"/>
          </w:tcPr>
          <w:p w:rsidR="00B236FF" w:rsidRDefault="00B236FF">
            <w:pPr>
              <w:keepNext/>
            </w:pPr>
          </w:p>
        </w:tc>
        <w:tc>
          <w:tcPr>
            <w:tcW w:w="1515" w:type="dxa"/>
            <w:gridSpan w:val="3"/>
            <w:tcBorders>
              <w:top w:val="nil"/>
              <w:left w:val="nil"/>
              <w:bottom w:val="nil"/>
              <w:right w:val="nil"/>
            </w:tcBorders>
            <w:tcMar>
              <w:top w:w="0" w:type="dxa"/>
              <w:left w:w="0" w:type="dxa"/>
              <w:bottom w:w="0" w:type="dxa"/>
              <w:right w:w="0" w:type="dxa"/>
            </w:tcMar>
            <w:vAlign w:val="bottom"/>
          </w:tcPr>
          <w:p w:rsidR="00B236FF" w:rsidRDefault="00B236FF">
            <w:pPr>
              <w:keepNext/>
            </w:pPr>
          </w:p>
        </w:tc>
        <w:tc>
          <w:tcPr>
            <w:tcW w:w="285" w:type="dxa"/>
            <w:tcBorders>
              <w:top w:val="nil"/>
              <w:left w:val="nil"/>
              <w:bottom w:val="nil"/>
              <w:right w:val="nil"/>
            </w:tcBorders>
            <w:tcMar>
              <w:top w:w="0" w:type="dxa"/>
              <w:left w:w="0" w:type="dxa"/>
              <w:bottom w:w="0" w:type="dxa"/>
              <w:right w:w="0" w:type="dxa"/>
            </w:tcMar>
            <w:vAlign w:val="bottom"/>
          </w:tcPr>
          <w:p w:rsidR="00B236FF" w:rsidRDefault="00B236FF">
            <w:pPr>
              <w:keepNext/>
            </w:pPr>
          </w:p>
        </w:tc>
        <w:tc>
          <w:tcPr>
            <w:tcW w:w="1515" w:type="dxa"/>
            <w:gridSpan w:val="3"/>
            <w:tcBorders>
              <w:top w:val="nil"/>
              <w:left w:val="nil"/>
              <w:bottom w:val="nil"/>
              <w:right w:val="nil"/>
            </w:tcBorders>
            <w:tcMar>
              <w:top w:w="0" w:type="dxa"/>
              <w:left w:w="0" w:type="dxa"/>
              <w:bottom w:w="0" w:type="dxa"/>
              <w:right w:w="0" w:type="dxa"/>
            </w:tcMar>
            <w:vAlign w:val="bottom"/>
          </w:tcPr>
          <w:p w:rsidR="00B236FF" w:rsidRDefault="00B236FF">
            <w:pPr>
              <w:keepNext/>
            </w:pPr>
          </w:p>
        </w:tc>
        <w:tc>
          <w:tcPr>
            <w:tcW w:w="60" w:type="dxa"/>
            <w:tcBorders>
              <w:top w:val="nil"/>
              <w:left w:val="nil"/>
              <w:bottom w:val="nil"/>
              <w:right w:val="nil"/>
            </w:tcBorders>
            <w:tcMar>
              <w:top w:w="0" w:type="dxa"/>
              <w:left w:w="0" w:type="dxa"/>
              <w:bottom w:w="0" w:type="dxa"/>
              <w:right w:w="0" w:type="dxa"/>
            </w:tcMar>
            <w:vAlign w:val="bottom"/>
          </w:tcPr>
          <w:p w:rsidR="00B236FF" w:rsidRDefault="00B236FF">
            <w:pPr>
              <w:keepNext/>
            </w:pPr>
          </w:p>
        </w:tc>
        <w:tc>
          <w:tcPr>
            <w:tcW w:w="1515" w:type="dxa"/>
            <w:gridSpan w:val="3"/>
            <w:tcBorders>
              <w:top w:val="nil"/>
              <w:left w:val="nil"/>
              <w:bottom w:val="nil"/>
              <w:right w:val="nil"/>
            </w:tcBorders>
            <w:tcMar>
              <w:top w:w="0" w:type="dxa"/>
              <w:left w:w="0" w:type="dxa"/>
              <w:bottom w:w="0" w:type="dxa"/>
              <w:right w:w="0" w:type="dxa"/>
            </w:tcMar>
            <w:vAlign w:val="bottom"/>
          </w:tcPr>
          <w:p w:rsidR="00B236FF" w:rsidRDefault="00B236FF">
            <w:pPr>
              <w:keepNext/>
            </w:pPr>
          </w:p>
        </w:tc>
      </w:tr>
      <w:tr w:rsidR="00B236FF">
        <w:trPr>
          <w:cantSplit/>
          <w:trHeight w:hRule="exact" w:val="315"/>
          <w:jc w:val="center"/>
        </w:trPr>
        <w:tc>
          <w:tcPr>
            <w:tcW w:w="352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3225" w:type="dxa"/>
            <w:gridSpan w:val="7"/>
            <w:tcBorders>
              <w:top w:val="nil"/>
              <w:left w:val="nil"/>
              <w:bottom w:val="single" w:sz="8" w:space="0" w:color="000000"/>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jc w:val="center"/>
            </w:pPr>
            <w:r>
              <w:rPr>
                <w:b/>
                <w:color w:val="000000"/>
                <w:sz w:val="20"/>
              </w:rPr>
              <w:t>Three Months Ended September 30,</w:t>
            </w:r>
          </w:p>
        </w:tc>
        <w:tc>
          <w:tcPr>
            <w:tcW w:w="28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jc w:val="center"/>
            </w:pPr>
          </w:p>
        </w:tc>
        <w:tc>
          <w:tcPr>
            <w:tcW w:w="3090" w:type="dxa"/>
            <w:gridSpan w:val="7"/>
            <w:tcBorders>
              <w:top w:val="nil"/>
              <w:left w:val="nil"/>
              <w:bottom w:val="single" w:sz="8" w:space="0" w:color="000000"/>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jc w:val="center"/>
            </w:pPr>
            <w:r>
              <w:rPr>
                <w:b/>
                <w:color w:val="000000"/>
                <w:sz w:val="20"/>
              </w:rPr>
              <w:t>Nine Months Ended September 30,</w:t>
            </w:r>
          </w:p>
        </w:tc>
      </w:tr>
      <w:tr w:rsidR="00B236FF">
        <w:trPr>
          <w:cantSplit/>
          <w:trHeight w:hRule="exact" w:val="315"/>
          <w:jc w:val="center"/>
        </w:trPr>
        <w:tc>
          <w:tcPr>
            <w:tcW w:w="352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i/>
                <w:color w:val="000000"/>
                <w:sz w:val="20"/>
              </w:rPr>
              <w:t>(in thousands)</w:t>
            </w:r>
          </w:p>
        </w:tc>
        <w:tc>
          <w:tcPr>
            <w:tcW w:w="1515" w:type="dxa"/>
            <w:gridSpan w:val="3"/>
            <w:tcBorders>
              <w:top w:val="nil"/>
              <w:left w:val="nil"/>
              <w:bottom w:val="single" w:sz="8" w:space="0" w:color="3E413D"/>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2020</w:t>
            </w:r>
          </w:p>
        </w:tc>
        <w:tc>
          <w:tcPr>
            <w:tcW w:w="195" w:type="dxa"/>
            <w:tcBorders>
              <w:top w:val="single" w:sz="8" w:space="0" w:color="000000"/>
              <w:left w:val="nil"/>
              <w:bottom w:val="single" w:sz="8" w:space="0" w:color="3E413D"/>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jc w:val="center"/>
            </w:pPr>
          </w:p>
        </w:tc>
        <w:tc>
          <w:tcPr>
            <w:tcW w:w="1515" w:type="dxa"/>
            <w:gridSpan w:val="3"/>
            <w:tcBorders>
              <w:top w:val="single" w:sz="8" w:space="0" w:color="000000"/>
              <w:left w:val="nil"/>
              <w:bottom w:val="single" w:sz="8" w:space="0" w:color="3E413D"/>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2019</w:t>
            </w:r>
          </w:p>
        </w:tc>
        <w:tc>
          <w:tcPr>
            <w:tcW w:w="28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jc w:val="center"/>
            </w:pPr>
          </w:p>
        </w:tc>
        <w:tc>
          <w:tcPr>
            <w:tcW w:w="1515" w:type="dxa"/>
            <w:gridSpan w:val="3"/>
            <w:tcBorders>
              <w:top w:val="nil"/>
              <w:left w:val="nil"/>
              <w:bottom w:val="single" w:sz="8" w:space="0" w:color="3E413D"/>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2020</w:t>
            </w:r>
          </w:p>
        </w:tc>
        <w:tc>
          <w:tcPr>
            <w:tcW w:w="60" w:type="dxa"/>
            <w:tcBorders>
              <w:top w:val="single" w:sz="8" w:space="0" w:color="000000"/>
              <w:left w:val="nil"/>
              <w:bottom w:val="single" w:sz="8" w:space="0" w:color="3E413D"/>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jc w:val="center"/>
            </w:pPr>
          </w:p>
        </w:tc>
        <w:tc>
          <w:tcPr>
            <w:tcW w:w="1515" w:type="dxa"/>
            <w:gridSpan w:val="3"/>
            <w:tcBorders>
              <w:top w:val="single" w:sz="8" w:space="0" w:color="000000"/>
              <w:left w:val="nil"/>
              <w:bottom w:val="single" w:sz="8" w:space="0" w:color="3E413D"/>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2019</w:t>
            </w:r>
          </w:p>
        </w:tc>
      </w:tr>
      <w:tr w:rsidR="00B236FF">
        <w:trPr>
          <w:cantSplit/>
          <w:trHeight w:hRule="exact" w:val="315"/>
          <w:jc w:val="center"/>
        </w:trPr>
        <w:tc>
          <w:tcPr>
            <w:tcW w:w="352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2C74B2">
            <w:pPr>
              <w:keepNext/>
              <w:spacing w:before="75" w:after="30" w:line="200" w:lineRule="auto"/>
            </w:pPr>
            <w:r>
              <w:rPr>
                <w:color w:val="000000"/>
                <w:sz w:val="20"/>
              </w:rPr>
              <w:t>Net income</w:t>
            </w:r>
          </w:p>
        </w:tc>
        <w:tc>
          <w:tcPr>
            <w:tcW w:w="160" w:type="dxa"/>
            <w:tcBorders>
              <w:top w:val="single" w:sz="8" w:space="0" w:color="3E413D"/>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255" w:type="dxa"/>
            <w:tcBorders>
              <w:top w:val="single" w:sz="8" w:space="0" w:color="3E413D"/>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22,606 </w:t>
            </w:r>
          </w:p>
        </w:tc>
        <w:tc>
          <w:tcPr>
            <w:tcW w:w="100" w:type="dxa"/>
            <w:tcBorders>
              <w:top w:val="single" w:sz="8" w:space="0" w:color="3E413D"/>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single" w:sz="8" w:space="0" w:color="3E413D"/>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c>
          <w:tcPr>
            <w:tcW w:w="160" w:type="dxa"/>
            <w:tcBorders>
              <w:top w:val="single" w:sz="8" w:space="0" w:color="3E413D"/>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255" w:type="dxa"/>
            <w:tcBorders>
              <w:top w:val="single" w:sz="8" w:space="0" w:color="3E413D"/>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37,676 </w:t>
            </w:r>
          </w:p>
        </w:tc>
        <w:tc>
          <w:tcPr>
            <w:tcW w:w="100" w:type="dxa"/>
            <w:tcBorders>
              <w:top w:val="single" w:sz="8" w:space="0" w:color="3E413D"/>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28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60" w:type="dxa"/>
            <w:tcBorders>
              <w:top w:val="single" w:sz="8" w:space="0" w:color="3E413D"/>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255" w:type="dxa"/>
            <w:tcBorders>
              <w:top w:val="single" w:sz="8" w:space="0" w:color="3E413D"/>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59,451 </w:t>
            </w:r>
          </w:p>
        </w:tc>
        <w:tc>
          <w:tcPr>
            <w:tcW w:w="100" w:type="dxa"/>
            <w:tcBorders>
              <w:top w:val="single" w:sz="8" w:space="0" w:color="3E413D"/>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60" w:type="dxa"/>
            <w:tcBorders>
              <w:top w:val="single" w:sz="8" w:space="0" w:color="3E413D"/>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c>
          <w:tcPr>
            <w:tcW w:w="160" w:type="dxa"/>
            <w:tcBorders>
              <w:top w:val="single" w:sz="8" w:space="0" w:color="3E413D"/>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255" w:type="dxa"/>
            <w:tcBorders>
              <w:top w:val="single" w:sz="8" w:space="0" w:color="3E413D"/>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14,937 </w:t>
            </w:r>
          </w:p>
        </w:tc>
        <w:tc>
          <w:tcPr>
            <w:tcW w:w="100" w:type="dxa"/>
            <w:tcBorders>
              <w:top w:val="single" w:sz="8" w:space="0" w:color="3E413D"/>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315"/>
          <w:jc w:val="center"/>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Depreciation and amortization</w:t>
            </w: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7,278 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9,496 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24,084 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31,963 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15"/>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color w:val="000000"/>
                <w:sz w:val="20"/>
              </w:rPr>
              <w:t>Interest expense</w:t>
            </w: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1,487 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2,174 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4,233 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6,392 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15"/>
          <w:jc w:val="center"/>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Income tax expense</w:t>
            </w: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5,141 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6,567 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12,739 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3,022 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15"/>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color w:val="000000"/>
                <w:sz w:val="20"/>
              </w:rPr>
              <w:t>EBITDA</w:t>
            </w:r>
          </w:p>
        </w:tc>
        <w:tc>
          <w:tcPr>
            <w:tcW w:w="141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20"/>
              </w:rPr>
              <w:t>36,512 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20"/>
              </w:rPr>
              <w:t>55,913 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28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20"/>
              </w:rPr>
              <w:t>100,507 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jc w:val="right"/>
            </w:pPr>
            <w:r>
              <w:rPr>
                <w:color w:val="000000"/>
                <w:sz w:val="20"/>
              </w:rPr>
              <w:t>56,314 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315"/>
          <w:jc w:val="center"/>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Less:</w:t>
            </w:r>
          </w:p>
        </w:tc>
        <w:tc>
          <w:tcPr>
            <w:tcW w:w="1515" w:type="dxa"/>
            <w:gridSpan w:val="3"/>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r>
      <w:tr w:rsidR="00B236FF">
        <w:trPr>
          <w:cantSplit/>
          <w:trHeight w:hRule="exact" w:val="405"/>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color w:val="000000"/>
                <w:sz w:val="20"/>
              </w:rPr>
              <w:t>Net, gain (loss) on derivative instruments</w:t>
            </w: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2,451 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12,307 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(14,015)</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(42,690)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495"/>
          <w:jc w:val="center"/>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Net cash settlements on derivative instruments</w:t>
            </w: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6,425 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12,721 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32,997 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33,515 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00"/>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color w:val="000000"/>
                <w:sz w:val="20"/>
              </w:rPr>
              <w:t>Customer acquisition costs</w:t>
            </w: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207 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4,423 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1,762 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13,608 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15"/>
          <w:jc w:val="center"/>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Plus:</w:t>
            </w:r>
          </w:p>
        </w:tc>
        <w:tc>
          <w:tcPr>
            <w:tcW w:w="1515" w:type="dxa"/>
            <w:gridSpan w:val="3"/>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r>
      <w:tr w:rsidR="00B236FF">
        <w:trPr>
          <w:cantSplit/>
          <w:trHeight w:hRule="exact" w:val="315"/>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color w:val="000000"/>
                <w:sz w:val="20"/>
              </w:rPr>
              <w:t>Non-cash compensation expense</w:t>
            </w: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320 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1,622 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2,134 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4,054 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495"/>
          <w:jc w:val="center"/>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Non-recurring legal and regulatory settlements</w:t>
            </w:r>
          </w:p>
        </w:tc>
        <w:tc>
          <w:tcPr>
            <w:tcW w:w="1415" w:type="dxa"/>
            <w:gridSpan w:val="2"/>
            <w:tcBorders>
              <w:top w:val="nil"/>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 </w:t>
            </w:r>
          </w:p>
        </w:tc>
        <w:tc>
          <w:tcPr>
            <w:tcW w:w="100" w:type="dxa"/>
            <w:tcBorders>
              <w:top w:val="nil"/>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double" w:sz="8" w:space="0" w:color="000000"/>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 </w:t>
            </w:r>
          </w:p>
        </w:tc>
        <w:tc>
          <w:tcPr>
            <w:tcW w:w="100" w:type="dxa"/>
            <w:tcBorders>
              <w:top w:val="nil"/>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 </w:t>
            </w:r>
          </w:p>
        </w:tc>
        <w:tc>
          <w:tcPr>
            <w:tcW w:w="100" w:type="dxa"/>
            <w:tcBorders>
              <w:top w:val="nil"/>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60"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415" w:type="dxa"/>
            <w:gridSpan w:val="2"/>
            <w:tcBorders>
              <w:top w:val="nil"/>
              <w:left w:val="nil"/>
              <w:bottom w:val="doub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10,807 </w:t>
            </w:r>
          </w:p>
        </w:tc>
        <w:tc>
          <w:tcPr>
            <w:tcW w:w="100" w:type="dxa"/>
            <w:tcBorders>
              <w:top w:val="nil"/>
              <w:left w:val="nil"/>
              <w:bottom w:val="doub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15"/>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spacing w:line="200" w:lineRule="auto"/>
            </w:pPr>
            <w:r>
              <w:rPr>
                <w:b/>
                <w:color w:val="000000"/>
                <w:sz w:val="20"/>
              </w:rPr>
              <w:t>Adjusted EBITDA</w:t>
            </w:r>
          </w:p>
        </w:tc>
        <w:tc>
          <w:tcPr>
            <w:tcW w:w="160" w:type="dxa"/>
            <w:tcBorders>
              <w:top w:val="double" w:sz="8" w:space="0" w:color="000000"/>
              <w:left w:val="nil"/>
              <w:bottom w:val="double" w:sz="8" w:space="0" w:color="000000"/>
              <w:right w:val="nil"/>
            </w:tcBorders>
            <w:shd w:val="clear" w:color="auto" w:fill="FFFFFF"/>
            <w:tcMar>
              <w:top w:w="0" w:type="dxa"/>
              <w:left w:w="53" w:type="dxa"/>
              <w:bottom w:w="0" w:type="dxa"/>
              <w:right w:w="0" w:type="dxa"/>
            </w:tcMar>
            <w:vAlign w:val="bottom"/>
          </w:tcPr>
          <w:p w:rsidR="00B236FF" w:rsidRDefault="002C74B2">
            <w:pPr>
              <w:spacing w:before="55" w:after="30" w:line="200" w:lineRule="auto"/>
            </w:pPr>
            <w:r>
              <w:rPr>
                <w:color w:val="000000"/>
                <w:sz w:val="20"/>
              </w:rPr>
              <w:t>$</w:t>
            </w:r>
          </w:p>
        </w:tc>
        <w:tc>
          <w:tcPr>
            <w:tcW w:w="1255" w:type="dxa"/>
            <w:tcBorders>
              <w:top w:val="double" w:sz="8" w:space="0" w:color="000000"/>
              <w:left w:val="nil"/>
              <w:bottom w:val="double" w:sz="8" w:space="0" w:color="000000"/>
              <w:right w:val="nil"/>
            </w:tcBorders>
            <w:shd w:val="clear" w:color="auto" w:fill="FFFFFF"/>
            <w:tcMar>
              <w:top w:w="0" w:type="dxa"/>
              <w:left w:w="0" w:type="dxa"/>
              <w:bottom w:w="0" w:type="dxa"/>
              <w:right w:w="0" w:type="dxa"/>
            </w:tcMar>
            <w:vAlign w:val="bottom"/>
          </w:tcPr>
          <w:p w:rsidR="00B236FF" w:rsidRDefault="002C74B2">
            <w:pPr>
              <w:spacing w:before="55" w:after="30" w:line="200" w:lineRule="auto"/>
              <w:jc w:val="right"/>
            </w:pPr>
            <w:r>
              <w:rPr>
                <w:color w:val="000000"/>
                <w:sz w:val="20"/>
              </w:rPr>
              <w:t>27,749 </w:t>
            </w:r>
          </w:p>
        </w:tc>
        <w:tc>
          <w:tcPr>
            <w:tcW w:w="100" w:type="dxa"/>
            <w:tcBorders>
              <w:top w:val="double" w:sz="8" w:space="0" w:color="000000"/>
              <w:left w:val="nil"/>
              <w:bottom w:val="double" w:sz="8" w:space="0" w:color="000000"/>
              <w:right w:val="nil"/>
            </w:tcBorders>
            <w:shd w:val="clear" w:color="auto" w:fill="FFFFFF"/>
            <w:tcMar>
              <w:top w:w="0" w:type="dxa"/>
              <w:left w:w="0" w:type="dxa"/>
              <w:bottom w:w="0" w:type="dxa"/>
              <w:right w:w="15" w:type="dxa"/>
            </w:tcMar>
            <w:vAlign w:val="bottom"/>
          </w:tcPr>
          <w:p w:rsidR="00B236FF" w:rsidRDefault="00B236FF">
            <w:pPr>
              <w:spacing w:before="55" w:after="30" w:line="200" w:lineRule="auto"/>
            </w:pPr>
          </w:p>
        </w:tc>
        <w:tc>
          <w:tcPr>
            <w:tcW w:w="195" w:type="dxa"/>
            <w:tcBorders>
              <w:top w:val="double" w:sz="8" w:space="0" w:color="000000"/>
              <w:left w:val="nil"/>
              <w:bottom w:val="double" w:sz="8" w:space="0" w:color="000000"/>
              <w:right w:val="nil"/>
            </w:tcBorders>
            <w:shd w:val="clear" w:color="auto" w:fill="FFFFFF"/>
            <w:tcMar>
              <w:top w:w="0" w:type="dxa"/>
              <w:left w:w="53" w:type="dxa"/>
              <w:bottom w:w="0" w:type="dxa"/>
              <w:right w:w="15" w:type="dxa"/>
            </w:tcMar>
            <w:vAlign w:val="bottom"/>
          </w:tcPr>
          <w:p w:rsidR="00B236FF" w:rsidRDefault="00B236FF">
            <w:pPr>
              <w:spacing w:before="55" w:after="30" w:line="200" w:lineRule="auto"/>
              <w:jc w:val="right"/>
            </w:pPr>
          </w:p>
        </w:tc>
        <w:tc>
          <w:tcPr>
            <w:tcW w:w="160" w:type="dxa"/>
            <w:tcBorders>
              <w:top w:val="double" w:sz="8" w:space="0" w:color="000000"/>
              <w:left w:val="nil"/>
              <w:bottom w:val="double" w:sz="8" w:space="0" w:color="000000"/>
              <w:right w:val="nil"/>
            </w:tcBorders>
            <w:shd w:val="clear" w:color="auto" w:fill="FFFFFF"/>
            <w:tcMar>
              <w:top w:w="0" w:type="dxa"/>
              <w:left w:w="53" w:type="dxa"/>
              <w:bottom w:w="0" w:type="dxa"/>
              <w:right w:w="0" w:type="dxa"/>
            </w:tcMar>
            <w:vAlign w:val="bottom"/>
          </w:tcPr>
          <w:p w:rsidR="00B236FF" w:rsidRDefault="002C74B2">
            <w:pPr>
              <w:spacing w:before="55" w:after="30" w:line="200" w:lineRule="auto"/>
            </w:pPr>
            <w:r>
              <w:rPr>
                <w:color w:val="000000"/>
                <w:sz w:val="20"/>
              </w:rPr>
              <w:t>$</w:t>
            </w:r>
          </w:p>
        </w:tc>
        <w:tc>
          <w:tcPr>
            <w:tcW w:w="1255" w:type="dxa"/>
            <w:tcBorders>
              <w:top w:val="double" w:sz="8" w:space="0" w:color="000000"/>
              <w:left w:val="nil"/>
              <w:bottom w:val="double" w:sz="8" w:space="0" w:color="000000"/>
              <w:right w:val="nil"/>
            </w:tcBorders>
            <w:shd w:val="clear" w:color="auto" w:fill="FFFFFF"/>
            <w:tcMar>
              <w:top w:w="0" w:type="dxa"/>
              <w:left w:w="0" w:type="dxa"/>
              <w:bottom w:w="0" w:type="dxa"/>
              <w:right w:w="0" w:type="dxa"/>
            </w:tcMar>
            <w:vAlign w:val="bottom"/>
          </w:tcPr>
          <w:p w:rsidR="00B236FF" w:rsidRDefault="002C74B2">
            <w:pPr>
              <w:spacing w:before="55" w:after="30" w:line="200" w:lineRule="auto"/>
              <w:jc w:val="right"/>
            </w:pPr>
            <w:r>
              <w:rPr>
                <w:color w:val="000000"/>
                <w:sz w:val="20"/>
              </w:rPr>
              <w:t>28,084 </w:t>
            </w:r>
          </w:p>
        </w:tc>
        <w:tc>
          <w:tcPr>
            <w:tcW w:w="100" w:type="dxa"/>
            <w:tcBorders>
              <w:top w:val="double" w:sz="8" w:space="0" w:color="000000"/>
              <w:left w:val="nil"/>
              <w:bottom w:val="double" w:sz="8" w:space="0" w:color="000000"/>
              <w:right w:val="nil"/>
            </w:tcBorders>
            <w:shd w:val="clear" w:color="auto" w:fill="FFFFFF"/>
            <w:tcMar>
              <w:top w:w="0" w:type="dxa"/>
              <w:left w:w="0" w:type="dxa"/>
              <w:bottom w:w="0" w:type="dxa"/>
              <w:right w:w="15" w:type="dxa"/>
            </w:tcMar>
            <w:vAlign w:val="bottom"/>
          </w:tcPr>
          <w:p w:rsidR="00B236FF" w:rsidRDefault="00B236FF">
            <w:pPr>
              <w:spacing w:before="55" w:after="30" w:line="200" w:lineRule="auto"/>
            </w:pPr>
          </w:p>
        </w:tc>
        <w:tc>
          <w:tcPr>
            <w:tcW w:w="28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spacing w:before="75" w:after="30" w:line="200" w:lineRule="auto"/>
            </w:pPr>
          </w:p>
        </w:tc>
        <w:tc>
          <w:tcPr>
            <w:tcW w:w="160" w:type="dxa"/>
            <w:tcBorders>
              <w:top w:val="double" w:sz="8" w:space="0" w:color="000000"/>
              <w:left w:val="nil"/>
              <w:bottom w:val="double" w:sz="8" w:space="0" w:color="000000"/>
              <w:right w:val="nil"/>
            </w:tcBorders>
            <w:shd w:val="clear" w:color="auto" w:fill="FFFFFF"/>
            <w:tcMar>
              <w:top w:w="0" w:type="dxa"/>
              <w:left w:w="53" w:type="dxa"/>
              <w:bottom w:w="0" w:type="dxa"/>
              <w:right w:w="0" w:type="dxa"/>
            </w:tcMar>
            <w:vAlign w:val="bottom"/>
          </w:tcPr>
          <w:p w:rsidR="00B236FF" w:rsidRDefault="002C74B2">
            <w:pPr>
              <w:spacing w:before="55" w:after="30" w:line="200" w:lineRule="auto"/>
            </w:pPr>
            <w:r>
              <w:rPr>
                <w:color w:val="000000"/>
                <w:sz w:val="20"/>
              </w:rPr>
              <w:t>$</w:t>
            </w:r>
          </w:p>
        </w:tc>
        <w:tc>
          <w:tcPr>
            <w:tcW w:w="1255" w:type="dxa"/>
            <w:tcBorders>
              <w:top w:val="double" w:sz="8" w:space="0" w:color="000000"/>
              <w:left w:val="nil"/>
              <w:bottom w:val="double" w:sz="8" w:space="0" w:color="000000"/>
              <w:right w:val="nil"/>
            </w:tcBorders>
            <w:shd w:val="clear" w:color="auto" w:fill="FFFFFF"/>
            <w:tcMar>
              <w:top w:w="0" w:type="dxa"/>
              <w:left w:w="0" w:type="dxa"/>
              <w:bottom w:w="0" w:type="dxa"/>
              <w:right w:w="0" w:type="dxa"/>
            </w:tcMar>
            <w:vAlign w:val="bottom"/>
          </w:tcPr>
          <w:p w:rsidR="00B236FF" w:rsidRDefault="002C74B2">
            <w:pPr>
              <w:spacing w:before="55" w:after="30" w:line="200" w:lineRule="auto"/>
              <w:jc w:val="right"/>
            </w:pPr>
            <w:r>
              <w:rPr>
                <w:color w:val="000000"/>
                <w:sz w:val="20"/>
              </w:rPr>
              <w:t>81,897 </w:t>
            </w:r>
          </w:p>
        </w:tc>
        <w:tc>
          <w:tcPr>
            <w:tcW w:w="100" w:type="dxa"/>
            <w:tcBorders>
              <w:top w:val="double" w:sz="8" w:space="0" w:color="000000"/>
              <w:left w:val="nil"/>
              <w:bottom w:val="double" w:sz="8" w:space="0" w:color="000000"/>
              <w:right w:val="nil"/>
            </w:tcBorders>
            <w:shd w:val="clear" w:color="auto" w:fill="FFFFFF"/>
            <w:tcMar>
              <w:top w:w="0" w:type="dxa"/>
              <w:left w:w="0" w:type="dxa"/>
              <w:bottom w:w="0" w:type="dxa"/>
              <w:right w:w="15" w:type="dxa"/>
            </w:tcMar>
            <w:vAlign w:val="bottom"/>
          </w:tcPr>
          <w:p w:rsidR="00B236FF" w:rsidRDefault="00B236FF">
            <w:pPr>
              <w:spacing w:before="55" w:after="30" w:line="200" w:lineRule="auto"/>
            </w:pPr>
          </w:p>
        </w:tc>
        <w:tc>
          <w:tcPr>
            <w:tcW w:w="60"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spacing w:before="75" w:after="30" w:line="200" w:lineRule="auto"/>
            </w:pPr>
          </w:p>
        </w:tc>
        <w:tc>
          <w:tcPr>
            <w:tcW w:w="160" w:type="dxa"/>
            <w:tcBorders>
              <w:top w:val="double" w:sz="8" w:space="0" w:color="000000"/>
              <w:left w:val="nil"/>
              <w:bottom w:val="double" w:sz="8" w:space="0" w:color="000000"/>
              <w:right w:val="nil"/>
            </w:tcBorders>
            <w:shd w:val="clear" w:color="auto" w:fill="FFFFFF"/>
            <w:tcMar>
              <w:top w:w="0" w:type="dxa"/>
              <w:left w:w="53" w:type="dxa"/>
              <w:bottom w:w="0" w:type="dxa"/>
              <w:right w:w="0" w:type="dxa"/>
            </w:tcMar>
            <w:vAlign w:val="bottom"/>
          </w:tcPr>
          <w:p w:rsidR="00B236FF" w:rsidRDefault="002C74B2">
            <w:pPr>
              <w:spacing w:before="55" w:after="30" w:line="200" w:lineRule="auto"/>
            </w:pPr>
            <w:r>
              <w:rPr>
                <w:color w:val="000000"/>
                <w:sz w:val="20"/>
              </w:rPr>
              <w:t>$</w:t>
            </w:r>
          </w:p>
        </w:tc>
        <w:tc>
          <w:tcPr>
            <w:tcW w:w="1255" w:type="dxa"/>
            <w:tcBorders>
              <w:top w:val="double" w:sz="8" w:space="0" w:color="000000"/>
              <w:left w:val="nil"/>
              <w:bottom w:val="double" w:sz="8" w:space="0" w:color="000000"/>
              <w:right w:val="nil"/>
            </w:tcBorders>
            <w:shd w:val="clear" w:color="auto" w:fill="FFFFFF"/>
            <w:tcMar>
              <w:top w:w="0" w:type="dxa"/>
              <w:left w:w="0" w:type="dxa"/>
              <w:bottom w:w="0" w:type="dxa"/>
              <w:right w:w="0" w:type="dxa"/>
            </w:tcMar>
            <w:vAlign w:val="bottom"/>
          </w:tcPr>
          <w:p w:rsidR="00B236FF" w:rsidRDefault="002C74B2">
            <w:pPr>
              <w:spacing w:before="55" w:after="30" w:line="200" w:lineRule="auto"/>
              <w:jc w:val="right"/>
            </w:pPr>
            <w:r>
              <w:rPr>
                <w:color w:val="000000"/>
                <w:sz w:val="20"/>
              </w:rPr>
              <w:t>66,742 </w:t>
            </w:r>
          </w:p>
        </w:tc>
        <w:tc>
          <w:tcPr>
            <w:tcW w:w="100" w:type="dxa"/>
            <w:tcBorders>
              <w:top w:val="double" w:sz="8" w:space="0" w:color="000000"/>
              <w:left w:val="nil"/>
              <w:bottom w:val="double" w:sz="8" w:space="0" w:color="000000"/>
              <w:right w:val="nil"/>
            </w:tcBorders>
            <w:shd w:val="clear" w:color="auto" w:fill="FFFFFF"/>
            <w:tcMar>
              <w:top w:w="0" w:type="dxa"/>
              <w:left w:w="0" w:type="dxa"/>
              <w:bottom w:w="0" w:type="dxa"/>
              <w:right w:w="15" w:type="dxa"/>
            </w:tcMar>
            <w:vAlign w:val="bottom"/>
          </w:tcPr>
          <w:p w:rsidR="00B236FF" w:rsidRDefault="00B236FF">
            <w:pPr>
              <w:spacing w:before="55" w:after="30" w:line="200" w:lineRule="auto"/>
            </w:pPr>
          </w:p>
        </w:tc>
      </w:tr>
    </w:tbl>
    <w:p w:rsidR="00A77B3E" w:rsidRDefault="00A77B3E">
      <w:pPr>
        <w:spacing w:before="120" w:line="248" w:lineRule="auto"/>
        <w:jc w:val="center"/>
        <w:rPr>
          <w:b/>
          <w:sz w:val="18"/>
        </w:rPr>
      </w:pP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6"/>
        <w:gridCol w:w="163"/>
        <w:gridCol w:w="1280"/>
        <w:gridCol w:w="102"/>
        <w:gridCol w:w="199"/>
        <w:gridCol w:w="163"/>
        <w:gridCol w:w="1280"/>
        <w:gridCol w:w="102"/>
        <w:gridCol w:w="291"/>
        <w:gridCol w:w="163"/>
        <w:gridCol w:w="1280"/>
        <w:gridCol w:w="102"/>
        <w:gridCol w:w="199"/>
        <w:gridCol w:w="163"/>
        <w:gridCol w:w="1280"/>
        <w:gridCol w:w="102"/>
      </w:tblGrid>
      <w:tr w:rsidR="00B236FF">
        <w:trPr>
          <w:cantSplit/>
          <w:trHeight w:hRule="exact" w:val="735"/>
          <w:jc w:val="center"/>
        </w:trPr>
        <w:tc>
          <w:tcPr>
            <w:tcW w:w="3525" w:type="dxa"/>
            <w:tcBorders>
              <w:top w:val="nil"/>
              <w:left w:val="nil"/>
              <w:bottom w:val="nil"/>
              <w:right w:val="nil"/>
            </w:tcBorders>
            <w:tcMar>
              <w:top w:w="0" w:type="dxa"/>
              <w:left w:w="53" w:type="dxa"/>
              <w:bottom w:w="0" w:type="dxa"/>
              <w:right w:w="53" w:type="dxa"/>
            </w:tcMar>
            <w:vAlign w:val="bottom"/>
          </w:tcPr>
          <w:p w:rsidR="00B236FF" w:rsidRDefault="002C74B2">
            <w:pPr>
              <w:keepNext/>
              <w:spacing w:before="75" w:after="30" w:line="200" w:lineRule="auto"/>
            </w:pPr>
            <w:r>
              <w:rPr>
                <w:b/>
                <w:color w:val="000000"/>
              </w:rPr>
              <w:lastRenderedPageBreak/>
              <w:t>Reconciliation of Adjusted EBITDA to net cash provided by operating activities:</w:t>
            </w:r>
          </w:p>
        </w:tc>
        <w:tc>
          <w:tcPr>
            <w:tcW w:w="1515" w:type="dxa"/>
            <w:gridSpan w:val="3"/>
            <w:tcBorders>
              <w:top w:val="nil"/>
              <w:left w:val="nil"/>
              <w:bottom w:val="nil"/>
              <w:right w:val="nil"/>
            </w:tcBorders>
            <w:tcMar>
              <w:top w:w="0" w:type="dxa"/>
              <w:left w:w="0" w:type="dxa"/>
              <w:bottom w:w="0" w:type="dxa"/>
              <w:right w:w="0" w:type="dxa"/>
            </w:tcMar>
            <w:vAlign w:val="bottom"/>
          </w:tcPr>
          <w:p w:rsidR="00B236FF" w:rsidRDefault="00B236FF">
            <w:pPr>
              <w:keepNext/>
            </w:pPr>
          </w:p>
        </w:tc>
        <w:tc>
          <w:tcPr>
            <w:tcW w:w="195" w:type="dxa"/>
            <w:tcBorders>
              <w:top w:val="nil"/>
              <w:left w:val="nil"/>
              <w:bottom w:val="nil"/>
              <w:right w:val="nil"/>
            </w:tcBorders>
            <w:tcMar>
              <w:top w:w="0" w:type="dxa"/>
              <w:left w:w="0" w:type="dxa"/>
              <w:bottom w:w="0" w:type="dxa"/>
              <w:right w:w="0" w:type="dxa"/>
            </w:tcMar>
            <w:vAlign w:val="bottom"/>
          </w:tcPr>
          <w:p w:rsidR="00B236FF" w:rsidRDefault="00B236FF">
            <w:pPr>
              <w:keepNext/>
            </w:pPr>
          </w:p>
        </w:tc>
        <w:tc>
          <w:tcPr>
            <w:tcW w:w="1515" w:type="dxa"/>
            <w:gridSpan w:val="3"/>
            <w:tcBorders>
              <w:top w:val="nil"/>
              <w:left w:val="nil"/>
              <w:bottom w:val="nil"/>
              <w:right w:val="nil"/>
            </w:tcBorders>
            <w:tcMar>
              <w:top w:w="0" w:type="dxa"/>
              <w:left w:w="0" w:type="dxa"/>
              <w:bottom w:w="0" w:type="dxa"/>
              <w:right w:w="0" w:type="dxa"/>
            </w:tcMar>
            <w:vAlign w:val="bottom"/>
          </w:tcPr>
          <w:p w:rsidR="00B236FF" w:rsidRDefault="00B236FF">
            <w:pPr>
              <w:keepNext/>
            </w:pPr>
          </w:p>
        </w:tc>
        <w:tc>
          <w:tcPr>
            <w:tcW w:w="285" w:type="dxa"/>
            <w:tcBorders>
              <w:top w:val="nil"/>
              <w:left w:val="nil"/>
              <w:bottom w:val="nil"/>
              <w:right w:val="nil"/>
            </w:tcBorders>
            <w:tcMar>
              <w:top w:w="0" w:type="dxa"/>
              <w:left w:w="0" w:type="dxa"/>
              <w:bottom w:w="0" w:type="dxa"/>
              <w:right w:w="0" w:type="dxa"/>
            </w:tcMar>
            <w:vAlign w:val="bottom"/>
          </w:tcPr>
          <w:p w:rsidR="00B236FF" w:rsidRDefault="00B236FF">
            <w:pPr>
              <w:keepNext/>
            </w:pPr>
          </w:p>
        </w:tc>
        <w:tc>
          <w:tcPr>
            <w:tcW w:w="1515" w:type="dxa"/>
            <w:gridSpan w:val="3"/>
            <w:tcBorders>
              <w:top w:val="nil"/>
              <w:left w:val="nil"/>
              <w:bottom w:val="nil"/>
              <w:right w:val="nil"/>
            </w:tcBorders>
            <w:tcMar>
              <w:top w:w="0" w:type="dxa"/>
              <w:left w:w="0" w:type="dxa"/>
              <w:bottom w:w="0" w:type="dxa"/>
              <w:right w:w="0" w:type="dxa"/>
            </w:tcMar>
            <w:vAlign w:val="bottom"/>
          </w:tcPr>
          <w:p w:rsidR="00B236FF" w:rsidRDefault="00B236FF">
            <w:pPr>
              <w:keepNext/>
            </w:pPr>
          </w:p>
        </w:tc>
        <w:tc>
          <w:tcPr>
            <w:tcW w:w="195" w:type="dxa"/>
            <w:tcBorders>
              <w:top w:val="nil"/>
              <w:left w:val="nil"/>
              <w:bottom w:val="nil"/>
              <w:right w:val="nil"/>
            </w:tcBorders>
            <w:tcMar>
              <w:top w:w="0" w:type="dxa"/>
              <w:left w:w="0" w:type="dxa"/>
              <w:bottom w:w="0" w:type="dxa"/>
              <w:right w:w="0" w:type="dxa"/>
            </w:tcMar>
            <w:vAlign w:val="bottom"/>
          </w:tcPr>
          <w:p w:rsidR="00B236FF" w:rsidRDefault="00B236FF">
            <w:pPr>
              <w:keepNext/>
            </w:pPr>
          </w:p>
        </w:tc>
        <w:tc>
          <w:tcPr>
            <w:tcW w:w="1515" w:type="dxa"/>
            <w:gridSpan w:val="3"/>
            <w:tcBorders>
              <w:top w:val="nil"/>
              <w:left w:val="nil"/>
              <w:bottom w:val="nil"/>
              <w:right w:val="nil"/>
            </w:tcBorders>
            <w:tcMar>
              <w:top w:w="0" w:type="dxa"/>
              <w:left w:w="0" w:type="dxa"/>
              <w:bottom w:w="0" w:type="dxa"/>
              <w:right w:w="0" w:type="dxa"/>
            </w:tcMar>
            <w:vAlign w:val="bottom"/>
          </w:tcPr>
          <w:p w:rsidR="00B236FF" w:rsidRDefault="00B236FF">
            <w:pPr>
              <w:keepNext/>
            </w:pPr>
          </w:p>
        </w:tc>
      </w:tr>
      <w:tr w:rsidR="00B236FF">
        <w:trPr>
          <w:cantSplit/>
          <w:trHeight w:hRule="exact" w:val="315"/>
          <w:jc w:val="center"/>
        </w:trPr>
        <w:tc>
          <w:tcPr>
            <w:tcW w:w="3525" w:type="dxa"/>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pPr>
          </w:p>
        </w:tc>
        <w:tc>
          <w:tcPr>
            <w:tcW w:w="3225" w:type="dxa"/>
            <w:gridSpan w:val="7"/>
            <w:tcBorders>
              <w:top w:val="nil"/>
              <w:left w:val="nil"/>
              <w:bottom w:val="single" w:sz="8" w:space="0" w:color="000000"/>
              <w:right w:val="nil"/>
            </w:tcBorders>
            <w:tcMar>
              <w:top w:w="0" w:type="dxa"/>
              <w:left w:w="53" w:type="dxa"/>
              <w:bottom w:w="0" w:type="dxa"/>
              <w:right w:w="53" w:type="dxa"/>
            </w:tcMar>
            <w:vAlign w:val="bottom"/>
          </w:tcPr>
          <w:p w:rsidR="00B236FF" w:rsidRDefault="002C74B2">
            <w:pPr>
              <w:keepNext/>
              <w:spacing w:before="75" w:after="30" w:line="200" w:lineRule="auto"/>
              <w:jc w:val="center"/>
            </w:pPr>
            <w:r>
              <w:rPr>
                <w:b/>
                <w:color w:val="000000"/>
                <w:sz w:val="20"/>
              </w:rPr>
              <w:t>Three Months Ended September 30,</w:t>
            </w:r>
          </w:p>
        </w:tc>
        <w:tc>
          <w:tcPr>
            <w:tcW w:w="285" w:type="dxa"/>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jc w:val="center"/>
            </w:pPr>
          </w:p>
        </w:tc>
        <w:tc>
          <w:tcPr>
            <w:tcW w:w="3225" w:type="dxa"/>
            <w:gridSpan w:val="7"/>
            <w:tcBorders>
              <w:top w:val="nil"/>
              <w:left w:val="nil"/>
              <w:bottom w:val="single" w:sz="8" w:space="0" w:color="000000"/>
              <w:right w:val="nil"/>
            </w:tcBorders>
            <w:tcMar>
              <w:top w:w="0" w:type="dxa"/>
              <w:left w:w="53" w:type="dxa"/>
              <w:bottom w:w="0" w:type="dxa"/>
              <w:right w:w="53" w:type="dxa"/>
            </w:tcMar>
            <w:vAlign w:val="bottom"/>
          </w:tcPr>
          <w:p w:rsidR="00B236FF" w:rsidRDefault="002C74B2">
            <w:pPr>
              <w:keepNext/>
              <w:spacing w:before="75" w:after="30" w:line="200" w:lineRule="auto"/>
              <w:jc w:val="center"/>
            </w:pPr>
            <w:r>
              <w:rPr>
                <w:b/>
                <w:color w:val="000000"/>
                <w:sz w:val="20"/>
              </w:rPr>
              <w:t>Nine Months Ended September 30,</w:t>
            </w:r>
          </w:p>
        </w:tc>
      </w:tr>
      <w:tr w:rsidR="00B236FF">
        <w:trPr>
          <w:cantSplit/>
          <w:trHeight w:hRule="exact" w:val="315"/>
          <w:jc w:val="center"/>
        </w:trPr>
        <w:tc>
          <w:tcPr>
            <w:tcW w:w="352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i/>
                <w:color w:val="000000"/>
                <w:sz w:val="20"/>
              </w:rPr>
              <w:t>(in thousands)</w:t>
            </w:r>
          </w:p>
        </w:tc>
        <w:tc>
          <w:tcPr>
            <w:tcW w:w="1515" w:type="dxa"/>
            <w:gridSpan w:val="3"/>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2020</w:t>
            </w:r>
          </w:p>
        </w:tc>
        <w:tc>
          <w:tcPr>
            <w:tcW w:w="19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jc w:val="center"/>
            </w:pPr>
          </w:p>
        </w:tc>
        <w:tc>
          <w:tcPr>
            <w:tcW w:w="1515" w:type="dxa"/>
            <w:gridSpan w:val="3"/>
            <w:tcBorders>
              <w:top w:val="single" w:sz="8" w:space="0" w:color="000000"/>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2019</w:t>
            </w:r>
          </w:p>
        </w:tc>
        <w:tc>
          <w:tcPr>
            <w:tcW w:w="28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jc w:val="center"/>
            </w:pPr>
          </w:p>
        </w:tc>
        <w:tc>
          <w:tcPr>
            <w:tcW w:w="1515" w:type="dxa"/>
            <w:gridSpan w:val="3"/>
            <w:tcBorders>
              <w:top w:val="nil"/>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2020</w:t>
            </w:r>
          </w:p>
        </w:tc>
        <w:tc>
          <w:tcPr>
            <w:tcW w:w="19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jc w:val="center"/>
            </w:pPr>
          </w:p>
        </w:tc>
        <w:tc>
          <w:tcPr>
            <w:tcW w:w="1515" w:type="dxa"/>
            <w:gridSpan w:val="3"/>
            <w:tcBorders>
              <w:top w:val="single" w:sz="8" w:space="0" w:color="000000"/>
              <w:left w:val="nil"/>
              <w:bottom w:val="nil"/>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2019</w:t>
            </w:r>
          </w:p>
        </w:tc>
      </w:tr>
      <w:tr w:rsidR="00B236FF">
        <w:trPr>
          <w:cantSplit/>
          <w:trHeight w:hRule="exact" w:val="315"/>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color w:val="000000"/>
                <w:sz w:val="20"/>
              </w:rPr>
              <w:t>Net cash provided by operating activities</w:t>
            </w: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12,165 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26,056 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83,948 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77,085 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285"/>
          <w:jc w:val="center"/>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Amortization of deferred financing costs</w:t>
            </w:r>
          </w:p>
        </w:tc>
        <w:tc>
          <w:tcPr>
            <w:tcW w:w="1415" w:type="dxa"/>
            <w:gridSpan w:val="2"/>
            <w:tcBorders>
              <w:top w:val="nil"/>
              <w:left w:val="nil"/>
              <w:bottom w:val="nil"/>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(476)</w:t>
            </w:r>
          </w:p>
        </w:tc>
        <w:tc>
          <w:tcPr>
            <w:tcW w:w="100" w:type="dxa"/>
            <w:tcBorders>
              <w:top w:val="nil"/>
              <w:left w:val="nil"/>
              <w:bottom w:val="nil"/>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center"/>
          </w:tcPr>
          <w:p w:rsidR="00B236FF" w:rsidRDefault="00B236FF">
            <w:pPr>
              <w:keepNext/>
              <w:spacing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(497)</w:t>
            </w:r>
          </w:p>
        </w:tc>
        <w:tc>
          <w:tcPr>
            <w:tcW w:w="100" w:type="dxa"/>
            <w:tcBorders>
              <w:top w:val="nil"/>
              <w:left w:val="nil"/>
              <w:bottom w:val="nil"/>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c>
          <w:tcPr>
            <w:tcW w:w="285" w:type="dxa"/>
            <w:tcBorders>
              <w:top w:val="nil"/>
              <w:left w:val="nil"/>
              <w:bottom w:val="nil"/>
              <w:right w:val="nil"/>
            </w:tcBorders>
            <w:shd w:val="clear" w:color="auto" w:fill="CCEEFF"/>
            <w:tcMar>
              <w:top w:w="0" w:type="dxa"/>
              <w:left w:w="53" w:type="dxa"/>
              <w:bottom w:w="0" w:type="dxa"/>
              <w:right w:w="15" w:type="dxa"/>
            </w:tcMar>
            <w:vAlign w:val="center"/>
          </w:tcPr>
          <w:p w:rsidR="00B236FF" w:rsidRDefault="00B236FF">
            <w:pPr>
              <w:keepNext/>
              <w:spacing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(966)</w:t>
            </w:r>
          </w:p>
        </w:tc>
        <w:tc>
          <w:tcPr>
            <w:tcW w:w="100" w:type="dxa"/>
            <w:tcBorders>
              <w:top w:val="nil"/>
              <w:left w:val="nil"/>
              <w:bottom w:val="nil"/>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center"/>
          </w:tcPr>
          <w:p w:rsidR="00B236FF" w:rsidRDefault="00B236FF">
            <w:pPr>
              <w:keepNext/>
              <w:spacing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(1,002)</w:t>
            </w:r>
          </w:p>
        </w:tc>
        <w:tc>
          <w:tcPr>
            <w:tcW w:w="100" w:type="dxa"/>
            <w:tcBorders>
              <w:top w:val="nil"/>
              <w:left w:val="nil"/>
              <w:bottom w:val="nil"/>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r>
      <w:tr w:rsidR="00B236FF">
        <w:trPr>
          <w:cantSplit/>
          <w:trHeight w:hRule="exact" w:val="315"/>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color w:val="000000"/>
                <w:sz w:val="20"/>
              </w:rPr>
              <w:t>Bad debt expense</w:t>
            </w:r>
          </w:p>
        </w:tc>
        <w:tc>
          <w:tcPr>
            <w:tcW w:w="1415" w:type="dxa"/>
            <w:gridSpan w:val="2"/>
            <w:tcBorders>
              <w:top w:val="nil"/>
              <w:left w:val="nil"/>
              <w:bottom w:val="nil"/>
              <w:right w:val="nil"/>
            </w:tcBorders>
            <w:shd w:val="clear" w:color="auto" w:fill="FFFFFF"/>
            <w:tcMar>
              <w:top w:w="0" w:type="dxa"/>
              <w:left w:w="53" w:type="dxa"/>
              <w:bottom w:w="0" w:type="dxa"/>
              <w:right w:w="0" w:type="dxa"/>
            </w:tcMar>
            <w:vAlign w:val="center"/>
          </w:tcPr>
          <w:p w:rsidR="00B236FF" w:rsidRDefault="002C74B2">
            <w:pPr>
              <w:keepNext/>
              <w:spacing w:line="200" w:lineRule="auto"/>
              <w:jc w:val="right"/>
            </w:pPr>
            <w:r>
              <w:rPr>
                <w:color w:val="000000"/>
                <w:sz w:val="20"/>
              </w:rPr>
              <w:t>(880)</w:t>
            </w:r>
          </w:p>
        </w:tc>
        <w:tc>
          <w:tcPr>
            <w:tcW w:w="100" w:type="dxa"/>
            <w:tcBorders>
              <w:top w:val="nil"/>
              <w:left w:val="nil"/>
              <w:bottom w:val="nil"/>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center"/>
          </w:tcPr>
          <w:p w:rsidR="00B236FF" w:rsidRDefault="00B236FF">
            <w:pPr>
              <w:keepNext/>
              <w:spacing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center"/>
          </w:tcPr>
          <w:p w:rsidR="00B236FF" w:rsidRDefault="002C74B2">
            <w:pPr>
              <w:keepNext/>
              <w:spacing w:line="200" w:lineRule="auto"/>
              <w:jc w:val="right"/>
            </w:pPr>
            <w:r>
              <w:rPr>
                <w:color w:val="000000"/>
                <w:sz w:val="20"/>
              </w:rPr>
              <w:t>(3,170)</w:t>
            </w:r>
          </w:p>
        </w:tc>
        <w:tc>
          <w:tcPr>
            <w:tcW w:w="100" w:type="dxa"/>
            <w:tcBorders>
              <w:top w:val="nil"/>
              <w:left w:val="nil"/>
              <w:bottom w:val="nil"/>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285" w:type="dxa"/>
            <w:tcBorders>
              <w:top w:val="nil"/>
              <w:left w:val="nil"/>
              <w:bottom w:val="nil"/>
              <w:right w:val="nil"/>
            </w:tcBorders>
            <w:shd w:val="clear" w:color="auto" w:fill="FFFFFF"/>
            <w:tcMar>
              <w:top w:w="0" w:type="dxa"/>
              <w:left w:w="53" w:type="dxa"/>
              <w:bottom w:w="0" w:type="dxa"/>
              <w:right w:w="15" w:type="dxa"/>
            </w:tcMar>
            <w:vAlign w:val="center"/>
          </w:tcPr>
          <w:p w:rsidR="00B236FF" w:rsidRDefault="00B236FF">
            <w:pPr>
              <w:keepNext/>
              <w:spacing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center"/>
          </w:tcPr>
          <w:p w:rsidR="00B236FF" w:rsidRDefault="002C74B2">
            <w:pPr>
              <w:keepNext/>
              <w:spacing w:line="200" w:lineRule="auto"/>
              <w:jc w:val="right"/>
            </w:pPr>
            <w:r>
              <w:rPr>
                <w:color w:val="000000"/>
                <w:sz w:val="20"/>
              </w:rPr>
              <w:t>(4,613)</w:t>
            </w:r>
          </w:p>
        </w:tc>
        <w:tc>
          <w:tcPr>
            <w:tcW w:w="100" w:type="dxa"/>
            <w:tcBorders>
              <w:top w:val="nil"/>
              <w:left w:val="nil"/>
              <w:bottom w:val="nil"/>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center"/>
          </w:tcPr>
          <w:p w:rsidR="00B236FF" w:rsidRDefault="00B236FF">
            <w:pPr>
              <w:keepNext/>
              <w:spacing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center"/>
          </w:tcPr>
          <w:p w:rsidR="00B236FF" w:rsidRDefault="002C74B2">
            <w:pPr>
              <w:keepNext/>
              <w:spacing w:line="200" w:lineRule="auto"/>
              <w:jc w:val="right"/>
            </w:pPr>
            <w:r>
              <w:rPr>
                <w:color w:val="000000"/>
                <w:sz w:val="20"/>
              </w:rPr>
              <w:t>(9,185)</w:t>
            </w:r>
          </w:p>
        </w:tc>
        <w:tc>
          <w:tcPr>
            <w:tcW w:w="100" w:type="dxa"/>
            <w:tcBorders>
              <w:top w:val="nil"/>
              <w:left w:val="nil"/>
              <w:bottom w:val="nil"/>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r>
      <w:tr w:rsidR="00B236FF">
        <w:trPr>
          <w:cantSplit/>
          <w:trHeight w:hRule="exact" w:val="315"/>
          <w:jc w:val="center"/>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Interest expense</w:t>
            </w: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1,487 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2,174 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4,233 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6,392 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15"/>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color w:val="000000"/>
                <w:sz w:val="20"/>
              </w:rPr>
              <w:t>Income tax expense</w:t>
            </w: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5,141 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6,567 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12,739 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3,022 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15"/>
          <w:jc w:val="center"/>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Changes in operating working capital</w:t>
            </w: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r>
      <w:tr w:rsidR="00B236FF">
        <w:trPr>
          <w:cantSplit/>
          <w:trHeight w:hRule="exact" w:val="495"/>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color w:val="000000"/>
                <w:sz w:val="20"/>
              </w:rPr>
              <w:t>Accounts receivable, prepaids, current assets</w:t>
            </w:r>
          </w:p>
        </w:tc>
        <w:tc>
          <w:tcPr>
            <w:tcW w:w="1415" w:type="dxa"/>
            <w:gridSpan w:val="2"/>
            <w:tcBorders>
              <w:top w:val="nil"/>
              <w:left w:val="nil"/>
              <w:bottom w:val="nil"/>
              <w:right w:val="nil"/>
            </w:tcBorders>
            <w:shd w:val="clear" w:color="auto" w:fill="FFFFFF"/>
            <w:tcMar>
              <w:top w:w="0" w:type="dxa"/>
              <w:left w:w="53" w:type="dxa"/>
              <w:bottom w:w="0" w:type="dxa"/>
              <w:right w:w="0" w:type="dxa"/>
            </w:tcMar>
            <w:vAlign w:val="center"/>
          </w:tcPr>
          <w:p w:rsidR="00B236FF" w:rsidRDefault="002C74B2">
            <w:pPr>
              <w:keepNext/>
              <w:spacing w:line="200" w:lineRule="auto"/>
              <w:jc w:val="right"/>
            </w:pPr>
            <w:r>
              <w:rPr>
                <w:color w:val="000000"/>
                <w:sz w:val="20"/>
              </w:rPr>
              <w:t>1,709 </w:t>
            </w:r>
          </w:p>
        </w:tc>
        <w:tc>
          <w:tcPr>
            <w:tcW w:w="100" w:type="dxa"/>
            <w:tcBorders>
              <w:top w:val="nil"/>
              <w:left w:val="nil"/>
              <w:bottom w:val="nil"/>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center"/>
          </w:tcPr>
          <w:p w:rsidR="00B236FF" w:rsidRDefault="00B236FF">
            <w:pPr>
              <w:keepNext/>
              <w:spacing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center"/>
          </w:tcPr>
          <w:p w:rsidR="00B236FF" w:rsidRDefault="002C74B2">
            <w:pPr>
              <w:keepNext/>
              <w:spacing w:line="200" w:lineRule="auto"/>
              <w:jc w:val="right"/>
            </w:pPr>
            <w:r>
              <w:rPr>
                <w:color w:val="000000"/>
                <w:sz w:val="20"/>
              </w:rPr>
              <w:t>1,034 </w:t>
            </w:r>
          </w:p>
        </w:tc>
        <w:tc>
          <w:tcPr>
            <w:tcW w:w="100" w:type="dxa"/>
            <w:tcBorders>
              <w:top w:val="nil"/>
              <w:left w:val="nil"/>
              <w:bottom w:val="nil"/>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285" w:type="dxa"/>
            <w:tcBorders>
              <w:top w:val="nil"/>
              <w:left w:val="nil"/>
              <w:bottom w:val="nil"/>
              <w:right w:val="nil"/>
            </w:tcBorders>
            <w:shd w:val="clear" w:color="auto" w:fill="FFFFFF"/>
            <w:tcMar>
              <w:top w:w="0" w:type="dxa"/>
              <w:left w:w="53" w:type="dxa"/>
              <w:bottom w:w="0" w:type="dxa"/>
              <w:right w:w="15" w:type="dxa"/>
            </w:tcMar>
            <w:vAlign w:val="center"/>
          </w:tcPr>
          <w:p w:rsidR="00B236FF" w:rsidRDefault="00B236FF">
            <w:pPr>
              <w:keepNext/>
              <w:spacing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center"/>
          </w:tcPr>
          <w:p w:rsidR="00B236FF" w:rsidRDefault="002C74B2">
            <w:pPr>
              <w:keepNext/>
              <w:spacing w:line="200" w:lineRule="auto"/>
              <w:jc w:val="right"/>
            </w:pPr>
            <w:r>
              <w:rPr>
                <w:color w:val="000000"/>
                <w:sz w:val="20"/>
              </w:rPr>
              <w:t>(48,301)</w:t>
            </w:r>
          </w:p>
        </w:tc>
        <w:tc>
          <w:tcPr>
            <w:tcW w:w="100" w:type="dxa"/>
            <w:tcBorders>
              <w:top w:val="nil"/>
              <w:left w:val="nil"/>
              <w:bottom w:val="nil"/>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center"/>
          </w:tcPr>
          <w:p w:rsidR="00B236FF" w:rsidRDefault="00B236FF">
            <w:pPr>
              <w:keepNext/>
              <w:spacing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center"/>
          </w:tcPr>
          <w:p w:rsidR="00B236FF" w:rsidRDefault="002C74B2">
            <w:pPr>
              <w:keepNext/>
              <w:spacing w:line="200" w:lineRule="auto"/>
              <w:jc w:val="right"/>
            </w:pPr>
            <w:r>
              <w:rPr>
                <w:color w:val="000000"/>
                <w:sz w:val="20"/>
              </w:rPr>
              <w:t>(50,358)</w:t>
            </w:r>
          </w:p>
        </w:tc>
        <w:tc>
          <w:tcPr>
            <w:tcW w:w="100" w:type="dxa"/>
            <w:tcBorders>
              <w:top w:val="nil"/>
              <w:left w:val="nil"/>
              <w:bottom w:val="nil"/>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r>
      <w:tr w:rsidR="00B236FF">
        <w:trPr>
          <w:cantSplit/>
          <w:trHeight w:hRule="exact" w:val="315"/>
          <w:jc w:val="center"/>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Inventory</w:t>
            </w: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823 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1,560 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(1,158)</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(298)</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15"/>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color w:val="000000"/>
                <w:sz w:val="20"/>
              </w:rPr>
              <w:t>Accounts payable and accrued liabilities</w:t>
            </w: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9,374 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(963)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39,213 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30,209 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15"/>
          <w:jc w:val="center"/>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Other</w:t>
            </w: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(1,594)</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single" w:sz="8" w:space="0" w:color="000000"/>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(4,677)</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(3,198)</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single" w:sz="8" w:space="0" w:color="000000"/>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10,877 </w:t>
            </w:r>
          </w:p>
        </w:tc>
        <w:tc>
          <w:tcPr>
            <w:tcW w:w="1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15"/>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b/>
                <w:color w:val="000000"/>
                <w:sz w:val="20"/>
              </w:rPr>
              <w:t>Adjusted EBITDA</w:t>
            </w: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25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27,749 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single" w:sz="8" w:space="0" w:color="000000"/>
              <w:left w:val="nil"/>
              <w:bottom w:val="double" w:sz="8" w:space="0" w:color="000000"/>
              <w:right w:val="nil"/>
            </w:tcBorders>
            <w:shd w:val="clear" w:color="auto" w:fill="FFFFFF"/>
            <w:tcMar>
              <w:top w:w="0" w:type="dxa"/>
              <w:left w:w="53" w:type="dxa"/>
              <w:bottom w:w="0" w:type="dxa"/>
              <w:right w:w="15" w:type="dxa"/>
            </w:tcMar>
            <w:vAlign w:val="bottom"/>
          </w:tcPr>
          <w:p w:rsidR="00B236FF" w:rsidRDefault="00B236FF">
            <w:pPr>
              <w:keepNext/>
              <w:spacing w:before="55" w:after="30" w:line="200" w:lineRule="auto"/>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25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28,084 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28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25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81,897 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single" w:sz="8" w:space="0" w:color="000000"/>
              <w:left w:val="nil"/>
              <w:bottom w:val="double" w:sz="8" w:space="0" w:color="000000"/>
              <w:right w:val="nil"/>
            </w:tcBorders>
            <w:shd w:val="clear" w:color="auto" w:fill="FFFFFF"/>
            <w:tcMar>
              <w:top w:w="0" w:type="dxa"/>
              <w:left w:w="53" w:type="dxa"/>
              <w:bottom w:w="0" w:type="dxa"/>
              <w:right w:w="15" w:type="dxa"/>
            </w:tcMar>
            <w:vAlign w:val="bottom"/>
          </w:tcPr>
          <w:p w:rsidR="00B236FF" w:rsidRDefault="00B236FF">
            <w:pPr>
              <w:keepNext/>
              <w:spacing w:before="55" w:after="30" w:line="200" w:lineRule="auto"/>
              <w:jc w:val="right"/>
            </w:pPr>
          </w:p>
        </w:tc>
        <w:tc>
          <w:tcPr>
            <w:tcW w:w="160" w:type="dxa"/>
            <w:tcBorders>
              <w:top w:val="single" w:sz="8" w:space="0" w:color="000000"/>
              <w:left w:val="nil"/>
              <w:bottom w:val="doub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25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66,742 </w:t>
            </w:r>
          </w:p>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315"/>
          <w:jc w:val="center"/>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b/>
                <w:color w:val="000000"/>
                <w:sz w:val="20"/>
              </w:rPr>
              <w:t>Cash Flow Data:</w:t>
            </w:r>
          </w:p>
        </w:tc>
        <w:tc>
          <w:tcPr>
            <w:tcW w:w="1515"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pPr>
          </w:p>
        </w:tc>
        <w:tc>
          <w:tcPr>
            <w:tcW w:w="195" w:type="dxa"/>
            <w:tcBorders>
              <w:top w:val="double" w:sz="8" w:space="0" w:color="000000"/>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pPr>
          </w:p>
        </w:tc>
        <w:tc>
          <w:tcPr>
            <w:tcW w:w="1515"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pPr>
          </w:p>
        </w:tc>
        <w:tc>
          <w:tcPr>
            <w:tcW w:w="28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pPr>
          </w:p>
        </w:tc>
        <w:tc>
          <w:tcPr>
            <w:tcW w:w="195" w:type="dxa"/>
            <w:tcBorders>
              <w:top w:val="double" w:sz="8" w:space="0" w:color="000000"/>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pPr>
          </w:p>
        </w:tc>
        <w:tc>
          <w:tcPr>
            <w:tcW w:w="1515"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pPr>
          </w:p>
        </w:tc>
      </w:tr>
      <w:tr w:rsidR="00B236FF">
        <w:trPr>
          <w:cantSplit/>
          <w:trHeight w:hRule="exact" w:val="495"/>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color w:val="000000"/>
                <w:sz w:val="20"/>
              </w:rPr>
              <w:t>Cash flows provided by operating activities</w:t>
            </w: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12,165 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26,056 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83,948 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77,085 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15"/>
          <w:jc w:val="center"/>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Cash flows used in investing activities</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(640)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B236FF">
            <w:pPr>
              <w:keepNext/>
              <w:spacing w:line="200" w:lineRule="auto"/>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(117)</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(1,219)</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(6,490)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15"/>
          <w:jc w:val="center"/>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spacing w:line="200" w:lineRule="auto"/>
            </w:pPr>
            <w:r>
              <w:rPr>
                <w:color w:val="000000"/>
                <w:sz w:val="20"/>
              </w:rPr>
              <w:t>Cash flows used in financing activities</w:t>
            </w: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spacing w:before="75" w:after="30" w:line="200" w:lineRule="auto"/>
            </w:pPr>
            <w:r>
              <w:rPr>
                <w:color w:val="000000"/>
                <w:sz w:val="20"/>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spacing w:before="75" w:after="30" w:line="200" w:lineRule="auto"/>
              <w:jc w:val="right"/>
            </w:pPr>
            <w:r>
              <w:rPr>
                <w:color w:val="000000"/>
                <w:sz w:val="20"/>
              </w:rPr>
              <w:t>(15,769)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spacing w:before="75" w:after="30" w:line="200" w:lineRule="auto"/>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spacing w:before="75" w:after="30" w:line="200" w:lineRule="auto"/>
            </w:pPr>
            <w:r>
              <w:rPr>
                <w:color w:val="000000"/>
                <w:sz w:val="20"/>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spacing w:before="75" w:after="30" w:line="200" w:lineRule="auto"/>
              <w:jc w:val="right"/>
            </w:pPr>
            <w:r>
              <w:rPr>
                <w:color w:val="000000"/>
                <w:sz w:val="20"/>
              </w:rPr>
              <w:t>(10,937)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spacing w:before="75" w:after="30" w:line="200" w:lineRule="auto"/>
            </w:pPr>
          </w:p>
        </w:tc>
        <w:tc>
          <w:tcPr>
            <w:tcW w:w="28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spacing w:before="75" w:after="30" w:line="200" w:lineRule="auto"/>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spacing w:before="75" w:after="30" w:line="200" w:lineRule="auto"/>
            </w:pPr>
            <w:r>
              <w:rPr>
                <w:color w:val="000000"/>
                <w:sz w:val="20"/>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spacing w:before="75" w:after="30" w:line="200" w:lineRule="auto"/>
              <w:jc w:val="right"/>
            </w:pPr>
            <w:r>
              <w:rPr>
                <w:color w:val="000000"/>
                <w:sz w:val="20"/>
              </w:rPr>
              <w:t>(65,017)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spacing w:before="75" w:after="30" w:line="200" w:lineRule="auto"/>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spacing w:before="75" w:after="30" w:line="200" w:lineRule="auto"/>
            </w:pPr>
            <w:r>
              <w:rPr>
                <w:color w:val="000000"/>
                <w:sz w:val="20"/>
              </w:rPr>
              <w:t>$</w:t>
            </w:r>
          </w:p>
        </w:tc>
        <w:tc>
          <w:tcPr>
            <w:tcW w:w="1255" w:type="dxa"/>
            <w:tcBorders>
              <w:top w:val="nil"/>
              <w:left w:val="nil"/>
              <w:bottom w:val="nil"/>
              <w:right w:val="nil"/>
            </w:tcBorders>
            <w:shd w:val="clear" w:color="auto" w:fill="FFFFFF"/>
            <w:tcMar>
              <w:top w:w="0" w:type="dxa"/>
              <w:left w:w="0" w:type="dxa"/>
              <w:bottom w:w="0" w:type="dxa"/>
              <w:right w:w="0" w:type="dxa"/>
            </w:tcMar>
            <w:vAlign w:val="bottom"/>
          </w:tcPr>
          <w:p w:rsidR="00B236FF" w:rsidRDefault="002C74B2">
            <w:pPr>
              <w:spacing w:before="75" w:after="30" w:line="200" w:lineRule="auto"/>
              <w:jc w:val="right"/>
            </w:pPr>
            <w:r>
              <w:rPr>
                <w:color w:val="000000"/>
                <w:sz w:val="20"/>
              </w:rPr>
              <w:t>(76,651)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spacing w:before="75" w:after="30" w:line="200" w:lineRule="auto"/>
            </w:pPr>
          </w:p>
        </w:tc>
      </w:tr>
    </w:tbl>
    <w:p w:rsidR="00A77B3E" w:rsidRDefault="00A77B3E">
      <w:pPr>
        <w:spacing w:before="120" w:line="248" w:lineRule="auto"/>
        <w:jc w:val="center"/>
        <w:rPr>
          <w:b/>
          <w:sz w:val="18"/>
        </w:rPr>
      </w:pPr>
    </w:p>
    <w:p w:rsidR="00A77B3E" w:rsidRDefault="00A77B3E">
      <w:pPr>
        <w:spacing w:line="248" w:lineRule="auto"/>
        <w:jc w:val="center"/>
        <w:rPr>
          <w:b/>
          <w:sz w:val="18"/>
        </w:rPr>
      </w:pPr>
    </w:p>
    <w:p w:rsidR="00A77B3E" w:rsidRDefault="00A77B3E">
      <w:pPr>
        <w:spacing w:line="248" w:lineRule="auto"/>
        <w:jc w:val="center"/>
        <w:rPr>
          <w:b/>
          <w:sz w:val="18"/>
        </w:rPr>
      </w:pPr>
    </w:p>
    <w:p w:rsidR="00A77B3E" w:rsidRDefault="00A77B3E">
      <w:pPr>
        <w:spacing w:line="248" w:lineRule="auto"/>
        <w:jc w:val="center"/>
        <w:rPr>
          <w:b/>
          <w:sz w:val="18"/>
        </w:rPr>
      </w:pPr>
    </w:p>
    <w:p w:rsidR="00A77B3E" w:rsidRDefault="002C74B2">
      <w:pPr>
        <w:spacing w:after="200" w:line="248" w:lineRule="auto"/>
        <w:jc w:val="both"/>
        <w:rPr>
          <w:sz w:val="22"/>
        </w:rPr>
      </w:pPr>
      <w:r>
        <w:rPr>
          <w:sz w:val="22"/>
        </w:rPr>
        <w:t>The following table presents a reconciliation of Retail Gross Margin to operating income (loss) for each of the periods indicated.</w:t>
      </w:r>
    </w:p>
    <w:p w:rsidR="00A77B3E" w:rsidRDefault="00A77B3E">
      <w:pPr>
        <w:spacing w:line="248" w:lineRule="auto"/>
        <w:jc w:val="center"/>
        <w:rPr>
          <w:b/>
          <w:sz w:val="22"/>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6"/>
        <w:gridCol w:w="163"/>
        <w:gridCol w:w="1280"/>
        <w:gridCol w:w="102"/>
        <w:gridCol w:w="199"/>
        <w:gridCol w:w="163"/>
        <w:gridCol w:w="1280"/>
        <w:gridCol w:w="102"/>
        <w:gridCol w:w="291"/>
        <w:gridCol w:w="163"/>
        <w:gridCol w:w="1280"/>
        <w:gridCol w:w="102"/>
        <w:gridCol w:w="199"/>
        <w:gridCol w:w="163"/>
        <w:gridCol w:w="1280"/>
        <w:gridCol w:w="102"/>
      </w:tblGrid>
      <w:tr w:rsidR="00B236FF">
        <w:trPr>
          <w:cantSplit/>
          <w:trHeight w:hRule="exact" w:val="315"/>
        </w:trPr>
        <w:tc>
          <w:tcPr>
            <w:tcW w:w="3525" w:type="dxa"/>
            <w:tcBorders>
              <w:top w:val="nil"/>
              <w:left w:val="nil"/>
              <w:bottom w:val="nil"/>
              <w:right w:val="nil"/>
            </w:tcBorders>
            <w:tcMar>
              <w:top w:w="0" w:type="dxa"/>
              <w:left w:w="53" w:type="dxa"/>
              <w:bottom w:w="0" w:type="dxa"/>
              <w:right w:w="53" w:type="dxa"/>
            </w:tcMar>
            <w:vAlign w:val="bottom"/>
          </w:tcPr>
          <w:p w:rsidR="00B236FF" w:rsidRDefault="002C74B2">
            <w:pPr>
              <w:keepNext/>
              <w:spacing w:before="75" w:after="30" w:line="200" w:lineRule="auto"/>
            </w:pPr>
            <w:r>
              <w:rPr>
                <w:color w:val="000000"/>
                <w:sz w:val="20"/>
              </w:rPr>
              <w:t>  </w:t>
            </w:r>
          </w:p>
        </w:tc>
        <w:tc>
          <w:tcPr>
            <w:tcW w:w="3225" w:type="dxa"/>
            <w:gridSpan w:val="7"/>
            <w:tcBorders>
              <w:top w:val="nil"/>
              <w:left w:val="nil"/>
              <w:bottom w:val="single" w:sz="8" w:space="0" w:color="000000"/>
              <w:right w:val="nil"/>
            </w:tcBorders>
            <w:tcMar>
              <w:top w:w="0" w:type="dxa"/>
              <w:left w:w="53" w:type="dxa"/>
              <w:bottom w:w="0" w:type="dxa"/>
              <w:right w:w="53" w:type="dxa"/>
            </w:tcMar>
            <w:vAlign w:val="bottom"/>
          </w:tcPr>
          <w:p w:rsidR="00B236FF" w:rsidRDefault="002C74B2">
            <w:pPr>
              <w:keepNext/>
              <w:spacing w:before="75" w:after="30" w:line="200" w:lineRule="auto"/>
              <w:jc w:val="center"/>
            </w:pPr>
            <w:r>
              <w:rPr>
                <w:b/>
                <w:color w:val="000000"/>
                <w:sz w:val="20"/>
              </w:rPr>
              <w:t>Three Months Ended September 30,</w:t>
            </w:r>
          </w:p>
        </w:tc>
        <w:tc>
          <w:tcPr>
            <w:tcW w:w="285" w:type="dxa"/>
            <w:tcBorders>
              <w:top w:val="nil"/>
              <w:left w:val="nil"/>
              <w:bottom w:val="nil"/>
              <w:right w:val="nil"/>
            </w:tcBorders>
            <w:tcMar>
              <w:top w:w="0" w:type="dxa"/>
              <w:left w:w="53" w:type="dxa"/>
              <w:bottom w:w="0" w:type="dxa"/>
              <w:right w:w="53" w:type="dxa"/>
            </w:tcMar>
            <w:vAlign w:val="bottom"/>
          </w:tcPr>
          <w:p w:rsidR="00B236FF" w:rsidRDefault="00B236FF">
            <w:pPr>
              <w:keepNext/>
              <w:spacing w:before="75" w:after="30" w:line="200" w:lineRule="auto"/>
              <w:jc w:val="center"/>
            </w:pPr>
          </w:p>
        </w:tc>
        <w:tc>
          <w:tcPr>
            <w:tcW w:w="3225" w:type="dxa"/>
            <w:gridSpan w:val="7"/>
            <w:tcBorders>
              <w:top w:val="nil"/>
              <w:left w:val="nil"/>
              <w:bottom w:val="single" w:sz="8" w:space="0" w:color="000000"/>
              <w:right w:val="nil"/>
            </w:tcBorders>
            <w:tcMar>
              <w:top w:w="0" w:type="dxa"/>
              <w:left w:w="53" w:type="dxa"/>
              <w:bottom w:w="0" w:type="dxa"/>
              <w:right w:w="53" w:type="dxa"/>
            </w:tcMar>
            <w:vAlign w:val="bottom"/>
          </w:tcPr>
          <w:p w:rsidR="00B236FF" w:rsidRDefault="002C74B2">
            <w:pPr>
              <w:keepNext/>
              <w:spacing w:before="75" w:after="30" w:line="200" w:lineRule="auto"/>
              <w:jc w:val="center"/>
            </w:pPr>
            <w:r>
              <w:rPr>
                <w:b/>
                <w:color w:val="000000"/>
                <w:sz w:val="20"/>
              </w:rPr>
              <w:t>Nine Months Ended September 30,</w:t>
            </w:r>
          </w:p>
        </w:tc>
      </w:tr>
      <w:tr w:rsidR="00B236FF">
        <w:trPr>
          <w:cantSplit/>
          <w:trHeight w:hRule="exact" w:val="315"/>
        </w:trPr>
        <w:tc>
          <w:tcPr>
            <w:tcW w:w="3525" w:type="dxa"/>
            <w:tcBorders>
              <w:top w:val="nil"/>
              <w:left w:val="nil"/>
              <w:bottom w:val="single" w:sz="8" w:space="0" w:color="3E413D"/>
              <w:right w:val="nil"/>
            </w:tcBorders>
            <w:shd w:val="clear" w:color="auto" w:fill="CCEEFF"/>
            <w:tcMar>
              <w:top w:w="0" w:type="dxa"/>
              <w:left w:w="53" w:type="dxa"/>
              <w:bottom w:w="0" w:type="dxa"/>
              <w:right w:w="53" w:type="dxa"/>
            </w:tcMar>
            <w:vAlign w:val="bottom"/>
          </w:tcPr>
          <w:p w:rsidR="00B236FF" w:rsidRDefault="002C74B2">
            <w:pPr>
              <w:keepNext/>
              <w:spacing w:before="75" w:after="30" w:line="200" w:lineRule="auto"/>
            </w:pPr>
            <w:r>
              <w:rPr>
                <w:i/>
                <w:color w:val="000000"/>
                <w:sz w:val="20"/>
              </w:rPr>
              <w:t>(in thousands)</w:t>
            </w:r>
          </w:p>
        </w:tc>
        <w:tc>
          <w:tcPr>
            <w:tcW w:w="1515" w:type="dxa"/>
            <w:gridSpan w:val="3"/>
            <w:tcBorders>
              <w:top w:val="nil"/>
              <w:left w:val="nil"/>
              <w:bottom w:val="single" w:sz="8" w:space="0" w:color="3E413D"/>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2020</w:t>
            </w:r>
          </w:p>
        </w:tc>
        <w:tc>
          <w:tcPr>
            <w:tcW w:w="195" w:type="dxa"/>
            <w:tcBorders>
              <w:top w:val="single" w:sz="8" w:space="0" w:color="000000"/>
              <w:left w:val="nil"/>
              <w:bottom w:val="single" w:sz="8" w:space="0" w:color="3E413D"/>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jc w:val="center"/>
            </w:pPr>
          </w:p>
        </w:tc>
        <w:tc>
          <w:tcPr>
            <w:tcW w:w="1515" w:type="dxa"/>
            <w:gridSpan w:val="3"/>
            <w:tcBorders>
              <w:top w:val="single" w:sz="8" w:space="0" w:color="000000"/>
              <w:left w:val="nil"/>
              <w:bottom w:val="single" w:sz="8" w:space="0" w:color="3E413D"/>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2019</w:t>
            </w:r>
          </w:p>
        </w:tc>
        <w:tc>
          <w:tcPr>
            <w:tcW w:w="285" w:type="dxa"/>
            <w:tcBorders>
              <w:top w:val="nil"/>
              <w:left w:val="nil"/>
              <w:bottom w:val="nil"/>
              <w:right w:val="nil"/>
            </w:tcBorders>
            <w:shd w:val="clear" w:color="auto" w:fill="CCEEFF"/>
            <w:tcMar>
              <w:top w:w="0" w:type="dxa"/>
              <w:left w:w="53" w:type="dxa"/>
              <w:bottom w:w="0" w:type="dxa"/>
              <w:right w:w="53" w:type="dxa"/>
            </w:tcMar>
            <w:vAlign w:val="bottom"/>
          </w:tcPr>
          <w:p w:rsidR="00B236FF" w:rsidRDefault="00B236FF">
            <w:pPr>
              <w:keepNext/>
              <w:spacing w:before="75" w:after="30" w:line="200" w:lineRule="auto"/>
              <w:jc w:val="center"/>
            </w:pPr>
          </w:p>
        </w:tc>
        <w:tc>
          <w:tcPr>
            <w:tcW w:w="1515" w:type="dxa"/>
            <w:gridSpan w:val="3"/>
            <w:tcBorders>
              <w:top w:val="nil"/>
              <w:left w:val="nil"/>
              <w:bottom w:val="single" w:sz="8" w:space="0" w:color="3E413D"/>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2020</w:t>
            </w:r>
          </w:p>
        </w:tc>
        <w:tc>
          <w:tcPr>
            <w:tcW w:w="195" w:type="dxa"/>
            <w:tcBorders>
              <w:top w:val="single" w:sz="8" w:space="0" w:color="000000"/>
              <w:left w:val="nil"/>
              <w:bottom w:val="single" w:sz="8" w:space="0" w:color="3E413D"/>
              <w:right w:val="nil"/>
            </w:tcBorders>
            <w:shd w:val="clear" w:color="auto" w:fill="CCEEFF"/>
            <w:tcMar>
              <w:top w:w="0" w:type="dxa"/>
              <w:left w:w="53" w:type="dxa"/>
              <w:bottom w:w="0" w:type="dxa"/>
              <w:right w:w="53" w:type="dxa"/>
            </w:tcMar>
            <w:vAlign w:val="bottom"/>
          </w:tcPr>
          <w:p w:rsidR="00B236FF" w:rsidRDefault="00B236FF">
            <w:pPr>
              <w:keepNext/>
              <w:spacing w:before="55" w:after="30" w:line="200" w:lineRule="auto"/>
              <w:jc w:val="center"/>
            </w:pPr>
          </w:p>
        </w:tc>
        <w:tc>
          <w:tcPr>
            <w:tcW w:w="1515" w:type="dxa"/>
            <w:gridSpan w:val="3"/>
            <w:tcBorders>
              <w:top w:val="single" w:sz="8" w:space="0" w:color="000000"/>
              <w:left w:val="nil"/>
              <w:bottom w:val="single" w:sz="8" w:space="0" w:color="3E413D"/>
              <w:right w:val="nil"/>
            </w:tcBorders>
            <w:shd w:val="clear" w:color="auto" w:fill="CCEEFF"/>
            <w:tcMar>
              <w:top w:w="0" w:type="dxa"/>
              <w:left w:w="53" w:type="dxa"/>
              <w:bottom w:w="0" w:type="dxa"/>
              <w:right w:w="53" w:type="dxa"/>
            </w:tcMar>
            <w:vAlign w:val="bottom"/>
          </w:tcPr>
          <w:p w:rsidR="00B236FF" w:rsidRDefault="002C74B2">
            <w:pPr>
              <w:keepNext/>
              <w:spacing w:before="55" w:after="30" w:line="200" w:lineRule="auto"/>
              <w:jc w:val="center"/>
            </w:pPr>
            <w:r>
              <w:rPr>
                <w:b/>
                <w:color w:val="000000"/>
                <w:sz w:val="20"/>
              </w:rPr>
              <w:t>2019</w:t>
            </w:r>
          </w:p>
        </w:tc>
      </w:tr>
      <w:tr w:rsidR="00B236FF">
        <w:trPr>
          <w:cantSplit/>
          <w:trHeight w:hRule="exact" w:val="495"/>
        </w:trPr>
        <w:tc>
          <w:tcPr>
            <w:tcW w:w="3525" w:type="dxa"/>
            <w:tcBorders>
              <w:top w:val="single" w:sz="8" w:space="0" w:color="3E413D"/>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b/>
                <w:color w:val="000000"/>
                <w:sz w:val="20"/>
              </w:rPr>
              <w:t>Reconciliation of Retail Gross Margin to Operating income:</w:t>
            </w:r>
          </w:p>
        </w:tc>
        <w:tc>
          <w:tcPr>
            <w:tcW w:w="1515" w:type="dxa"/>
            <w:gridSpan w:val="3"/>
            <w:tcBorders>
              <w:top w:val="single" w:sz="8" w:space="0" w:color="3E413D"/>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c>
          <w:tcPr>
            <w:tcW w:w="195" w:type="dxa"/>
            <w:tcBorders>
              <w:top w:val="single" w:sz="8" w:space="0" w:color="3E413D"/>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c>
          <w:tcPr>
            <w:tcW w:w="1515" w:type="dxa"/>
            <w:gridSpan w:val="3"/>
            <w:tcBorders>
              <w:top w:val="single" w:sz="8" w:space="0" w:color="3E413D"/>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c>
          <w:tcPr>
            <w:tcW w:w="285" w:type="dxa"/>
            <w:tcBorders>
              <w:top w:val="nil"/>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75" w:after="30" w:line="200" w:lineRule="auto"/>
            </w:pPr>
          </w:p>
        </w:tc>
        <w:tc>
          <w:tcPr>
            <w:tcW w:w="1515" w:type="dxa"/>
            <w:gridSpan w:val="3"/>
            <w:tcBorders>
              <w:top w:val="single" w:sz="8" w:space="0" w:color="3E413D"/>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c>
          <w:tcPr>
            <w:tcW w:w="195" w:type="dxa"/>
            <w:tcBorders>
              <w:top w:val="single" w:sz="8" w:space="0" w:color="3E413D"/>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c>
          <w:tcPr>
            <w:tcW w:w="1515" w:type="dxa"/>
            <w:gridSpan w:val="3"/>
            <w:tcBorders>
              <w:top w:val="single" w:sz="8" w:space="0" w:color="3E413D"/>
              <w:left w:val="nil"/>
              <w:bottom w:val="nil"/>
              <w:right w:val="nil"/>
            </w:tcBorders>
            <w:shd w:val="clear" w:color="auto" w:fill="FFFFFF"/>
            <w:tcMar>
              <w:top w:w="0" w:type="dxa"/>
              <w:left w:w="53" w:type="dxa"/>
              <w:bottom w:w="0" w:type="dxa"/>
              <w:right w:w="53" w:type="dxa"/>
            </w:tcMar>
            <w:vAlign w:val="bottom"/>
          </w:tcPr>
          <w:p w:rsidR="00B236FF" w:rsidRDefault="00B236FF">
            <w:pPr>
              <w:keepNext/>
              <w:spacing w:before="55" w:after="30" w:line="200" w:lineRule="auto"/>
            </w:pPr>
          </w:p>
        </w:tc>
      </w:tr>
      <w:tr w:rsidR="00B236FF">
        <w:trPr>
          <w:cantSplit/>
          <w:trHeight w:hRule="exact" w:val="315"/>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 xml:space="preserve">Operating income </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29,154 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keepNext/>
              <w:spacing w:before="75" w:after="30" w:line="200" w:lineRule="auto"/>
              <w:jc w:val="right"/>
            </w:pPr>
            <w:r>
              <w:rPr>
                <w:color w:val="000000"/>
                <w:sz w:val="20"/>
              </w:rPr>
              <w:t>46,095 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CCEEFF"/>
            <w:tcMar>
              <w:top w:w="0" w:type="dxa"/>
              <w:left w:w="53" w:type="dxa"/>
              <w:bottom w:w="0" w:type="dxa"/>
              <w:right w:w="15" w:type="dxa"/>
            </w:tcMar>
            <w:vAlign w:val="center"/>
          </w:tcPr>
          <w:p w:rsidR="00B236FF" w:rsidRDefault="00B236FF">
            <w:pPr>
              <w:keepNext/>
              <w:spacing w:line="200" w:lineRule="auto"/>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center"/>
          </w:tcPr>
          <w:p w:rsidR="00B236FF" w:rsidRDefault="002C74B2">
            <w:pPr>
              <w:keepNext/>
              <w:spacing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center"/>
          </w:tcPr>
          <w:p w:rsidR="00B236FF" w:rsidRDefault="002C74B2">
            <w:pPr>
              <w:keepNext/>
              <w:spacing w:line="200" w:lineRule="auto"/>
              <w:jc w:val="right"/>
            </w:pPr>
            <w:r>
              <w:rPr>
                <w:color w:val="000000"/>
                <w:sz w:val="20"/>
              </w:rPr>
              <w:t>76,130 </w:t>
            </w:r>
          </w:p>
        </w:tc>
        <w:tc>
          <w:tcPr>
            <w:tcW w:w="100" w:type="dxa"/>
            <w:tcBorders>
              <w:top w:val="nil"/>
              <w:left w:val="nil"/>
              <w:bottom w:val="nil"/>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center"/>
          </w:tcPr>
          <w:p w:rsidR="00B236FF" w:rsidRDefault="00B236FF">
            <w:pPr>
              <w:keepNext/>
              <w:spacing w:line="200" w:lineRule="auto"/>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center"/>
          </w:tcPr>
          <w:p w:rsidR="00B236FF" w:rsidRDefault="002C74B2">
            <w:pPr>
              <w:keepNext/>
              <w:spacing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center"/>
          </w:tcPr>
          <w:p w:rsidR="00B236FF" w:rsidRDefault="002C74B2">
            <w:pPr>
              <w:keepNext/>
              <w:spacing w:line="200" w:lineRule="auto"/>
              <w:jc w:val="right"/>
            </w:pPr>
            <w:r>
              <w:rPr>
                <w:color w:val="000000"/>
                <w:sz w:val="20"/>
              </w:rPr>
              <w:t>23,346 </w:t>
            </w:r>
          </w:p>
        </w:tc>
        <w:tc>
          <w:tcPr>
            <w:tcW w:w="100" w:type="dxa"/>
            <w:tcBorders>
              <w:top w:val="nil"/>
              <w:left w:val="nil"/>
              <w:bottom w:val="nil"/>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r>
      <w:tr w:rsidR="00B236FF">
        <w:trPr>
          <w:cantSplit/>
          <w:trHeight w:hRule="exact" w:val="315"/>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color w:val="000000"/>
                <w:sz w:val="20"/>
              </w:rPr>
              <w:t>Plus:</w:t>
            </w:r>
          </w:p>
        </w:tc>
        <w:tc>
          <w:tcPr>
            <w:tcW w:w="1515" w:type="dxa"/>
            <w:gridSpan w:val="3"/>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515" w:type="dxa"/>
            <w:gridSpan w:val="3"/>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28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515" w:type="dxa"/>
            <w:gridSpan w:val="3"/>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515" w:type="dxa"/>
            <w:gridSpan w:val="3"/>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r>
      <w:tr w:rsidR="00B236FF">
        <w:trPr>
          <w:cantSplit/>
          <w:trHeight w:hRule="exact" w:val="315"/>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Depreciation and amortization</w:t>
            </w: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7,278 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9,496 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24,084 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31,963 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15"/>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color w:val="000000"/>
                <w:sz w:val="20"/>
              </w:rPr>
              <w:t>General and administrative expense</w:t>
            </w: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19,080 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27,629 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66,087 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94,352 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15"/>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Less:</w:t>
            </w: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c>
          <w:tcPr>
            <w:tcW w:w="1515" w:type="dxa"/>
            <w:gridSpan w:val="3"/>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pPr>
          </w:p>
        </w:tc>
      </w:tr>
      <w:tr w:rsidR="00B236FF">
        <w:trPr>
          <w:cantSplit/>
          <w:trHeight w:hRule="exact" w:val="315"/>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color w:val="000000"/>
                <w:sz w:val="20"/>
              </w:rPr>
              <w:t xml:space="preserve">Net asset optimization (expense) revenues </w:t>
            </w:r>
          </w:p>
        </w:tc>
        <w:tc>
          <w:tcPr>
            <w:tcW w:w="1415" w:type="dxa"/>
            <w:gridSpan w:val="2"/>
            <w:tcBorders>
              <w:top w:val="nil"/>
              <w:left w:val="nil"/>
              <w:bottom w:val="nil"/>
              <w:right w:val="nil"/>
            </w:tcBorders>
            <w:shd w:val="clear" w:color="auto" w:fill="FFFFFF"/>
            <w:tcMar>
              <w:top w:w="0" w:type="dxa"/>
              <w:left w:w="53" w:type="dxa"/>
              <w:bottom w:w="0" w:type="dxa"/>
              <w:right w:w="0" w:type="dxa"/>
            </w:tcMar>
            <w:vAlign w:val="center"/>
          </w:tcPr>
          <w:p w:rsidR="00B236FF" w:rsidRDefault="002C74B2">
            <w:pPr>
              <w:keepNext/>
              <w:spacing w:line="200" w:lineRule="auto"/>
              <w:jc w:val="right"/>
            </w:pPr>
            <w:r>
              <w:rPr>
                <w:color w:val="000000"/>
                <w:sz w:val="20"/>
              </w:rPr>
              <w:t>(558)</w:t>
            </w:r>
          </w:p>
        </w:tc>
        <w:tc>
          <w:tcPr>
            <w:tcW w:w="100" w:type="dxa"/>
            <w:tcBorders>
              <w:top w:val="nil"/>
              <w:left w:val="nil"/>
              <w:bottom w:val="nil"/>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center"/>
          </w:tcPr>
          <w:p w:rsidR="00B236FF" w:rsidRDefault="00B236FF">
            <w:pPr>
              <w:keepNext/>
              <w:spacing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center"/>
          </w:tcPr>
          <w:p w:rsidR="00B236FF" w:rsidRDefault="002C74B2">
            <w:pPr>
              <w:keepNext/>
              <w:spacing w:line="200" w:lineRule="auto"/>
              <w:jc w:val="right"/>
            </w:pPr>
            <w:r>
              <w:rPr>
                <w:color w:val="000000"/>
                <w:sz w:val="20"/>
              </w:rPr>
              <w:t>(254)</w:t>
            </w:r>
          </w:p>
        </w:tc>
        <w:tc>
          <w:tcPr>
            <w:tcW w:w="100" w:type="dxa"/>
            <w:tcBorders>
              <w:top w:val="nil"/>
              <w:left w:val="nil"/>
              <w:bottom w:val="nil"/>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285" w:type="dxa"/>
            <w:tcBorders>
              <w:top w:val="nil"/>
              <w:left w:val="nil"/>
              <w:bottom w:val="nil"/>
              <w:right w:val="nil"/>
            </w:tcBorders>
            <w:shd w:val="clear" w:color="auto" w:fill="FFFFFF"/>
            <w:tcMar>
              <w:top w:w="0" w:type="dxa"/>
              <w:left w:w="53" w:type="dxa"/>
              <w:bottom w:w="0" w:type="dxa"/>
              <w:right w:w="15" w:type="dxa"/>
            </w:tcMar>
            <w:vAlign w:val="center"/>
          </w:tcPr>
          <w:p w:rsidR="00B236FF" w:rsidRDefault="00B236FF">
            <w:pPr>
              <w:keepNext/>
              <w:spacing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center"/>
          </w:tcPr>
          <w:p w:rsidR="00B236FF" w:rsidRDefault="002C74B2">
            <w:pPr>
              <w:keepNext/>
              <w:spacing w:line="200" w:lineRule="auto"/>
              <w:jc w:val="right"/>
            </w:pPr>
            <w:r>
              <w:rPr>
                <w:color w:val="000000"/>
                <w:sz w:val="20"/>
              </w:rPr>
              <w:t>(319)</w:t>
            </w:r>
          </w:p>
        </w:tc>
        <w:tc>
          <w:tcPr>
            <w:tcW w:w="100" w:type="dxa"/>
            <w:tcBorders>
              <w:top w:val="nil"/>
              <w:left w:val="nil"/>
              <w:bottom w:val="nil"/>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FFFFFF"/>
            <w:tcMar>
              <w:top w:w="0" w:type="dxa"/>
              <w:left w:w="53" w:type="dxa"/>
              <w:bottom w:w="0" w:type="dxa"/>
              <w:right w:w="15" w:type="dxa"/>
            </w:tcMar>
            <w:vAlign w:val="center"/>
          </w:tcPr>
          <w:p w:rsidR="00B236FF" w:rsidRDefault="00B236FF">
            <w:pPr>
              <w:keepNext/>
              <w:spacing w:line="200" w:lineRule="auto"/>
              <w:jc w:val="right"/>
            </w:pPr>
          </w:p>
        </w:tc>
        <w:tc>
          <w:tcPr>
            <w:tcW w:w="1415" w:type="dxa"/>
            <w:gridSpan w:val="2"/>
            <w:tcBorders>
              <w:top w:val="nil"/>
              <w:left w:val="nil"/>
              <w:bottom w:val="nil"/>
              <w:right w:val="nil"/>
            </w:tcBorders>
            <w:shd w:val="clear" w:color="auto" w:fill="FFFFFF"/>
            <w:tcMar>
              <w:top w:w="0" w:type="dxa"/>
              <w:left w:w="53" w:type="dxa"/>
              <w:bottom w:w="0" w:type="dxa"/>
              <w:right w:w="0" w:type="dxa"/>
            </w:tcMar>
            <w:vAlign w:val="center"/>
          </w:tcPr>
          <w:p w:rsidR="00B236FF" w:rsidRDefault="002C74B2">
            <w:pPr>
              <w:keepNext/>
              <w:spacing w:line="200" w:lineRule="auto"/>
              <w:jc w:val="right"/>
            </w:pPr>
            <w:r>
              <w:rPr>
                <w:color w:val="000000"/>
                <w:sz w:val="20"/>
              </w:rPr>
              <w:t>2,242 </w:t>
            </w:r>
          </w:p>
        </w:tc>
        <w:tc>
          <w:tcPr>
            <w:tcW w:w="100" w:type="dxa"/>
            <w:tcBorders>
              <w:top w:val="nil"/>
              <w:left w:val="nil"/>
              <w:bottom w:val="nil"/>
              <w:right w:val="nil"/>
            </w:tcBorders>
            <w:shd w:val="clear" w:color="auto" w:fill="FFFFFF"/>
            <w:tcMar>
              <w:top w:w="0" w:type="dxa"/>
              <w:left w:w="0" w:type="dxa"/>
              <w:bottom w:w="0" w:type="dxa"/>
              <w:right w:w="15" w:type="dxa"/>
            </w:tcMar>
            <w:vAlign w:val="center"/>
          </w:tcPr>
          <w:p w:rsidR="00B236FF" w:rsidRDefault="00B236FF">
            <w:pPr>
              <w:keepNext/>
              <w:spacing w:line="200" w:lineRule="auto"/>
            </w:pPr>
          </w:p>
        </w:tc>
      </w:tr>
      <w:tr w:rsidR="00B236FF">
        <w:trPr>
          <w:cantSplit/>
          <w:trHeight w:hRule="exact" w:val="495"/>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color w:val="000000"/>
                <w:sz w:val="20"/>
              </w:rPr>
              <w:t>Gain (loss) on non-trading derivative instruments</w:t>
            </w:r>
          </w:p>
        </w:tc>
        <w:tc>
          <w:tcPr>
            <w:tcW w:w="1415" w:type="dxa"/>
            <w:gridSpan w:val="2"/>
            <w:tcBorders>
              <w:top w:val="nil"/>
              <w:left w:val="nil"/>
              <w:bottom w:val="nil"/>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2,550 </w:t>
            </w:r>
          </w:p>
        </w:tc>
        <w:tc>
          <w:tcPr>
            <w:tcW w:w="100" w:type="dxa"/>
            <w:tcBorders>
              <w:top w:val="nil"/>
              <w:left w:val="nil"/>
              <w:bottom w:val="nil"/>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center"/>
          </w:tcPr>
          <w:p w:rsidR="00B236FF" w:rsidRDefault="00B236FF">
            <w:pPr>
              <w:keepNext/>
              <w:spacing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12,528 </w:t>
            </w:r>
          </w:p>
        </w:tc>
        <w:tc>
          <w:tcPr>
            <w:tcW w:w="100" w:type="dxa"/>
            <w:tcBorders>
              <w:top w:val="nil"/>
              <w:left w:val="nil"/>
              <w:bottom w:val="nil"/>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c>
          <w:tcPr>
            <w:tcW w:w="285" w:type="dxa"/>
            <w:tcBorders>
              <w:top w:val="nil"/>
              <w:left w:val="nil"/>
              <w:bottom w:val="nil"/>
              <w:right w:val="nil"/>
            </w:tcBorders>
            <w:shd w:val="clear" w:color="auto" w:fill="CCEEFF"/>
            <w:tcMar>
              <w:top w:w="0" w:type="dxa"/>
              <w:left w:w="53" w:type="dxa"/>
              <w:bottom w:w="0" w:type="dxa"/>
              <w:right w:w="15" w:type="dxa"/>
            </w:tcMar>
            <w:vAlign w:val="center"/>
          </w:tcPr>
          <w:p w:rsidR="00B236FF" w:rsidRDefault="00B236FF">
            <w:pPr>
              <w:keepNext/>
              <w:spacing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(14,019)</w:t>
            </w:r>
          </w:p>
        </w:tc>
        <w:tc>
          <w:tcPr>
            <w:tcW w:w="100" w:type="dxa"/>
            <w:tcBorders>
              <w:top w:val="nil"/>
              <w:left w:val="nil"/>
              <w:bottom w:val="nil"/>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center"/>
          </w:tcPr>
          <w:p w:rsidR="00B236FF" w:rsidRDefault="00B236FF">
            <w:pPr>
              <w:keepNext/>
              <w:spacing w:line="200" w:lineRule="auto"/>
              <w:jc w:val="right"/>
            </w:pPr>
          </w:p>
        </w:tc>
        <w:tc>
          <w:tcPr>
            <w:tcW w:w="1415" w:type="dxa"/>
            <w:gridSpan w:val="2"/>
            <w:tcBorders>
              <w:top w:val="nil"/>
              <w:left w:val="nil"/>
              <w:bottom w:val="nil"/>
              <w:right w:val="nil"/>
            </w:tcBorders>
            <w:shd w:val="clear" w:color="auto" w:fill="CCEEFF"/>
            <w:tcMar>
              <w:top w:w="0" w:type="dxa"/>
              <w:left w:w="53" w:type="dxa"/>
              <w:bottom w:w="0" w:type="dxa"/>
              <w:right w:w="0" w:type="dxa"/>
            </w:tcMar>
            <w:vAlign w:val="center"/>
          </w:tcPr>
          <w:p w:rsidR="00B236FF" w:rsidRDefault="002C74B2">
            <w:pPr>
              <w:keepNext/>
              <w:spacing w:line="200" w:lineRule="auto"/>
              <w:jc w:val="right"/>
            </w:pPr>
            <w:r>
              <w:rPr>
                <w:color w:val="000000"/>
                <w:sz w:val="20"/>
              </w:rPr>
              <w:t>(42,741)</w:t>
            </w:r>
          </w:p>
        </w:tc>
        <w:tc>
          <w:tcPr>
            <w:tcW w:w="100" w:type="dxa"/>
            <w:tcBorders>
              <w:top w:val="nil"/>
              <w:left w:val="nil"/>
              <w:bottom w:val="nil"/>
              <w:right w:val="nil"/>
            </w:tcBorders>
            <w:shd w:val="clear" w:color="auto" w:fill="CCEEFF"/>
            <w:tcMar>
              <w:top w:w="0" w:type="dxa"/>
              <w:left w:w="0" w:type="dxa"/>
              <w:bottom w:w="0" w:type="dxa"/>
              <w:right w:w="15" w:type="dxa"/>
            </w:tcMar>
            <w:vAlign w:val="center"/>
          </w:tcPr>
          <w:p w:rsidR="00B236FF" w:rsidRDefault="00B236FF">
            <w:pPr>
              <w:keepNext/>
              <w:spacing w:line="200" w:lineRule="auto"/>
            </w:pPr>
          </w:p>
        </w:tc>
      </w:tr>
      <w:tr w:rsidR="00B236FF">
        <w:trPr>
          <w:cantSplit/>
          <w:trHeight w:hRule="exact" w:val="495"/>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color w:val="000000"/>
                <w:sz w:val="20"/>
              </w:rPr>
              <w:t>Cash settlements on non-trading derivative instruments</w:t>
            </w:r>
          </w:p>
        </w:tc>
        <w:tc>
          <w:tcPr>
            <w:tcW w:w="14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6,489 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12,764 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28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33,153 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c>
          <w:tcPr>
            <w:tcW w:w="19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415" w:type="dxa"/>
            <w:gridSpan w:val="2"/>
            <w:tcBorders>
              <w:top w:val="nil"/>
              <w:left w:val="nil"/>
              <w:bottom w:val="single" w:sz="8" w:space="0" w:color="000000"/>
              <w:right w:val="nil"/>
            </w:tcBorders>
            <w:shd w:val="clear" w:color="auto" w:fill="FFFFFF"/>
            <w:tcMar>
              <w:top w:w="0" w:type="dxa"/>
              <w:left w:w="53" w:type="dxa"/>
              <w:bottom w:w="0" w:type="dxa"/>
              <w:right w:w="0" w:type="dxa"/>
            </w:tcMar>
            <w:vAlign w:val="bottom"/>
          </w:tcPr>
          <w:p w:rsidR="00B236FF" w:rsidRDefault="002C74B2">
            <w:pPr>
              <w:keepNext/>
              <w:spacing w:before="75" w:after="30" w:line="200" w:lineRule="auto"/>
              <w:jc w:val="right"/>
            </w:pPr>
            <w:r>
              <w:rPr>
                <w:color w:val="000000"/>
                <w:sz w:val="20"/>
              </w:rPr>
              <w:t>33,677 </w:t>
            </w:r>
          </w:p>
        </w:tc>
        <w:tc>
          <w:tcPr>
            <w:tcW w:w="1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rsidR="00B236FF" w:rsidRDefault="00B236FF">
            <w:pPr>
              <w:keepNext/>
              <w:spacing w:before="75" w:after="30" w:line="200" w:lineRule="auto"/>
            </w:pPr>
          </w:p>
        </w:tc>
      </w:tr>
      <w:tr w:rsidR="00B236FF">
        <w:trPr>
          <w:cantSplit/>
          <w:trHeight w:hRule="exact" w:val="315"/>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keepNext/>
              <w:spacing w:line="200" w:lineRule="auto"/>
            </w:pPr>
            <w:r>
              <w:rPr>
                <w:b/>
                <w:color w:val="000000"/>
                <w:sz w:val="20"/>
              </w:rPr>
              <w:t>Retail Gross Margin</w:t>
            </w:r>
          </w:p>
        </w:tc>
        <w:tc>
          <w:tcPr>
            <w:tcW w:w="160" w:type="dxa"/>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255" w:type="dxa"/>
            <w:tcBorders>
              <w:top w:val="single" w:sz="8" w:space="0" w:color="000000"/>
              <w:left w:val="nil"/>
              <w:bottom w:val="sing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47,031 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single" w:sz="8" w:space="0" w:color="000000"/>
              <w:left w:val="nil"/>
              <w:bottom w:val="single" w:sz="8" w:space="0" w:color="000000"/>
              <w:right w:val="nil"/>
            </w:tcBorders>
            <w:shd w:val="clear" w:color="auto" w:fill="CCEEFF"/>
            <w:tcMar>
              <w:top w:w="0" w:type="dxa"/>
              <w:left w:w="53" w:type="dxa"/>
              <w:bottom w:w="0" w:type="dxa"/>
              <w:right w:w="15" w:type="dxa"/>
            </w:tcMar>
            <w:vAlign w:val="bottom"/>
          </w:tcPr>
          <w:p w:rsidR="00B236FF" w:rsidRDefault="00B236FF">
            <w:pPr>
              <w:keepNext/>
              <w:spacing w:before="55" w:after="30" w:line="200" w:lineRule="auto"/>
              <w:jc w:val="right"/>
            </w:pPr>
          </w:p>
        </w:tc>
        <w:tc>
          <w:tcPr>
            <w:tcW w:w="160" w:type="dxa"/>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255" w:type="dxa"/>
            <w:tcBorders>
              <w:top w:val="single" w:sz="8" w:space="0" w:color="000000"/>
              <w:left w:val="nil"/>
              <w:bottom w:val="sing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58,182 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28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255" w:type="dxa"/>
            <w:tcBorders>
              <w:top w:val="single" w:sz="8" w:space="0" w:color="000000"/>
              <w:left w:val="nil"/>
              <w:bottom w:val="sing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147,486 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single" w:sz="8" w:space="0" w:color="000000"/>
              <w:left w:val="nil"/>
              <w:bottom w:val="single" w:sz="8" w:space="0" w:color="000000"/>
              <w:right w:val="nil"/>
            </w:tcBorders>
            <w:shd w:val="clear" w:color="auto" w:fill="CCEEFF"/>
            <w:tcMar>
              <w:top w:w="0" w:type="dxa"/>
              <w:left w:w="53" w:type="dxa"/>
              <w:bottom w:w="0" w:type="dxa"/>
              <w:right w:w="15" w:type="dxa"/>
            </w:tcMar>
            <w:vAlign w:val="bottom"/>
          </w:tcPr>
          <w:p w:rsidR="00B236FF" w:rsidRDefault="00B236FF">
            <w:pPr>
              <w:keepNext/>
              <w:spacing w:before="55" w:after="30" w:line="200" w:lineRule="auto"/>
              <w:jc w:val="right"/>
            </w:pPr>
          </w:p>
        </w:tc>
        <w:tc>
          <w:tcPr>
            <w:tcW w:w="160" w:type="dxa"/>
            <w:tcBorders>
              <w:top w:val="single" w:sz="8" w:space="0" w:color="000000"/>
              <w:left w:val="nil"/>
              <w:bottom w:val="single" w:sz="8" w:space="0" w:color="000000"/>
              <w:right w:val="nil"/>
            </w:tcBorders>
            <w:shd w:val="clear" w:color="auto" w:fill="CCEE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255" w:type="dxa"/>
            <w:tcBorders>
              <w:top w:val="single" w:sz="8" w:space="0" w:color="000000"/>
              <w:left w:val="nil"/>
              <w:bottom w:val="single" w:sz="8" w:space="0" w:color="000000"/>
              <w:right w:val="nil"/>
            </w:tcBorders>
            <w:shd w:val="clear" w:color="auto" w:fill="CCEE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156,483 </w:t>
            </w:r>
          </w:p>
        </w:tc>
        <w:tc>
          <w:tcPr>
            <w:tcW w:w="1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495"/>
        </w:trPr>
        <w:tc>
          <w:tcPr>
            <w:tcW w:w="3525" w:type="dxa"/>
            <w:tcBorders>
              <w:top w:val="nil"/>
              <w:left w:val="nil"/>
              <w:bottom w:val="nil"/>
              <w:right w:val="nil"/>
            </w:tcBorders>
            <w:shd w:val="clear" w:color="auto" w:fill="FFFFFF"/>
            <w:tcMar>
              <w:top w:w="0" w:type="dxa"/>
              <w:left w:w="53" w:type="dxa"/>
              <w:bottom w:w="0" w:type="dxa"/>
              <w:right w:w="53" w:type="dxa"/>
            </w:tcMar>
            <w:vAlign w:val="center"/>
          </w:tcPr>
          <w:p w:rsidR="00B236FF" w:rsidRDefault="002C74B2">
            <w:pPr>
              <w:keepNext/>
              <w:spacing w:line="200" w:lineRule="auto"/>
            </w:pPr>
            <w:r>
              <w:rPr>
                <w:color w:val="000000"/>
                <w:sz w:val="20"/>
              </w:rPr>
              <w:t>Retail Gross Margin - Retail Electricity Segment</w:t>
            </w:r>
          </w:p>
        </w:tc>
        <w:tc>
          <w:tcPr>
            <w:tcW w:w="16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25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42,762 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single" w:sz="8" w:space="0" w:color="000000"/>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55" w:after="30" w:line="200" w:lineRule="auto"/>
              <w:jc w:val="right"/>
            </w:pPr>
          </w:p>
        </w:tc>
        <w:tc>
          <w:tcPr>
            <w:tcW w:w="16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25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53,143 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285" w:type="dxa"/>
            <w:tcBorders>
              <w:top w:val="nil"/>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75" w:after="30" w:line="200" w:lineRule="auto"/>
              <w:jc w:val="right"/>
            </w:pPr>
          </w:p>
        </w:tc>
        <w:tc>
          <w:tcPr>
            <w:tcW w:w="16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25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109,141 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c>
          <w:tcPr>
            <w:tcW w:w="195" w:type="dxa"/>
            <w:tcBorders>
              <w:top w:val="single" w:sz="8" w:space="0" w:color="000000"/>
              <w:left w:val="nil"/>
              <w:bottom w:val="nil"/>
              <w:right w:val="nil"/>
            </w:tcBorders>
            <w:shd w:val="clear" w:color="auto" w:fill="FFFFFF"/>
            <w:tcMar>
              <w:top w:w="0" w:type="dxa"/>
              <w:left w:w="53" w:type="dxa"/>
              <w:bottom w:w="0" w:type="dxa"/>
              <w:right w:w="15" w:type="dxa"/>
            </w:tcMar>
            <w:vAlign w:val="bottom"/>
          </w:tcPr>
          <w:p w:rsidR="00B236FF" w:rsidRDefault="00B236FF">
            <w:pPr>
              <w:keepNext/>
              <w:spacing w:before="55" w:after="30" w:line="200" w:lineRule="auto"/>
              <w:jc w:val="right"/>
            </w:pPr>
          </w:p>
        </w:tc>
        <w:tc>
          <w:tcPr>
            <w:tcW w:w="16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B236FF" w:rsidRDefault="002C74B2">
            <w:pPr>
              <w:keepNext/>
              <w:spacing w:before="55" w:after="30" w:line="200" w:lineRule="auto"/>
            </w:pPr>
            <w:r>
              <w:rPr>
                <w:color w:val="000000"/>
                <w:sz w:val="20"/>
              </w:rPr>
              <w:t>$</w:t>
            </w:r>
          </w:p>
        </w:tc>
        <w:tc>
          <w:tcPr>
            <w:tcW w:w="125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B236FF" w:rsidRDefault="002C74B2">
            <w:pPr>
              <w:keepNext/>
              <w:spacing w:before="55" w:after="30" w:line="200" w:lineRule="auto"/>
              <w:jc w:val="right"/>
            </w:pPr>
            <w:r>
              <w:rPr>
                <w:color w:val="000000"/>
                <w:sz w:val="20"/>
              </w:rPr>
              <w:t>116,730 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B236FF" w:rsidRDefault="00B236FF">
            <w:pPr>
              <w:keepNext/>
              <w:spacing w:before="55" w:after="30" w:line="200" w:lineRule="auto"/>
            </w:pPr>
          </w:p>
        </w:tc>
      </w:tr>
      <w:tr w:rsidR="00B236FF">
        <w:trPr>
          <w:cantSplit/>
          <w:trHeight w:hRule="exact" w:val="495"/>
        </w:trPr>
        <w:tc>
          <w:tcPr>
            <w:tcW w:w="3525" w:type="dxa"/>
            <w:tcBorders>
              <w:top w:val="nil"/>
              <w:left w:val="nil"/>
              <w:bottom w:val="nil"/>
              <w:right w:val="nil"/>
            </w:tcBorders>
            <w:shd w:val="clear" w:color="auto" w:fill="CCEEFF"/>
            <w:tcMar>
              <w:top w:w="0" w:type="dxa"/>
              <w:left w:w="53" w:type="dxa"/>
              <w:bottom w:w="0" w:type="dxa"/>
              <w:right w:w="53" w:type="dxa"/>
            </w:tcMar>
            <w:vAlign w:val="center"/>
          </w:tcPr>
          <w:p w:rsidR="00B236FF" w:rsidRDefault="002C74B2">
            <w:pPr>
              <w:spacing w:line="200" w:lineRule="auto"/>
            </w:pPr>
            <w:r>
              <w:rPr>
                <w:color w:val="000000"/>
                <w:sz w:val="20"/>
              </w:rPr>
              <w:t>Retail Gross Margin - Retail Natural Gas Segment</w:t>
            </w: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spacing w:before="75" w:after="30" w:line="200" w:lineRule="auto"/>
              <w:jc w:val="right"/>
            </w:pPr>
            <w:r>
              <w:rPr>
                <w:color w:val="000000"/>
                <w:sz w:val="20"/>
              </w:rPr>
              <w:t>4,269 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spacing w:before="75" w:after="30" w:line="200" w:lineRule="auto"/>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spacing w:before="75" w:after="30" w:line="200" w:lineRule="auto"/>
              <w:jc w:val="right"/>
            </w:pPr>
            <w:r>
              <w:rPr>
                <w:color w:val="000000"/>
                <w:sz w:val="20"/>
              </w:rPr>
              <w:t>5,039 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spacing w:before="75" w:after="30" w:line="200" w:lineRule="auto"/>
            </w:pPr>
          </w:p>
        </w:tc>
        <w:tc>
          <w:tcPr>
            <w:tcW w:w="28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spacing w:before="75" w:after="30" w:line="200" w:lineRule="auto"/>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spacing w:before="75" w:after="30" w:line="200" w:lineRule="auto"/>
              <w:jc w:val="right"/>
            </w:pPr>
            <w:r>
              <w:rPr>
                <w:color w:val="000000"/>
                <w:sz w:val="20"/>
              </w:rPr>
              <w:t>38,345 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spacing w:before="75" w:after="30" w:line="200" w:lineRule="auto"/>
            </w:pPr>
          </w:p>
        </w:tc>
        <w:tc>
          <w:tcPr>
            <w:tcW w:w="195" w:type="dxa"/>
            <w:tcBorders>
              <w:top w:val="nil"/>
              <w:left w:val="nil"/>
              <w:bottom w:val="nil"/>
              <w:right w:val="nil"/>
            </w:tcBorders>
            <w:shd w:val="clear" w:color="auto" w:fill="CCEEFF"/>
            <w:tcMar>
              <w:top w:w="0" w:type="dxa"/>
              <w:left w:w="53" w:type="dxa"/>
              <w:bottom w:w="0" w:type="dxa"/>
              <w:right w:w="15" w:type="dxa"/>
            </w:tcMar>
            <w:vAlign w:val="bottom"/>
          </w:tcPr>
          <w:p w:rsidR="00B236FF" w:rsidRDefault="00B236FF">
            <w:pPr>
              <w:spacing w:before="75" w:after="30" w:line="200" w:lineRule="auto"/>
              <w:jc w:val="right"/>
            </w:pPr>
          </w:p>
        </w:tc>
        <w:tc>
          <w:tcPr>
            <w:tcW w:w="160" w:type="dxa"/>
            <w:tcBorders>
              <w:top w:val="nil"/>
              <w:left w:val="nil"/>
              <w:bottom w:val="nil"/>
              <w:right w:val="nil"/>
            </w:tcBorders>
            <w:shd w:val="clear" w:color="auto" w:fill="CCEEFF"/>
            <w:tcMar>
              <w:top w:w="0" w:type="dxa"/>
              <w:left w:w="53" w:type="dxa"/>
              <w:bottom w:w="0" w:type="dxa"/>
              <w:right w:w="0" w:type="dxa"/>
            </w:tcMar>
            <w:vAlign w:val="bottom"/>
          </w:tcPr>
          <w:p w:rsidR="00B236FF" w:rsidRDefault="002C74B2">
            <w:pPr>
              <w:spacing w:before="75" w:after="30" w:line="200" w:lineRule="auto"/>
            </w:pPr>
            <w:r>
              <w:rPr>
                <w:color w:val="000000"/>
                <w:sz w:val="20"/>
              </w:rPr>
              <w:t>$</w:t>
            </w:r>
          </w:p>
        </w:tc>
        <w:tc>
          <w:tcPr>
            <w:tcW w:w="1255" w:type="dxa"/>
            <w:tcBorders>
              <w:top w:val="nil"/>
              <w:left w:val="nil"/>
              <w:bottom w:val="nil"/>
              <w:right w:val="nil"/>
            </w:tcBorders>
            <w:shd w:val="clear" w:color="auto" w:fill="CCEEFF"/>
            <w:tcMar>
              <w:top w:w="0" w:type="dxa"/>
              <w:left w:w="0" w:type="dxa"/>
              <w:bottom w:w="0" w:type="dxa"/>
              <w:right w:w="0" w:type="dxa"/>
            </w:tcMar>
            <w:vAlign w:val="bottom"/>
          </w:tcPr>
          <w:p w:rsidR="00B236FF" w:rsidRDefault="002C74B2">
            <w:pPr>
              <w:spacing w:before="75" w:after="30" w:line="200" w:lineRule="auto"/>
              <w:jc w:val="right"/>
            </w:pPr>
            <w:r>
              <w:rPr>
                <w:color w:val="000000"/>
                <w:sz w:val="20"/>
              </w:rPr>
              <w:t>39,753 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B236FF" w:rsidRDefault="00B236FF">
            <w:pPr>
              <w:spacing w:before="75" w:after="30" w:line="200" w:lineRule="auto"/>
            </w:pPr>
          </w:p>
        </w:tc>
      </w:tr>
    </w:tbl>
    <w:p w:rsidR="00A77B3E" w:rsidRDefault="00A77B3E">
      <w:pPr>
        <w:spacing w:line="248" w:lineRule="auto"/>
        <w:jc w:val="center"/>
        <w:rPr>
          <w:sz w:val="22"/>
        </w:rPr>
      </w:pPr>
    </w:p>
    <w:sectPr w:rsidR="00A77B3E">
      <w:headerReference w:type="default" r:id="rId8"/>
      <w:footerReference w:type="default" r:id="rId9"/>
      <w:type w:val="continuous"/>
      <w:pgSz w:w="12240" w:h="15840"/>
      <w:pgMar w:top="855" w:right="990" w:bottom="855" w:left="990" w:header="270"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29CF" w:rsidRDefault="002C74B2">
      <w:r>
        <w:separator/>
      </w:r>
    </w:p>
  </w:endnote>
  <w:endnote w:type="continuationSeparator" w:id="0">
    <w:p w:rsidR="007C29CF" w:rsidRDefault="002C7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6FF" w:rsidRDefault="00B236FF">
    <w:pPr>
      <w:spacing w:line="248"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29CF" w:rsidRDefault="002C74B2">
      <w:r>
        <w:separator/>
      </w:r>
    </w:p>
  </w:footnote>
  <w:footnote w:type="continuationSeparator" w:id="0">
    <w:p w:rsidR="007C29CF" w:rsidRDefault="002C7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6FF" w:rsidRDefault="00B236FF">
    <w:pPr>
      <w:spacing w:line="248"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styleLink w:val="DiscSYMBOL"/>
    <w:lvl w:ilvl="0">
      <w:start w:val="1"/>
      <w:numFmt w:val="decimal"/>
      <w:lvlText w:val="•"/>
      <w:lvlJc w:val="left"/>
      <w:pPr>
        <w:tabs>
          <w:tab w:val="num" w:pos="720"/>
        </w:tabs>
        <w:ind w:left="720" w:hanging="360"/>
      </w:p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 w15:restartNumberingAfterBreak="0">
    <w:nsid w:val="00000002"/>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 w15:restartNumberingAfterBreak="0">
    <w:nsid w:val="00000003"/>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 w15:restartNumberingAfterBreak="0">
    <w:nsid w:val="00000004"/>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 w15:restartNumberingAfterBreak="0">
    <w:nsid w:val="00000005"/>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 w15:restartNumberingAfterBreak="0">
    <w:nsid w:val="00000006"/>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 w15:restartNumberingAfterBreak="0">
    <w:nsid w:val="00000007"/>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7" w15:restartNumberingAfterBreak="0">
    <w:nsid w:val="00000008"/>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8" w15:restartNumberingAfterBreak="0">
    <w:nsid w:val="00000009"/>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9" w15:restartNumberingAfterBreak="0">
    <w:nsid w:val="0000000A"/>
    <w:multiLevelType w:val="multilevel"/>
    <w:tmpl w:val="00000001"/>
    <w:lvl w:ilvl="0">
      <w:start w:val="1"/>
      <w:numFmt w:val="decimal"/>
      <w:lvlText w:val="•"/>
      <w:lvlJc w:val="left"/>
      <w:pPr>
        <w:tabs>
          <w:tab w:val="num" w:pos="72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0" w15:restartNumberingAfterBreak="0">
    <w:nsid w:val="0000000B"/>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1" w15:restartNumberingAfterBreak="0">
    <w:nsid w:val="0000000C"/>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2" w15:restartNumberingAfterBreak="0">
    <w:nsid w:val="0000000D"/>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3" w15:restartNumberingAfterBreak="0">
    <w:nsid w:val="0000000E"/>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4" w15:restartNumberingAfterBreak="0">
    <w:nsid w:val="0000000F"/>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5" w15:restartNumberingAfterBreak="0">
    <w:nsid w:val="00000010"/>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6" w15:restartNumberingAfterBreak="0">
    <w:nsid w:val="00000011"/>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7" w15:restartNumberingAfterBreak="0">
    <w:nsid w:val="00000012"/>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8" w15:restartNumberingAfterBreak="0">
    <w:nsid w:val="00000013"/>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9" w15:restartNumberingAfterBreak="0">
    <w:nsid w:val="00000014"/>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0" w15:restartNumberingAfterBreak="0">
    <w:nsid w:val="00000015"/>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1" w15:restartNumberingAfterBreak="0">
    <w:nsid w:val="00000016"/>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2" w15:restartNumberingAfterBreak="0">
    <w:nsid w:val="00000017"/>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3" w15:restartNumberingAfterBreak="0">
    <w:nsid w:val="00000018"/>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4" w15:restartNumberingAfterBreak="0">
    <w:nsid w:val="00000019"/>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5" w15:restartNumberingAfterBreak="0">
    <w:nsid w:val="0000001A"/>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6" w15:restartNumberingAfterBreak="0">
    <w:nsid w:val="0000001B"/>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7" w15:restartNumberingAfterBreak="0">
    <w:nsid w:val="0000001C"/>
    <w:multiLevelType w:val="multilevel"/>
    <w:tmpl w:val="00000001"/>
    <w:lvl w:ilvl="0">
      <w:start w:val="1"/>
      <w:numFmt w:val="decimal"/>
      <w:lvlText w:val="•"/>
      <w:lvlJc w:val="left"/>
      <w:pPr>
        <w:tabs>
          <w:tab w:val="num" w:pos="1170"/>
        </w:tabs>
        <w:ind w:left="720" w:hanging="360"/>
      </w:pPr>
      <w:rPr>
        <w:rFonts w:ascii="Times New Roman" w:eastAsia="Times New Roman" w:hAnsi="Times New Roman" w:cs="Times New Roman"/>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8" w15:restartNumberingAfterBreak="0">
    <w:nsid w:val="0000001D"/>
    <w:multiLevelType w:val="multilevel"/>
    <w:tmpl w:val="00000001"/>
    <w:lvl w:ilvl="0">
      <w:start w:val="1"/>
      <w:numFmt w:val="decimal"/>
      <w:lvlText w:val="•"/>
      <w:lvlJc w:val="left"/>
      <w:pPr>
        <w:tabs>
          <w:tab w:val="num" w:pos="720"/>
        </w:tabs>
        <w:ind w:left="720" w:hanging="360"/>
      </w:pPr>
      <w:rPr>
        <w:rFonts w:ascii="Arial" w:eastAsia="Arial" w:hAnsi="Arial" w:cs="Arial"/>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2C74B2"/>
    <w:rsid w:val="00687538"/>
    <w:rsid w:val="007C29CF"/>
    <w:rsid w:val="00A77B3E"/>
    <w:rsid w:val="00B236FF"/>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DB1B9A1-6D32-497F-89B0-70EB13449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DiscSYMBOL">
    <w:name w:val="DiscSYMBOL•◦▪"/>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ir.sparkenergy.com/events-and-present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3285</Words>
  <Characters>19842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 Q3 - PR</dc:title>
  <dc:creator>Mike Barajas</dc:creator>
  <cp:lastModifiedBy>Mike Barajas</cp:lastModifiedBy>
  <cp:revision>3</cp:revision>
  <dcterms:created xsi:type="dcterms:W3CDTF">2020-11-02T23:06:00Z</dcterms:created>
  <dcterms:modified xsi:type="dcterms:W3CDTF">2020-11-03T15:17:00Z</dcterms:modified>
</cp:coreProperties>
</file>