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4C0DD" w14:textId="77777777" w:rsidR="008C58E5" w:rsidRDefault="002D2F8D">
      <w:pPr>
        <w:shd w:val="clear" w:color="auto" w:fill="FFFFFF"/>
        <w:spacing w:after="300" w:line="240" w:lineRule="auto"/>
        <w:outlineLvl w:val="0"/>
        <w:rPr>
          <w:rFonts w:ascii="Arial" w:eastAsia="Times New Roman" w:hAnsi="Arial" w:cs="Arial"/>
          <w:caps/>
          <w:color w:val="22A8A8"/>
          <w:kern w:val="36"/>
          <w:sz w:val="36"/>
          <w:szCs w:val="36"/>
        </w:rPr>
      </w:pPr>
      <w:r>
        <w:rPr>
          <w:rFonts w:ascii="Arial" w:eastAsia="Times New Roman" w:hAnsi="Arial" w:cs="Arial"/>
          <w:caps/>
          <w:color w:val="22A8A8"/>
          <w:kern w:val="36"/>
          <w:sz w:val="36"/>
          <w:szCs w:val="36"/>
        </w:rPr>
        <w:t xml:space="preserve">PERSHING RESOURCES Raises FUNDS </w:t>
      </w:r>
    </w:p>
    <w:p w14:paraId="7A67C48F"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i/>
          <w:iCs/>
          <w:color w:val="777777"/>
          <w:sz w:val="24"/>
          <w:szCs w:val="24"/>
        </w:rPr>
        <w:t>The Company Raises $200,000 Through the Issuance of a Convertible Note</w:t>
      </w:r>
    </w:p>
    <w:p w14:paraId="79EC9FD3" w14:textId="39377618"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color w:val="777777"/>
          <w:sz w:val="24"/>
          <w:szCs w:val="24"/>
        </w:rPr>
        <w:t>RENO, NV / ACCESSWIRE / November 1</w:t>
      </w:r>
      <w:r w:rsidR="00BB169A">
        <w:rPr>
          <w:rFonts w:ascii="Open Sans" w:eastAsia="Times New Roman" w:hAnsi="Open Sans" w:cs="Times New Roman"/>
          <w:b/>
          <w:bCs/>
          <w:color w:val="777777"/>
          <w:sz w:val="24"/>
          <w:szCs w:val="24"/>
        </w:rPr>
        <w:t>3</w:t>
      </w:r>
      <w:r>
        <w:rPr>
          <w:rFonts w:ascii="Open Sans" w:eastAsia="Times New Roman" w:hAnsi="Open Sans" w:cs="Times New Roman"/>
          <w:b/>
          <w:bCs/>
          <w:color w:val="777777"/>
          <w:sz w:val="24"/>
          <w:szCs w:val="24"/>
        </w:rPr>
        <w:t>, 2020 /</w:t>
      </w:r>
      <w:r>
        <w:rPr>
          <w:rFonts w:ascii="Open Sans" w:eastAsia="Times New Roman" w:hAnsi="Open Sans" w:cs="Times New Roman"/>
          <w:color w:val="777777"/>
          <w:sz w:val="24"/>
          <w:szCs w:val="24"/>
        </w:rPr>
        <w:t xml:space="preserve"> Pershing Resources Company, Inc., (OTC PINK:PSGR), a precious and base metals </w:t>
      </w:r>
      <w:r>
        <w:rPr>
          <w:rFonts w:ascii="Open Sans" w:eastAsia="Times New Roman" w:hAnsi="Open Sans" w:cs="Times New Roman"/>
          <w:color w:val="777777"/>
          <w:sz w:val="24"/>
          <w:szCs w:val="24"/>
        </w:rPr>
        <w:t xml:space="preserve">exploration and mining company, today announced that as of October 30, 2020, the Company has received a total of $200,000, before deducting the costs and expenses, from a current security-holder through the issuance of a convertible note (the "Note"). The </w:t>
      </w:r>
      <w:r>
        <w:rPr>
          <w:rFonts w:ascii="Open Sans" w:eastAsia="Times New Roman" w:hAnsi="Open Sans" w:cs="Times New Roman"/>
          <w:color w:val="777777"/>
          <w:sz w:val="24"/>
          <w:szCs w:val="24"/>
        </w:rPr>
        <w:t xml:space="preserve">Note has a term of 180 days with interest thereon accruing at the rate of 3% per annum. The Note is convertible at a conversion price of $0.02 per share of common stock and, if converted, would result in the issuance of 10 million restricted shares of the </w:t>
      </w:r>
      <w:r>
        <w:rPr>
          <w:rFonts w:ascii="Open Sans" w:eastAsia="Times New Roman" w:hAnsi="Open Sans" w:cs="Times New Roman"/>
          <w:color w:val="777777"/>
          <w:sz w:val="24"/>
          <w:szCs w:val="24"/>
        </w:rPr>
        <w:t>Company's common stock.</w:t>
      </w:r>
    </w:p>
    <w:p w14:paraId="05BC67DA"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The Company intends to use the proceeds it received from this private placement for the payment of accrued expenses, acquisition of additional mineral exploration leases and for general working capital purposes.</w:t>
      </w:r>
    </w:p>
    <w:p w14:paraId="27E8D5F6"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i/>
          <w:iCs/>
          <w:color w:val="777777"/>
          <w:sz w:val="24"/>
          <w:szCs w:val="24"/>
        </w:rPr>
        <w:t>About Pershing Resou</w:t>
      </w:r>
      <w:r>
        <w:rPr>
          <w:rFonts w:ascii="Open Sans" w:eastAsia="Times New Roman" w:hAnsi="Open Sans" w:cs="Times New Roman"/>
          <w:b/>
          <w:bCs/>
          <w:i/>
          <w:iCs/>
          <w:color w:val="777777"/>
          <w:sz w:val="24"/>
          <w:szCs w:val="24"/>
        </w:rPr>
        <w:t>rces</w:t>
      </w:r>
    </w:p>
    <w:p w14:paraId="2A6507F3" w14:textId="5A53AE89"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 xml:space="preserve">Pershing Resources is a precious and base metals exploration and </w:t>
      </w:r>
      <w:r w:rsidR="009469E8">
        <w:rPr>
          <w:rFonts w:ascii="Open Sans" w:eastAsia="Times New Roman" w:hAnsi="Open Sans" w:cs="Times New Roman"/>
          <w:color w:val="777777"/>
          <w:sz w:val="24"/>
          <w:szCs w:val="24"/>
        </w:rPr>
        <w:t>development</w:t>
      </w:r>
      <w:r>
        <w:rPr>
          <w:rFonts w:ascii="Open Sans" w:eastAsia="Times New Roman" w:hAnsi="Open Sans" w:cs="Times New Roman"/>
          <w:color w:val="777777"/>
          <w:sz w:val="24"/>
          <w:szCs w:val="24"/>
        </w:rPr>
        <w:t xml:space="preserve"> company with several projects in North America. The Company is based in Reno, Nevada and is currently focused on the development of its 100% owned New Enterprise</w:t>
      </w:r>
      <w:r>
        <w:rPr>
          <w:rFonts w:ascii="Open Sans" w:eastAsia="Times New Roman" w:hAnsi="Open Sans" w:cs="Times New Roman"/>
          <w:color w:val="777777"/>
          <w:sz w:val="24"/>
          <w:szCs w:val="24"/>
        </w:rPr>
        <w:t xml:space="preserve"> Project. The New Enterprise Project is located near Kingman, Arizona and lies between the Mineral Park Porphyry Cu-Mo mine (approximately 20 miles to the northwest) and the Baghdad Cu-Mo mine (a</w:t>
      </w:r>
      <w:r>
        <w:rPr>
          <w:rFonts w:ascii="Open Sans" w:eastAsia="Times New Roman" w:hAnsi="Open Sans" w:cs="Times New Roman"/>
          <w:color w:val="777777"/>
          <w:sz w:val="24"/>
          <w:szCs w:val="24"/>
        </w:rPr>
        <w:t xml:space="preserve">pproximately 45 miles to the southeast). The Company's other assets are comprised of exploration properties located in </w:t>
      </w:r>
      <w:r w:rsidR="009469E8">
        <w:rPr>
          <w:rFonts w:ascii="Open Sans" w:eastAsia="Times New Roman" w:hAnsi="Open Sans" w:cs="Times New Roman"/>
          <w:color w:val="777777"/>
          <w:sz w:val="24"/>
          <w:szCs w:val="24"/>
        </w:rPr>
        <w:t>Arizona and Nevada</w:t>
      </w:r>
      <w:r>
        <w:rPr>
          <w:rFonts w:ascii="Open Sans" w:eastAsia="Times New Roman" w:hAnsi="Open Sans" w:cs="Times New Roman"/>
          <w:color w:val="777777"/>
          <w:sz w:val="24"/>
          <w:szCs w:val="24"/>
        </w:rPr>
        <w:t>. Pershing Resources is committed to responsible mining practices.</w:t>
      </w:r>
    </w:p>
    <w:p w14:paraId="00EEB6FE"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i/>
          <w:iCs/>
          <w:color w:val="777777"/>
          <w:sz w:val="24"/>
          <w:szCs w:val="24"/>
        </w:rPr>
        <w:t>Forward-Looking Statements</w:t>
      </w:r>
    </w:p>
    <w:p w14:paraId="60EEED36"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color w:val="777777"/>
          <w:sz w:val="24"/>
          <w:szCs w:val="24"/>
        </w:rPr>
        <w:t>The information co</w:t>
      </w:r>
      <w:r>
        <w:rPr>
          <w:rFonts w:ascii="Open Sans" w:eastAsia="Times New Roman" w:hAnsi="Open Sans" w:cs="Times New Roman"/>
          <w:color w:val="777777"/>
          <w:sz w:val="24"/>
          <w:szCs w:val="24"/>
        </w:rPr>
        <w:t>ntained in this press release as well as the information on the Company's website is provided solely for the reader's general knowledge. Such information is not intended to be a comprehensive review of all matters pertaining to the Company. Certain stateme</w:t>
      </w:r>
      <w:r>
        <w:rPr>
          <w:rFonts w:ascii="Open Sans" w:eastAsia="Times New Roman" w:hAnsi="Open Sans" w:cs="Times New Roman"/>
          <w:color w:val="777777"/>
          <w:sz w:val="24"/>
          <w:szCs w:val="24"/>
        </w:rPr>
        <w:t>nts included herein and on the Company's website, constitute "forward-looking statements" within the meaning of the United States Private Securities Litigation Reform Act of 1995. Forward-looking statements reflect management's current knowledge, assumptio</w:t>
      </w:r>
      <w:r>
        <w:rPr>
          <w:rFonts w:ascii="Open Sans" w:eastAsia="Times New Roman" w:hAnsi="Open Sans" w:cs="Times New Roman"/>
          <w:color w:val="777777"/>
          <w:sz w:val="24"/>
          <w:szCs w:val="24"/>
        </w:rPr>
        <w:t>ns, judgment and expectations regarding future performance or events. Although management believes that the expectations reflected in such statements are reasonable, these forward-looking statements are based on the beliefs of, assumptions made by, and inf</w:t>
      </w:r>
      <w:r>
        <w:rPr>
          <w:rFonts w:ascii="Open Sans" w:eastAsia="Times New Roman" w:hAnsi="Open Sans" w:cs="Times New Roman"/>
          <w:color w:val="777777"/>
          <w:sz w:val="24"/>
          <w:szCs w:val="24"/>
        </w:rPr>
        <w:t>ormation currently available to the Company's management. When used in this press release and on the Company's website, the words "estimate," "project," "believe," "anticipate," "intend," "expect," and similar expressions are intended to identify forward-l</w:t>
      </w:r>
      <w:r>
        <w:rPr>
          <w:rFonts w:ascii="Open Sans" w:eastAsia="Times New Roman" w:hAnsi="Open Sans" w:cs="Times New Roman"/>
          <w:color w:val="777777"/>
          <w:sz w:val="24"/>
          <w:szCs w:val="24"/>
        </w:rPr>
        <w:t>ooking statements. Such forward-looking statements involve known and unknown risks, uncertainties and other factors that may cause the actual results, performance and/or achievements of the Company or of the precious metals mining industry in general to be</w:t>
      </w:r>
      <w:r>
        <w:rPr>
          <w:rFonts w:ascii="Open Sans" w:eastAsia="Times New Roman" w:hAnsi="Open Sans" w:cs="Times New Roman"/>
          <w:color w:val="777777"/>
          <w:sz w:val="24"/>
          <w:szCs w:val="24"/>
        </w:rPr>
        <w:t xml:space="preserve"> materially different from future results, performance and/or achievements </w:t>
      </w:r>
      <w:r>
        <w:rPr>
          <w:rFonts w:ascii="Open Sans" w:eastAsia="Times New Roman" w:hAnsi="Open Sans" w:cs="Times New Roman"/>
          <w:color w:val="777777"/>
          <w:sz w:val="24"/>
          <w:szCs w:val="24"/>
        </w:rPr>
        <w:lastRenderedPageBreak/>
        <w:t>expressed or implied by those forward-looking statements. There can be no assurance that such statements will prove to be accurate, and actual results and future events could differ</w:t>
      </w:r>
      <w:r>
        <w:rPr>
          <w:rFonts w:ascii="Open Sans" w:eastAsia="Times New Roman" w:hAnsi="Open Sans" w:cs="Times New Roman"/>
          <w:color w:val="777777"/>
          <w:sz w:val="24"/>
          <w:szCs w:val="24"/>
        </w:rPr>
        <w:t xml:space="preserve"> materially from those anticipated in such statements. Important factors that could cause actual results to differ materially from the Company's expectations include uncertainties related to fluctuations in gold, silver, copper and other commodity prices, </w:t>
      </w:r>
      <w:r>
        <w:rPr>
          <w:rFonts w:ascii="Open Sans" w:eastAsia="Times New Roman" w:hAnsi="Open Sans" w:cs="Times New Roman"/>
          <w:color w:val="777777"/>
          <w:sz w:val="24"/>
          <w:szCs w:val="24"/>
        </w:rPr>
        <w:t>uncertainties relating to interpretation of drill results and the geology of the Company's properties, uncertainty of estimates of capital and operating costs, the need for cooperation of government agencies in the development of the Company's mineral proj</w:t>
      </w:r>
      <w:r>
        <w:rPr>
          <w:rFonts w:ascii="Open Sans" w:eastAsia="Times New Roman" w:hAnsi="Open Sans" w:cs="Times New Roman"/>
          <w:color w:val="777777"/>
          <w:sz w:val="24"/>
          <w:szCs w:val="24"/>
        </w:rPr>
        <w:t>ects, the need to obtain additional financing to develop the Company's mineral projects, the possibility of delay in development programs or in construction projects, the uncertainty of meeting anticipated program milestones for the Company's mineral proje</w:t>
      </w:r>
      <w:r>
        <w:rPr>
          <w:rFonts w:ascii="Open Sans" w:eastAsia="Times New Roman" w:hAnsi="Open Sans" w:cs="Times New Roman"/>
          <w:color w:val="777777"/>
          <w:sz w:val="24"/>
          <w:szCs w:val="24"/>
        </w:rPr>
        <w:t>cts and the potential effects of the current COVID-19 pandemic on the Company's operations. All forward-looking statements are expressly qualified in their entirety by this cautionary notice. Readers are cautioned not to place undue reliance on any forward</w:t>
      </w:r>
      <w:r>
        <w:rPr>
          <w:rFonts w:ascii="Open Sans" w:eastAsia="Times New Roman" w:hAnsi="Open Sans" w:cs="Times New Roman"/>
          <w:color w:val="777777"/>
          <w:sz w:val="24"/>
          <w:szCs w:val="24"/>
        </w:rPr>
        <w:t xml:space="preserve">-looking statements, which speak only as of the date of this release. The Company has no obligation, and expressly disclaims any obligation, to update, revise or correct any of the forward-looking statements, whether as a result of new information, future </w:t>
      </w:r>
      <w:r>
        <w:rPr>
          <w:rFonts w:ascii="Open Sans" w:eastAsia="Times New Roman" w:hAnsi="Open Sans" w:cs="Times New Roman"/>
          <w:color w:val="777777"/>
          <w:sz w:val="24"/>
          <w:szCs w:val="24"/>
        </w:rPr>
        <w:t>events or otherwise.</w:t>
      </w:r>
    </w:p>
    <w:p w14:paraId="490F20A3"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color w:val="777777"/>
          <w:sz w:val="24"/>
          <w:szCs w:val="24"/>
        </w:rPr>
        <w:t>CONTACT:</w:t>
      </w:r>
      <w:r>
        <w:rPr>
          <w:rFonts w:ascii="Open Sans" w:eastAsia="Times New Roman" w:hAnsi="Open Sans" w:cs="Times New Roman"/>
          <w:color w:val="777777"/>
          <w:sz w:val="24"/>
          <w:szCs w:val="24"/>
        </w:rPr>
        <w:br/>
        <w:t>Pershing Resources Company, Inc.</w:t>
      </w:r>
      <w:r>
        <w:rPr>
          <w:rFonts w:ascii="Open Sans" w:eastAsia="Times New Roman" w:hAnsi="Open Sans" w:cs="Times New Roman"/>
          <w:color w:val="777777"/>
          <w:sz w:val="24"/>
          <w:szCs w:val="24"/>
        </w:rPr>
        <w:br/>
        <w:t>200 South Virginia Street, 8th Floor</w:t>
      </w:r>
      <w:r>
        <w:rPr>
          <w:rFonts w:ascii="Open Sans" w:eastAsia="Times New Roman" w:hAnsi="Open Sans" w:cs="Times New Roman"/>
          <w:color w:val="777777"/>
          <w:sz w:val="24"/>
          <w:szCs w:val="24"/>
        </w:rPr>
        <w:br/>
        <w:t>Reno, NV 89501</w:t>
      </w:r>
      <w:r>
        <w:rPr>
          <w:rFonts w:ascii="Open Sans" w:eastAsia="Times New Roman" w:hAnsi="Open Sans" w:cs="Times New Roman"/>
          <w:color w:val="777777"/>
          <w:sz w:val="24"/>
          <w:szCs w:val="24"/>
        </w:rPr>
        <w:br/>
        <w:t>Phone: 775-398-3124</w:t>
      </w:r>
      <w:r>
        <w:rPr>
          <w:rFonts w:ascii="Open Sans" w:eastAsia="Times New Roman" w:hAnsi="Open Sans" w:cs="Times New Roman"/>
          <w:color w:val="777777"/>
          <w:sz w:val="24"/>
          <w:szCs w:val="24"/>
        </w:rPr>
        <w:br/>
        <w:t>Email: </w:t>
      </w:r>
      <w:hyperlink r:id="rId6" w:history="1">
        <w:r>
          <w:rPr>
            <w:rFonts w:ascii="Open Sans" w:eastAsia="Times New Roman" w:hAnsi="Open Sans" w:cs="Times New Roman"/>
            <w:color w:val="98B716"/>
            <w:sz w:val="24"/>
            <w:szCs w:val="24"/>
          </w:rPr>
          <w:t>j.adams@pershingpm.com</w:t>
        </w:r>
      </w:hyperlink>
    </w:p>
    <w:p w14:paraId="6463E15B" w14:textId="77777777" w:rsidR="008C58E5" w:rsidRDefault="002D2F8D">
      <w:pPr>
        <w:shd w:val="clear" w:color="auto" w:fill="FFFFFF"/>
        <w:spacing w:after="300" w:line="240" w:lineRule="auto"/>
        <w:rPr>
          <w:rFonts w:ascii="Open Sans" w:eastAsia="Times New Roman" w:hAnsi="Open Sans" w:cs="Times New Roman"/>
          <w:color w:val="777777"/>
          <w:sz w:val="24"/>
          <w:szCs w:val="24"/>
        </w:rPr>
      </w:pPr>
      <w:r>
        <w:rPr>
          <w:rFonts w:ascii="Open Sans" w:eastAsia="Times New Roman" w:hAnsi="Open Sans" w:cs="Times New Roman"/>
          <w:b/>
          <w:bCs/>
          <w:color w:val="777777"/>
          <w:sz w:val="24"/>
          <w:szCs w:val="24"/>
        </w:rPr>
        <w:t>SOURCE:</w:t>
      </w:r>
      <w:r>
        <w:rPr>
          <w:rFonts w:ascii="Open Sans" w:eastAsia="Times New Roman" w:hAnsi="Open Sans" w:cs="Times New Roman"/>
          <w:color w:val="777777"/>
          <w:sz w:val="24"/>
          <w:szCs w:val="24"/>
        </w:rPr>
        <w:t> Pershing Resources Company, Inc.</w:t>
      </w:r>
    </w:p>
    <w:p w14:paraId="66C95F96" w14:textId="77777777" w:rsidR="008C58E5" w:rsidRDefault="002D2F8D">
      <w:r>
        <w:rPr>
          <w:rFonts w:ascii="Open Sans" w:eastAsia="Times New Roman" w:hAnsi="Open Sans" w:cs="Times New Roman"/>
          <w:color w:val="777777"/>
          <w:sz w:val="24"/>
          <w:szCs w:val="24"/>
        </w:rPr>
        <w:br/>
      </w:r>
      <w:r>
        <w:rPr>
          <w:rFonts w:ascii="Open Sans" w:eastAsia="Times New Roman" w:hAnsi="Open Sans" w:cs="Times New Roman"/>
          <w:color w:val="777777"/>
          <w:sz w:val="24"/>
          <w:szCs w:val="24"/>
        </w:rPr>
        <w:br/>
      </w:r>
    </w:p>
    <w:sectPr w:rsidR="008C58E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15D5E" w14:textId="77777777" w:rsidR="002D2F8D" w:rsidRDefault="002D2F8D">
      <w:pPr>
        <w:spacing w:after="0" w:line="240" w:lineRule="auto"/>
      </w:pPr>
      <w:r>
        <w:separator/>
      </w:r>
    </w:p>
  </w:endnote>
  <w:endnote w:type="continuationSeparator" w:id="0">
    <w:p w14:paraId="6B65E158" w14:textId="77777777" w:rsidR="002D2F8D" w:rsidRDefault="002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73005" w14:textId="77777777" w:rsidR="008C58E5" w:rsidRDefault="002D2F8D">
    <w:pPr>
      <w:pStyle w:val="Footer"/>
    </w:pPr>
    <w:r>
      <w:rPr>
        <w:rStyle w:val="DocID"/>
        <w:rFonts w:eastAsiaTheme="minorHAnsi"/>
      </w:rPr>
      <w:fldChar w:fldCharType="begin"/>
    </w:r>
    <w:r>
      <w:rPr>
        <w:rStyle w:val="DocID"/>
        <w:rFonts w:eastAsiaTheme="minorHAnsi"/>
      </w:rPr>
      <w:instrText xml:space="preserve"> DOCPROPERTY "DocID" \* MERGEFORMAT </w:instrText>
    </w:r>
    <w:r>
      <w:rPr>
        <w:rStyle w:val="DocID"/>
        <w:rFonts w:eastAsiaTheme="minorHAnsi"/>
      </w:rPr>
      <w:fldChar w:fldCharType="separate"/>
    </w:r>
    <w:r>
      <w:rPr>
        <w:rStyle w:val="DocID"/>
        <w:rFonts w:eastAsiaTheme="minorHAnsi"/>
      </w:rPr>
      <w:t>DM3\7172054.2</w:t>
    </w:r>
    <w:r>
      <w:rPr>
        <w:rStyle w:val="DocID"/>
        <w:rFonts w:eastAsia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6248E" w14:textId="77777777" w:rsidR="002D2F8D" w:rsidRDefault="002D2F8D">
      <w:pPr>
        <w:spacing w:after="0" w:line="240" w:lineRule="auto"/>
      </w:pPr>
      <w:r>
        <w:separator/>
      </w:r>
    </w:p>
  </w:footnote>
  <w:footnote w:type="continuationSeparator" w:id="0">
    <w:p w14:paraId="5FEA4443" w14:textId="77777777" w:rsidR="002D2F8D" w:rsidRDefault="002D2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MRemoved" w:val="True"/>
    <w:docVar w:name="DateRemoved" w:val="True"/>
    <w:docVar w:name="DocCategory1" w:val="S7396"/>
    <w:docVar w:name="DocCategory2" w:val="00010"/>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TimeRemoved" w:val="True"/>
  </w:docVars>
  <w:rsids>
    <w:rsidRoot w:val="008C58E5"/>
    <w:rsid w:val="002D2F8D"/>
    <w:rsid w:val="008C58E5"/>
    <w:rsid w:val="009469E8"/>
    <w:rsid w:val="00BB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BAD78"/>
  <w15:chartTrackingRefBased/>
  <w15:docId w15:val="{D48AEDF1-6FC8-4BCE-820F-D4F06B5A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Times New Roman" w:hAnsi="Times New Roman" w:cs="Times New Roman"/>
      <w:b w:val="0"/>
      <w:i w:val="0"/>
      <w:caps w:val="0"/>
      <w:vanish w:val="0"/>
      <w:color w:val="000000"/>
      <w:kern w:val="36"/>
      <w:sz w:val="14"/>
      <w:szCs w:val="3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884192">
      <w:bodyDiv w:val="1"/>
      <w:marLeft w:val="0"/>
      <w:marRight w:val="0"/>
      <w:marTop w:val="0"/>
      <w:marBottom w:val="0"/>
      <w:divBdr>
        <w:top w:val="none" w:sz="0" w:space="0" w:color="auto"/>
        <w:left w:val="none" w:sz="0" w:space="0" w:color="auto"/>
        <w:bottom w:val="none" w:sz="0" w:space="0" w:color="auto"/>
        <w:right w:val="none" w:sz="0" w:space="0" w:color="auto"/>
      </w:divBdr>
      <w:divsChild>
        <w:div w:id="264924253">
          <w:marLeft w:val="0"/>
          <w:marRight w:val="0"/>
          <w:marTop w:val="0"/>
          <w:marBottom w:val="225"/>
          <w:divBdr>
            <w:top w:val="dotted" w:sz="6" w:space="8" w:color="CCCCCC"/>
            <w:left w:val="none" w:sz="0" w:space="0" w:color="auto"/>
            <w:bottom w:val="dotted" w:sz="6" w:space="8" w:color="CCCCCC"/>
            <w:right w:val="none" w:sz="0" w:space="0" w:color="auto"/>
          </w:divBdr>
          <w:divsChild>
            <w:div w:id="5737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dams@pershingpm.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 Adams</cp:lastModifiedBy>
  <cp:revision>6</cp:revision>
  <dcterms:created xsi:type="dcterms:W3CDTF">2020-11-12T22:18:00Z</dcterms:created>
  <dcterms:modified xsi:type="dcterms:W3CDTF">2020-11-13T06:48:00Z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DM3\7172054.2</vt:lpwstr>
  </property>
</Properties>
</file>