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FA049C" w14:textId="2919ECAE" w:rsidR="002D26F9" w:rsidRDefault="002D26F9" w:rsidP="0060441A">
      <w:pPr>
        <w:shd w:val="clear" w:color="auto" w:fill="FFFFFF"/>
        <w:jc w:val="right"/>
        <w:rPr>
          <w:rFonts w:ascii="Arial" w:hAnsi="Arial" w:cs="Arial"/>
          <w:b/>
          <w:bCs/>
          <w:color w:val="333333"/>
          <w:sz w:val="28"/>
          <w:szCs w:val="28"/>
        </w:rPr>
      </w:pPr>
      <w:r>
        <w:rPr>
          <w:rFonts w:ascii="Arial" w:eastAsia="Helvetica" w:hAnsi="Arial" w:cs="Arial"/>
          <w:bCs/>
          <w:color w:val="000000" w:themeColor="text1"/>
          <w:u w:color="333333"/>
        </w:rPr>
        <w:tab/>
      </w:r>
      <w:r>
        <w:rPr>
          <w:rFonts w:ascii="Arial" w:eastAsia="Helvetica" w:hAnsi="Arial" w:cs="Arial"/>
          <w:bCs/>
          <w:color w:val="000000" w:themeColor="text1"/>
          <w:u w:color="333333"/>
        </w:rPr>
        <w:tab/>
      </w:r>
      <w:r>
        <w:rPr>
          <w:rFonts w:ascii="Arial" w:eastAsia="Helvetica" w:hAnsi="Arial" w:cs="Arial"/>
          <w:bCs/>
          <w:color w:val="000000" w:themeColor="text1"/>
          <w:u w:color="333333"/>
        </w:rPr>
        <w:tab/>
      </w:r>
      <w:r>
        <w:rPr>
          <w:rFonts w:ascii="Arial" w:eastAsia="Helvetica" w:hAnsi="Arial" w:cs="Arial"/>
          <w:bCs/>
          <w:color w:val="000000" w:themeColor="text1"/>
          <w:u w:color="333333"/>
        </w:rPr>
        <w:tab/>
      </w:r>
      <w:r>
        <w:rPr>
          <w:rFonts w:ascii="Arial" w:eastAsia="Helvetica" w:hAnsi="Arial" w:cs="Arial"/>
          <w:bCs/>
          <w:color w:val="000000" w:themeColor="text1"/>
          <w:u w:color="333333"/>
        </w:rPr>
        <w:tab/>
      </w:r>
      <w:r>
        <w:rPr>
          <w:rFonts w:ascii="Arial" w:eastAsia="Helvetica" w:hAnsi="Arial" w:cs="Arial"/>
          <w:bCs/>
          <w:color w:val="000000" w:themeColor="text1"/>
          <w:u w:color="333333"/>
        </w:rPr>
        <w:tab/>
      </w:r>
      <w:r>
        <w:rPr>
          <w:rFonts w:ascii="Arial" w:eastAsia="Times New Roman" w:hAnsi="Arial" w:cs="Arial"/>
          <w:b/>
          <w:bCs/>
          <w:noProof/>
          <w:color w:val="333333"/>
          <w:sz w:val="28"/>
          <w:szCs w:val="28"/>
          <w:lang w:eastAsia="en-US"/>
        </w:rPr>
        <w:drawing>
          <wp:inline distT="0" distB="0" distL="0" distR="0" wp14:anchorId="1DF49A41" wp14:editId="4BCE6569">
            <wp:extent cx="1437873" cy="832493"/>
            <wp:effectExtent l="0" t="0" r="10160" b="5715"/>
            <wp:docPr id="1" name="Picture 1" descr="../../../../../../Desktop/Screen%20Shot%202018-07-13%20at%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8-07-13%20at%2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54338" cy="842026"/>
                    </a:xfrm>
                    <a:prstGeom prst="rect">
                      <a:avLst/>
                    </a:prstGeom>
                    <a:noFill/>
                    <a:ln>
                      <a:noFill/>
                    </a:ln>
                  </pic:spPr>
                </pic:pic>
              </a:graphicData>
            </a:graphic>
          </wp:inline>
        </w:drawing>
      </w:r>
    </w:p>
    <w:p w14:paraId="48155705" w14:textId="77777777" w:rsidR="002D26F9" w:rsidRDefault="002D26F9" w:rsidP="008540A3">
      <w:pPr>
        <w:shd w:val="clear" w:color="auto" w:fill="FFFFFF"/>
        <w:rPr>
          <w:rFonts w:ascii="Arial" w:hAnsi="Arial" w:cs="Arial"/>
          <w:b/>
          <w:bCs/>
          <w:color w:val="333333"/>
          <w:sz w:val="28"/>
          <w:szCs w:val="28"/>
        </w:rPr>
      </w:pPr>
    </w:p>
    <w:p w14:paraId="09590F0F" w14:textId="20233250" w:rsidR="00F41CB3" w:rsidRPr="002D26F9" w:rsidRDefault="00F41CB3" w:rsidP="00F41CB3">
      <w:pPr>
        <w:shd w:val="clear" w:color="auto" w:fill="FFFFFF"/>
        <w:jc w:val="center"/>
        <w:rPr>
          <w:sz w:val="28"/>
          <w:szCs w:val="28"/>
        </w:rPr>
      </w:pPr>
      <w:r w:rsidRPr="002D26F9">
        <w:rPr>
          <w:rFonts w:ascii="Arial" w:hAnsi="Arial" w:cs="Arial"/>
          <w:b/>
          <w:bCs/>
          <w:color w:val="333333"/>
          <w:sz w:val="28"/>
          <w:szCs w:val="28"/>
        </w:rPr>
        <w:t>GSRX I</w:t>
      </w:r>
      <w:r w:rsidR="002B727E" w:rsidRPr="002D26F9">
        <w:rPr>
          <w:rFonts w:ascii="Arial" w:hAnsi="Arial" w:cs="Arial"/>
          <w:b/>
          <w:bCs/>
          <w:color w:val="333333"/>
          <w:sz w:val="28"/>
          <w:szCs w:val="28"/>
        </w:rPr>
        <w:t>ndustries</w:t>
      </w:r>
      <w:r w:rsidRPr="002D26F9">
        <w:rPr>
          <w:rFonts w:ascii="Arial" w:hAnsi="Arial" w:cs="Arial"/>
          <w:b/>
          <w:bCs/>
          <w:color w:val="333333"/>
          <w:sz w:val="28"/>
          <w:szCs w:val="28"/>
        </w:rPr>
        <w:t xml:space="preserve"> I</w:t>
      </w:r>
      <w:r w:rsidR="002B727E">
        <w:rPr>
          <w:rFonts w:ascii="Arial" w:hAnsi="Arial" w:cs="Arial"/>
          <w:b/>
          <w:bCs/>
          <w:color w:val="333333"/>
          <w:sz w:val="28"/>
          <w:szCs w:val="28"/>
        </w:rPr>
        <w:t>nc</w:t>
      </w:r>
      <w:r w:rsidRPr="002D26F9">
        <w:rPr>
          <w:rFonts w:ascii="Arial" w:hAnsi="Arial" w:cs="Arial"/>
          <w:b/>
          <w:bCs/>
          <w:color w:val="333333"/>
          <w:sz w:val="28"/>
          <w:szCs w:val="28"/>
        </w:rPr>
        <w:t xml:space="preserve">. </w:t>
      </w:r>
      <w:r w:rsidR="003D2345">
        <w:rPr>
          <w:rFonts w:ascii="Arial" w:hAnsi="Arial" w:cs="Arial"/>
          <w:b/>
          <w:bCs/>
          <w:color w:val="333333"/>
          <w:sz w:val="28"/>
          <w:szCs w:val="28"/>
        </w:rPr>
        <w:t xml:space="preserve">announces the Sale of </w:t>
      </w:r>
      <w:r w:rsidR="00D23D3F">
        <w:rPr>
          <w:rFonts w:ascii="Arial" w:hAnsi="Arial" w:cs="Arial"/>
          <w:b/>
          <w:bCs/>
          <w:color w:val="333333"/>
          <w:sz w:val="28"/>
          <w:szCs w:val="28"/>
        </w:rPr>
        <w:br/>
      </w:r>
      <w:r w:rsidR="003D2345">
        <w:rPr>
          <w:rFonts w:ascii="Arial" w:hAnsi="Arial" w:cs="Arial"/>
          <w:b/>
          <w:bCs/>
          <w:color w:val="333333"/>
          <w:sz w:val="28"/>
          <w:szCs w:val="28"/>
        </w:rPr>
        <w:t xml:space="preserve">Puerto Rico </w:t>
      </w:r>
      <w:r w:rsidR="00D23D3F">
        <w:rPr>
          <w:rFonts w:ascii="Arial" w:hAnsi="Arial" w:cs="Arial"/>
          <w:b/>
          <w:bCs/>
          <w:color w:val="333333"/>
          <w:sz w:val="28"/>
          <w:szCs w:val="28"/>
        </w:rPr>
        <w:t>Operations &amp; Assets</w:t>
      </w:r>
    </w:p>
    <w:p w14:paraId="38A36148" w14:textId="77777777" w:rsidR="00F41CB3" w:rsidRDefault="00F41CB3" w:rsidP="00F41CB3">
      <w:pPr>
        <w:shd w:val="clear" w:color="auto" w:fill="FFFFFF"/>
      </w:pPr>
      <w:r>
        <w:rPr>
          <w:rFonts w:ascii="Arial" w:hAnsi="Arial" w:cs="Arial"/>
          <w:b/>
          <w:bCs/>
        </w:rPr>
        <w:t> </w:t>
      </w:r>
    </w:p>
    <w:p w14:paraId="6322CDE0" w14:textId="77777777" w:rsidR="00130483" w:rsidRDefault="00130483" w:rsidP="00F41CB3">
      <w:pPr>
        <w:shd w:val="clear" w:color="auto" w:fill="FFFFFF"/>
        <w:jc w:val="center"/>
        <w:rPr>
          <w:rFonts w:ascii="Arial" w:hAnsi="Arial" w:cs="Arial"/>
        </w:rPr>
      </w:pPr>
    </w:p>
    <w:p w14:paraId="6ED7CEC9" w14:textId="5C09BB71" w:rsidR="00F41CB3" w:rsidRDefault="003D2345" w:rsidP="00130483">
      <w:pPr>
        <w:shd w:val="clear" w:color="auto" w:fill="FFFFFF"/>
        <w:rPr>
          <w:rFonts w:ascii="Arial" w:hAnsi="Arial" w:cs="Arial"/>
          <w:b/>
          <w:bCs/>
          <w:sz w:val="22"/>
          <w:szCs w:val="22"/>
        </w:rPr>
      </w:pPr>
      <w:r>
        <w:rPr>
          <w:rFonts w:ascii="Arial" w:hAnsi="Arial" w:cs="Arial"/>
          <w:b/>
          <w:bCs/>
          <w:sz w:val="22"/>
          <w:szCs w:val="22"/>
        </w:rPr>
        <w:t>November 24</w:t>
      </w:r>
      <w:r w:rsidR="004D1823">
        <w:rPr>
          <w:rFonts w:ascii="Arial" w:hAnsi="Arial" w:cs="Arial"/>
          <w:b/>
          <w:bCs/>
          <w:sz w:val="22"/>
          <w:szCs w:val="22"/>
        </w:rPr>
        <w:t>, 2020</w:t>
      </w:r>
    </w:p>
    <w:p w14:paraId="3AE3399C" w14:textId="77777777" w:rsidR="00E7716A" w:rsidRDefault="00E7716A" w:rsidP="00130483">
      <w:pPr>
        <w:shd w:val="clear" w:color="auto" w:fill="FFFFFF"/>
      </w:pPr>
    </w:p>
    <w:p w14:paraId="22D0B056" w14:textId="40B2BC90" w:rsidR="00A41048" w:rsidRDefault="00F41CB3" w:rsidP="00A41048">
      <w:pPr>
        <w:jc w:val="both"/>
        <w:rPr>
          <w:rFonts w:ascii="Arial" w:hAnsi="Arial" w:cs="Arial"/>
          <w:sz w:val="22"/>
          <w:szCs w:val="22"/>
        </w:rPr>
      </w:pPr>
      <w:r>
        <w:rPr>
          <w:rFonts w:ascii="Arial" w:hAnsi="Arial" w:cs="Arial"/>
          <w:b/>
          <w:bCs/>
          <w:sz w:val="22"/>
          <w:szCs w:val="22"/>
        </w:rPr>
        <w:t>Dorado, Puerto Rico</w:t>
      </w:r>
      <w:r w:rsidR="00130483">
        <w:rPr>
          <w:rFonts w:ascii="Arial" w:hAnsi="Arial" w:cs="Arial"/>
          <w:b/>
          <w:bCs/>
          <w:sz w:val="22"/>
          <w:szCs w:val="22"/>
        </w:rPr>
        <w:t xml:space="preserve"> </w:t>
      </w:r>
      <w:r>
        <w:rPr>
          <w:rFonts w:ascii="Arial" w:hAnsi="Arial" w:cs="Arial"/>
          <w:sz w:val="22"/>
          <w:szCs w:val="22"/>
        </w:rPr>
        <w:t xml:space="preserve">– </w:t>
      </w:r>
      <w:r w:rsidRPr="0060441A">
        <w:rPr>
          <w:rFonts w:ascii="Arial" w:hAnsi="Arial" w:cs="Arial"/>
          <w:b/>
          <w:bCs/>
          <w:sz w:val="22"/>
          <w:szCs w:val="22"/>
        </w:rPr>
        <w:t>GSRX Industries Inc.</w:t>
      </w:r>
      <w:r>
        <w:rPr>
          <w:rFonts w:ascii="Arial" w:hAnsi="Arial" w:cs="Arial"/>
          <w:sz w:val="22"/>
          <w:szCs w:val="22"/>
        </w:rPr>
        <w:t xml:space="preserve"> (</w:t>
      </w:r>
      <w:hyperlink r:id="rId5" w:history="1">
        <w:r w:rsidRPr="0060441A">
          <w:rPr>
            <w:rStyle w:val="Hyperlink"/>
            <w:rFonts w:ascii="Arial" w:hAnsi="Arial" w:cs="Arial"/>
            <w:sz w:val="22"/>
            <w:szCs w:val="22"/>
          </w:rPr>
          <w:t>OTC</w:t>
        </w:r>
        <w:r w:rsidR="007075B4">
          <w:rPr>
            <w:rStyle w:val="Hyperlink"/>
            <w:rFonts w:ascii="Arial" w:hAnsi="Arial" w:cs="Arial"/>
            <w:sz w:val="22"/>
            <w:szCs w:val="22"/>
          </w:rPr>
          <w:t xml:space="preserve"> </w:t>
        </w:r>
        <w:proofErr w:type="spellStart"/>
        <w:r w:rsidR="007075B4">
          <w:rPr>
            <w:rStyle w:val="Hyperlink"/>
            <w:rFonts w:ascii="Arial" w:hAnsi="Arial" w:cs="Arial"/>
            <w:sz w:val="22"/>
            <w:szCs w:val="22"/>
          </w:rPr>
          <w:t>Pink</w:t>
        </w:r>
        <w:r w:rsidRPr="0060441A">
          <w:rPr>
            <w:rStyle w:val="Hyperlink"/>
            <w:rFonts w:ascii="Arial" w:hAnsi="Arial" w:cs="Arial"/>
            <w:sz w:val="22"/>
            <w:szCs w:val="22"/>
          </w:rPr>
          <w:t>:GSRX</w:t>
        </w:r>
        <w:proofErr w:type="spellEnd"/>
      </w:hyperlink>
      <w:r>
        <w:rPr>
          <w:rFonts w:ascii="Arial" w:hAnsi="Arial" w:cs="Arial"/>
          <w:sz w:val="22"/>
          <w:szCs w:val="22"/>
        </w:rPr>
        <w:t>) (“</w:t>
      </w:r>
      <w:r w:rsidRPr="0060441A">
        <w:rPr>
          <w:rFonts w:ascii="Arial" w:hAnsi="Arial" w:cs="Arial"/>
          <w:b/>
          <w:bCs/>
          <w:sz w:val="22"/>
          <w:szCs w:val="22"/>
        </w:rPr>
        <w:t>GSRX</w:t>
      </w:r>
      <w:r w:rsidRPr="0060441A">
        <w:rPr>
          <w:rFonts w:ascii="Arial" w:hAnsi="Arial" w:cs="Arial"/>
          <w:sz w:val="22"/>
          <w:szCs w:val="22"/>
        </w:rPr>
        <w:t>”</w:t>
      </w:r>
      <w:r>
        <w:rPr>
          <w:rFonts w:ascii="Arial" w:hAnsi="Arial" w:cs="Arial"/>
          <w:sz w:val="22"/>
          <w:szCs w:val="22"/>
        </w:rPr>
        <w:t xml:space="preserve"> or, the “</w:t>
      </w:r>
      <w:r w:rsidRPr="00B92227">
        <w:rPr>
          <w:rFonts w:ascii="Arial" w:hAnsi="Arial" w:cs="Arial"/>
          <w:b/>
          <w:bCs/>
          <w:sz w:val="22"/>
          <w:szCs w:val="22"/>
        </w:rPr>
        <w:t>Company</w:t>
      </w:r>
      <w:r w:rsidRPr="006C1397">
        <w:rPr>
          <w:rFonts w:ascii="Arial" w:hAnsi="Arial" w:cs="Arial"/>
          <w:sz w:val="22"/>
          <w:szCs w:val="22"/>
        </w:rPr>
        <w:t>”)</w:t>
      </w:r>
      <w:r w:rsidR="004D1823">
        <w:rPr>
          <w:rFonts w:ascii="Arial" w:hAnsi="Arial" w:cs="Arial"/>
          <w:sz w:val="22"/>
          <w:szCs w:val="22"/>
        </w:rPr>
        <w:t xml:space="preserve">, </w:t>
      </w:r>
    </w:p>
    <w:p w14:paraId="7AACAE0B" w14:textId="77777777" w:rsidR="00A41048" w:rsidRDefault="00A41048" w:rsidP="00A41048">
      <w:pPr>
        <w:jc w:val="both"/>
        <w:rPr>
          <w:rFonts w:ascii="Arial" w:hAnsi="Arial" w:cs="Arial"/>
          <w:sz w:val="22"/>
          <w:szCs w:val="22"/>
        </w:rPr>
      </w:pPr>
    </w:p>
    <w:p w14:paraId="6A546524" w14:textId="160C0964" w:rsidR="00A41048" w:rsidRDefault="00A41048" w:rsidP="00A41048">
      <w:pPr>
        <w:jc w:val="both"/>
        <w:rPr>
          <w:rFonts w:ascii="Arial" w:hAnsi="Arial" w:cs="Arial"/>
          <w:sz w:val="22"/>
          <w:szCs w:val="22"/>
        </w:rPr>
      </w:pPr>
      <w:r w:rsidRPr="00A41048">
        <w:rPr>
          <w:rFonts w:ascii="Arial" w:hAnsi="Arial" w:cs="Arial"/>
          <w:sz w:val="22"/>
          <w:szCs w:val="22"/>
        </w:rPr>
        <w:t xml:space="preserve">GSRX Industries Inc. (“GSRX”) </w:t>
      </w:r>
      <w:r>
        <w:rPr>
          <w:rFonts w:ascii="Arial" w:hAnsi="Arial" w:cs="Arial"/>
          <w:sz w:val="22"/>
          <w:szCs w:val="22"/>
        </w:rPr>
        <w:t xml:space="preserve">announces that </w:t>
      </w:r>
      <w:proofErr w:type="spellStart"/>
      <w:r>
        <w:rPr>
          <w:rFonts w:ascii="Arial" w:hAnsi="Arial" w:cs="Arial"/>
          <w:sz w:val="22"/>
          <w:szCs w:val="22"/>
        </w:rPr>
        <w:t>it</w:t>
      </w:r>
      <w:r w:rsidR="00C43D93">
        <w:rPr>
          <w:rFonts w:ascii="Arial" w:hAnsi="Arial" w:cs="Arial"/>
          <w:sz w:val="22"/>
          <w:szCs w:val="22"/>
        </w:rPr>
        <w:t>’s</w:t>
      </w:r>
      <w:proofErr w:type="spellEnd"/>
      <w:r w:rsidR="00C43D93">
        <w:rPr>
          <w:rFonts w:ascii="Arial" w:hAnsi="Arial" w:cs="Arial"/>
          <w:sz w:val="22"/>
          <w:szCs w:val="22"/>
        </w:rPr>
        <w:t xml:space="preserve"> </w:t>
      </w:r>
      <w:proofErr w:type="gramStart"/>
      <w:r w:rsidR="00C43D93">
        <w:rPr>
          <w:rFonts w:ascii="Arial" w:hAnsi="Arial" w:cs="Arial"/>
          <w:sz w:val="22"/>
          <w:szCs w:val="22"/>
        </w:rPr>
        <w:t>wholly-owned</w:t>
      </w:r>
      <w:proofErr w:type="gramEnd"/>
      <w:r w:rsidR="00C43D93">
        <w:rPr>
          <w:rFonts w:ascii="Arial" w:hAnsi="Arial" w:cs="Arial"/>
          <w:sz w:val="22"/>
          <w:szCs w:val="22"/>
        </w:rPr>
        <w:t xml:space="preserve"> subsidiary Project 1493, LLC</w:t>
      </w:r>
      <w:r>
        <w:rPr>
          <w:rFonts w:ascii="Arial" w:hAnsi="Arial" w:cs="Arial"/>
          <w:sz w:val="22"/>
          <w:szCs w:val="22"/>
        </w:rPr>
        <w:t xml:space="preserve"> </w:t>
      </w:r>
      <w:r w:rsidRPr="00A41048">
        <w:rPr>
          <w:rFonts w:ascii="Arial" w:hAnsi="Arial" w:cs="Arial"/>
          <w:sz w:val="22"/>
          <w:szCs w:val="22"/>
        </w:rPr>
        <w:t xml:space="preserve">has sold all of its </w:t>
      </w:r>
      <w:r w:rsidR="001A0E5A">
        <w:rPr>
          <w:rFonts w:ascii="Arial" w:hAnsi="Arial" w:cs="Arial"/>
          <w:sz w:val="22"/>
          <w:szCs w:val="22"/>
        </w:rPr>
        <w:t xml:space="preserve">Puerto Rican </w:t>
      </w:r>
      <w:r w:rsidRPr="00A41048">
        <w:rPr>
          <w:rFonts w:ascii="Arial" w:hAnsi="Arial" w:cs="Arial"/>
          <w:sz w:val="22"/>
          <w:szCs w:val="22"/>
        </w:rPr>
        <w:t>cannabis assets, and assigned all related liabilities, licenses and permits, to</w:t>
      </w:r>
      <w:r w:rsidR="001A0E5A">
        <w:rPr>
          <w:rFonts w:ascii="Arial" w:hAnsi="Arial" w:cs="Arial"/>
          <w:sz w:val="22"/>
          <w:szCs w:val="22"/>
        </w:rPr>
        <w:t xml:space="preserve"> Puerto Rico Industrial Commercial Holdings Biotech, Corp.</w:t>
      </w:r>
      <w:r w:rsidRPr="00A41048">
        <w:rPr>
          <w:rFonts w:ascii="Arial" w:hAnsi="Arial" w:cs="Arial"/>
          <w:sz w:val="22"/>
          <w:szCs w:val="22"/>
        </w:rPr>
        <w:t xml:space="preserve">  in exchange for total aggregate consideration of US$</w:t>
      </w:r>
      <w:r w:rsidR="00AF2F65">
        <w:rPr>
          <w:rFonts w:ascii="Arial" w:hAnsi="Arial" w:cs="Arial"/>
          <w:sz w:val="22"/>
          <w:szCs w:val="22"/>
        </w:rPr>
        <w:t>4,6</w:t>
      </w:r>
      <w:r w:rsidR="00C810A5">
        <w:rPr>
          <w:rFonts w:ascii="Arial" w:hAnsi="Arial" w:cs="Arial"/>
          <w:sz w:val="22"/>
          <w:szCs w:val="22"/>
        </w:rPr>
        <w:t>43</w:t>
      </w:r>
      <w:r w:rsidRPr="00A41048">
        <w:rPr>
          <w:rFonts w:ascii="Arial" w:hAnsi="Arial" w:cs="Arial"/>
          <w:sz w:val="22"/>
          <w:szCs w:val="22"/>
        </w:rPr>
        <w:t>,</w:t>
      </w:r>
      <w:r w:rsidR="00BA0358">
        <w:rPr>
          <w:rFonts w:ascii="Arial" w:hAnsi="Arial" w:cs="Arial"/>
          <w:sz w:val="22"/>
          <w:szCs w:val="22"/>
        </w:rPr>
        <w:t>333</w:t>
      </w:r>
      <w:r w:rsidRPr="00A41048">
        <w:rPr>
          <w:rFonts w:ascii="Arial" w:hAnsi="Arial" w:cs="Arial"/>
          <w:sz w:val="22"/>
          <w:szCs w:val="22"/>
        </w:rPr>
        <w:t>,  comprised of immediate net cash proceeds to GSRX of US$2,</w:t>
      </w:r>
      <w:r w:rsidR="00C810A5">
        <w:rPr>
          <w:rFonts w:ascii="Arial" w:hAnsi="Arial" w:cs="Arial"/>
          <w:sz w:val="22"/>
          <w:szCs w:val="22"/>
        </w:rPr>
        <w:t>243</w:t>
      </w:r>
      <w:r w:rsidRPr="00A41048">
        <w:rPr>
          <w:rFonts w:ascii="Arial" w:hAnsi="Arial" w:cs="Arial"/>
          <w:sz w:val="22"/>
          <w:szCs w:val="22"/>
        </w:rPr>
        <w:t>,</w:t>
      </w:r>
      <w:r w:rsidR="00BA0358">
        <w:rPr>
          <w:rFonts w:ascii="Arial" w:hAnsi="Arial" w:cs="Arial"/>
          <w:sz w:val="22"/>
          <w:szCs w:val="22"/>
        </w:rPr>
        <w:t>333</w:t>
      </w:r>
      <w:r w:rsidRPr="00A41048">
        <w:rPr>
          <w:rFonts w:ascii="Arial" w:hAnsi="Arial" w:cs="Arial"/>
          <w:sz w:val="22"/>
          <w:szCs w:val="22"/>
        </w:rPr>
        <w:t>, and monthly payments to be received in the amount of US$100,000 over a period of 24 months.</w:t>
      </w:r>
    </w:p>
    <w:p w14:paraId="1828F2E5" w14:textId="77777777" w:rsidR="00A41048" w:rsidRPr="00A41048" w:rsidRDefault="00A41048" w:rsidP="00A41048">
      <w:pPr>
        <w:jc w:val="both"/>
        <w:rPr>
          <w:rFonts w:ascii="Arial" w:hAnsi="Arial" w:cs="Arial"/>
          <w:sz w:val="22"/>
          <w:szCs w:val="22"/>
        </w:rPr>
      </w:pPr>
    </w:p>
    <w:p w14:paraId="1D84F6E8" w14:textId="77777777" w:rsidR="00A41048" w:rsidRDefault="00A41048" w:rsidP="00A41048">
      <w:pPr>
        <w:jc w:val="both"/>
        <w:rPr>
          <w:rFonts w:ascii="Arial" w:hAnsi="Arial" w:cs="Arial"/>
          <w:sz w:val="22"/>
          <w:szCs w:val="22"/>
        </w:rPr>
      </w:pPr>
      <w:r w:rsidRPr="00A41048">
        <w:rPr>
          <w:rFonts w:ascii="Arial" w:hAnsi="Arial" w:cs="Arial"/>
          <w:sz w:val="22"/>
          <w:szCs w:val="22"/>
        </w:rPr>
        <w:t>The Company notes that the Puerto Rico Department of Health has approved these transactions.</w:t>
      </w:r>
    </w:p>
    <w:p w14:paraId="6A4B8BAB" w14:textId="77777777" w:rsidR="00A41048" w:rsidRDefault="00A41048" w:rsidP="00A41048">
      <w:pPr>
        <w:jc w:val="both"/>
        <w:rPr>
          <w:rFonts w:ascii="Arial" w:hAnsi="Arial" w:cs="Arial"/>
          <w:sz w:val="22"/>
          <w:szCs w:val="22"/>
        </w:rPr>
      </w:pPr>
    </w:p>
    <w:p w14:paraId="13AF1FDB" w14:textId="07A6BBFA" w:rsidR="00424B84" w:rsidRPr="00E7716A" w:rsidRDefault="00424B84" w:rsidP="00A41048">
      <w:pPr>
        <w:jc w:val="both"/>
        <w:rPr>
          <w:rFonts w:ascii="Arial" w:hAnsi="Arial" w:cs="Arial"/>
          <w:color w:val="000000"/>
          <w:sz w:val="22"/>
          <w:szCs w:val="22"/>
        </w:rPr>
      </w:pPr>
      <w:r>
        <w:rPr>
          <w:rFonts w:ascii="Arial" w:hAnsi="Arial" w:cs="Arial"/>
          <w:b/>
          <w:bCs/>
          <w:color w:val="000000"/>
          <w:sz w:val="22"/>
          <w:szCs w:val="22"/>
        </w:rPr>
        <w:t>About GSRX Industries Inc.</w:t>
      </w:r>
      <w:r>
        <w:rPr>
          <w:rFonts w:ascii="Arial" w:hAnsi="Arial" w:cs="Arial"/>
          <w:color w:val="000000"/>
          <w:sz w:val="22"/>
          <w:szCs w:val="22"/>
        </w:rPr>
        <w:t> </w:t>
      </w:r>
      <w:r>
        <w:rPr>
          <w:rFonts w:ascii="Arial" w:hAnsi="Arial" w:cs="Arial"/>
          <w:b/>
          <w:bCs/>
          <w:color w:val="000000"/>
          <w:sz w:val="22"/>
          <w:szCs w:val="22"/>
          <w:shd w:val="clear" w:color="auto" w:fill="FFFFFF"/>
        </w:rPr>
        <w:tab/>
      </w:r>
      <w:r>
        <w:rPr>
          <w:rFonts w:ascii="Arial" w:hAnsi="Arial" w:cs="Arial"/>
          <w:b/>
          <w:bCs/>
          <w:color w:val="000000"/>
          <w:sz w:val="22"/>
          <w:szCs w:val="22"/>
          <w:shd w:val="clear" w:color="auto" w:fill="FFFFFF"/>
        </w:rPr>
        <w:tab/>
      </w:r>
      <w:r>
        <w:rPr>
          <w:rFonts w:ascii="Arial" w:hAnsi="Arial" w:cs="Arial"/>
          <w:b/>
          <w:bCs/>
          <w:color w:val="000000"/>
          <w:sz w:val="22"/>
          <w:szCs w:val="22"/>
          <w:shd w:val="clear" w:color="auto" w:fill="FFFFFF"/>
        </w:rPr>
        <w:tab/>
      </w:r>
      <w:r>
        <w:rPr>
          <w:rFonts w:ascii="Arial" w:hAnsi="Arial" w:cs="Arial"/>
          <w:b/>
          <w:bCs/>
          <w:color w:val="000000"/>
          <w:sz w:val="22"/>
          <w:szCs w:val="22"/>
          <w:shd w:val="clear" w:color="auto" w:fill="FFFFFF"/>
        </w:rPr>
        <w:tab/>
      </w:r>
      <w:r>
        <w:rPr>
          <w:rFonts w:ascii="Arial" w:hAnsi="Arial" w:cs="Arial"/>
          <w:b/>
          <w:bCs/>
          <w:color w:val="000000"/>
          <w:sz w:val="22"/>
          <w:szCs w:val="22"/>
          <w:shd w:val="clear" w:color="auto" w:fill="FFFFFF"/>
        </w:rPr>
        <w:tab/>
      </w:r>
      <w:r>
        <w:rPr>
          <w:rFonts w:ascii="Arial" w:hAnsi="Arial" w:cs="Arial"/>
          <w:b/>
          <w:bCs/>
          <w:color w:val="000000"/>
          <w:sz w:val="22"/>
          <w:szCs w:val="22"/>
          <w:shd w:val="clear" w:color="auto" w:fill="FFFFFF"/>
        </w:rPr>
        <w:tab/>
      </w:r>
      <w:r>
        <w:rPr>
          <w:rFonts w:ascii="Arial" w:hAnsi="Arial" w:cs="Arial"/>
          <w:b/>
          <w:bCs/>
          <w:color w:val="000000"/>
          <w:sz w:val="22"/>
          <w:szCs w:val="22"/>
          <w:shd w:val="clear" w:color="auto" w:fill="FFFFFF"/>
        </w:rPr>
        <w:tab/>
      </w:r>
      <w:r>
        <w:rPr>
          <w:rFonts w:ascii="Arial" w:hAnsi="Arial" w:cs="Arial"/>
          <w:b/>
          <w:bCs/>
          <w:color w:val="000000"/>
          <w:sz w:val="22"/>
          <w:szCs w:val="22"/>
          <w:shd w:val="clear" w:color="auto" w:fill="FFFFFF"/>
        </w:rPr>
        <w:tab/>
        <w:t xml:space="preserve">  </w:t>
      </w:r>
      <w:r w:rsidRPr="005C28D9">
        <w:rPr>
          <w:rFonts w:ascii="Arial" w:hAnsi="Arial" w:cs="Arial"/>
          <w:color w:val="000000" w:themeColor="text1"/>
          <w:sz w:val="22"/>
          <w:szCs w:val="22"/>
          <w:bdr w:val="none" w:sz="0" w:space="0" w:color="auto" w:frame="1"/>
          <w:shd w:val="clear" w:color="auto" w:fill="FFFFFF"/>
        </w:rPr>
        <w:t xml:space="preserve">GSRX Industries Inc. </w:t>
      </w:r>
      <w:r w:rsidR="00950D3B">
        <w:rPr>
          <w:rFonts w:ascii="Arial" w:hAnsi="Arial" w:cs="Arial"/>
          <w:sz w:val="22"/>
          <w:szCs w:val="22"/>
        </w:rPr>
        <w:t>(</w:t>
      </w:r>
      <w:hyperlink r:id="rId6" w:history="1">
        <w:r w:rsidR="00950D3B" w:rsidRPr="0060441A">
          <w:rPr>
            <w:rStyle w:val="Hyperlink"/>
            <w:rFonts w:ascii="Arial" w:hAnsi="Arial" w:cs="Arial"/>
            <w:sz w:val="22"/>
            <w:szCs w:val="22"/>
          </w:rPr>
          <w:t>OTC</w:t>
        </w:r>
        <w:r w:rsidR="007075B4">
          <w:rPr>
            <w:rStyle w:val="Hyperlink"/>
            <w:rFonts w:ascii="Arial" w:hAnsi="Arial" w:cs="Arial"/>
            <w:sz w:val="22"/>
            <w:szCs w:val="22"/>
          </w:rPr>
          <w:t xml:space="preserve"> Pink</w:t>
        </w:r>
        <w:r w:rsidR="00950D3B" w:rsidRPr="0060441A">
          <w:rPr>
            <w:rStyle w:val="Hyperlink"/>
            <w:rFonts w:ascii="Arial" w:hAnsi="Arial" w:cs="Arial"/>
            <w:sz w:val="22"/>
            <w:szCs w:val="22"/>
          </w:rPr>
          <w:t>:GSRX</w:t>
        </w:r>
      </w:hyperlink>
      <w:r w:rsidR="00950D3B">
        <w:rPr>
          <w:rFonts w:ascii="Arial" w:hAnsi="Arial" w:cs="Arial"/>
          <w:sz w:val="22"/>
          <w:szCs w:val="22"/>
        </w:rPr>
        <w:t>)</w:t>
      </w:r>
      <w:r w:rsidRPr="005C28D9">
        <w:rPr>
          <w:rFonts w:ascii="Arial" w:hAnsi="Arial" w:cs="Arial"/>
          <w:color w:val="000000" w:themeColor="text1"/>
          <w:sz w:val="22"/>
          <w:szCs w:val="22"/>
          <w:bdr w:val="none" w:sz="0" w:space="0" w:color="auto" w:frame="1"/>
          <w:shd w:val="clear" w:color="auto" w:fill="FFFFFF"/>
        </w:rPr>
        <w:t>,</w:t>
      </w:r>
      <w:r w:rsidR="00AF2F65" w:rsidRPr="00AF2F65">
        <w:rPr>
          <w:rFonts w:ascii="Arial" w:hAnsi="Arial" w:cs="Arial"/>
          <w:color w:val="000000" w:themeColor="text1"/>
          <w:sz w:val="22"/>
          <w:szCs w:val="22"/>
          <w:bdr w:val="none" w:sz="0" w:space="0" w:color="auto" w:frame="1"/>
          <w:shd w:val="clear" w:color="auto" w:fill="FFFFFF"/>
        </w:rPr>
        <w:t> through its subsidiaries, is in the business of distribution, extraction and light manufacturing, and delivery of cannabis and cannabinoid products. GSRX also owns and operates the e-commerce site </w:t>
      </w:r>
      <w:proofErr w:type="spellStart"/>
      <w:r w:rsidR="00AF2F65" w:rsidRPr="00AF2F65">
        <w:rPr>
          <w:rFonts w:ascii="Arial" w:hAnsi="Arial" w:cs="Arial"/>
          <w:color w:val="000000" w:themeColor="text1"/>
          <w:sz w:val="22"/>
          <w:szCs w:val="22"/>
          <w:bdr w:val="none" w:sz="0" w:space="0" w:color="auto" w:frame="1"/>
          <w:shd w:val="clear" w:color="auto" w:fill="FFFFFF"/>
        </w:rPr>
        <w:t>GetPureAndNatural.com</w:t>
      </w:r>
      <w:proofErr w:type="spellEnd"/>
      <w:r w:rsidR="00AF2F65" w:rsidRPr="00AF2F65">
        <w:rPr>
          <w:rFonts w:ascii="Arial" w:hAnsi="Arial" w:cs="Arial"/>
          <w:color w:val="000000" w:themeColor="text1"/>
          <w:sz w:val="22"/>
          <w:szCs w:val="22"/>
          <w:bdr w:val="none" w:sz="0" w:space="0" w:color="auto" w:frame="1"/>
          <w:shd w:val="clear" w:color="auto" w:fill="FFFFFF"/>
        </w:rPr>
        <w:t>, which offers a broad range of premium hemp extract products.</w:t>
      </w:r>
    </w:p>
    <w:p w14:paraId="676397DD" w14:textId="404CA10D" w:rsidR="0060441A" w:rsidRDefault="00424B84" w:rsidP="009A6675">
      <w:pPr>
        <w:shd w:val="clear" w:color="auto" w:fill="FFFFFF"/>
        <w:spacing w:before="100" w:beforeAutospacing="1" w:after="100" w:afterAutospacing="1"/>
        <w:rPr>
          <w:rFonts w:ascii="Arial" w:hAnsi="Arial" w:cs="Arial"/>
          <w:b/>
          <w:bCs/>
          <w:sz w:val="22"/>
          <w:szCs w:val="22"/>
        </w:rPr>
      </w:pPr>
      <w:r w:rsidRPr="00C24D6A">
        <w:rPr>
          <w:rFonts w:ascii="Arial" w:hAnsi="Arial" w:cs="Arial"/>
          <w:b/>
          <w:bCs/>
          <w:sz w:val="22"/>
          <w:szCs w:val="22"/>
        </w:rPr>
        <w:t>Forward-Looking</w:t>
      </w:r>
      <w:r w:rsidR="009A6675">
        <w:rPr>
          <w:rFonts w:ascii="Arial" w:hAnsi="Arial" w:cs="Arial"/>
          <w:b/>
          <w:bCs/>
          <w:sz w:val="22"/>
          <w:szCs w:val="22"/>
        </w:rPr>
        <w:t xml:space="preserve"> </w:t>
      </w:r>
      <w:r w:rsidR="00E7716A">
        <w:rPr>
          <w:rFonts w:ascii="Arial" w:hAnsi="Arial" w:cs="Arial"/>
          <w:b/>
          <w:bCs/>
          <w:sz w:val="22"/>
          <w:szCs w:val="22"/>
        </w:rPr>
        <w:t>S</w:t>
      </w:r>
      <w:r w:rsidRPr="00C24D6A">
        <w:rPr>
          <w:rFonts w:ascii="Arial" w:hAnsi="Arial" w:cs="Arial"/>
          <w:b/>
          <w:bCs/>
          <w:sz w:val="22"/>
          <w:szCs w:val="22"/>
        </w:rPr>
        <w:t>tatements</w:t>
      </w:r>
      <w:r w:rsidR="00E7716A">
        <w:rPr>
          <w:rFonts w:ascii="Arial" w:hAnsi="Arial" w:cs="Arial"/>
          <w:b/>
          <w:bCs/>
          <w:sz w:val="22"/>
          <w:szCs w:val="22"/>
        </w:rPr>
        <w:br/>
      </w:r>
      <w:r w:rsidRPr="009A6675">
        <w:rPr>
          <w:rFonts w:ascii="Arial" w:hAnsi="Arial" w:cs="Arial"/>
          <w:i/>
          <w:iCs/>
          <w:sz w:val="20"/>
          <w:szCs w:val="20"/>
        </w:rPr>
        <w:t xml:space="preserve">This </w:t>
      </w:r>
      <w:proofErr w:type="gramStart"/>
      <w:r w:rsidRPr="009A6675">
        <w:rPr>
          <w:rFonts w:ascii="Arial" w:hAnsi="Arial" w:cs="Arial"/>
          <w:i/>
          <w:iCs/>
          <w:sz w:val="20"/>
          <w:szCs w:val="20"/>
        </w:rPr>
        <w:t>press</w:t>
      </w:r>
      <w:proofErr w:type="gramEnd"/>
      <w:r w:rsidRPr="009A6675">
        <w:rPr>
          <w:rFonts w:ascii="Arial" w:hAnsi="Arial" w:cs="Arial"/>
          <w:i/>
          <w:iCs/>
          <w:sz w:val="20"/>
          <w:szCs w:val="20"/>
        </w:rPr>
        <w:t xml:space="preserve"> release contains forward-looking statements. Such statements include statements regarding our expectations, hopes, beliefs or intentions regarding the future, including but not limited to statements regarding our market, strategy, competition, development plans (including acquisitions and expansion), financing, anticipated revenues, operations, and compliance with applicable laws. Forward-looking statements involve certain risks and uncertainties, and actual results may differ materially from those discussed in any such statement. Factors that could cause actual results to differ materially from such forward-looking statements include the risks described in greater detail in the following paragraphs. All forward-looking statements in this document are made as of the date hereof, based on information available to us as of the date hereof, and we assume no obligation to update any forward-looking statement except where applicable law requires us to update these statements. Market data used throughout this prospectus is based on published third party reports or the good faith estimates of management, which estimates are based upon their review of internal surveys, independent industry publications and other publicly available information.</w:t>
      </w:r>
    </w:p>
    <w:p w14:paraId="0F187230" w14:textId="7A396068" w:rsidR="00CB25E6" w:rsidRPr="009E5A47" w:rsidRDefault="00424B84" w:rsidP="009A6675">
      <w:pPr>
        <w:shd w:val="clear" w:color="auto" w:fill="FFFFFF"/>
        <w:spacing w:before="100" w:beforeAutospacing="1" w:after="100" w:afterAutospacing="1"/>
        <w:jc w:val="both"/>
        <w:rPr>
          <w:rFonts w:ascii="Arial" w:eastAsia="Times New Roman" w:hAnsi="Arial" w:cs="Arial"/>
          <w:sz w:val="22"/>
          <w:szCs w:val="22"/>
        </w:rPr>
      </w:pPr>
      <w:r w:rsidRPr="00C24D6A">
        <w:rPr>
          <w:rFonts w:ascii="Arial" w:eastAsia="Times New Roman" w:hAnsi="Arial" w:cs="Arial"/>
          <w:b/>
          <w:bCs/>
          <w:i/>
          <w:iCs/>
          <w:sz w:val="22"/>
          <w:szCs w:val="22"/>
        </w:rPr>
        <w:t>Contact</w:t>
      </w:r>
      <w:r w:rsidRPr="00C24D6A">
        <w:rPr>
          <w:rFonts w:ascii="Arial" w:eastAsia="Times New Roman" w:hAnsi="Arial" w:cs="Arial"/>
          <w:sz w:val="22"/>
          <w:szCs w:val="22"/>
        </w:rPr>
        <w:t>:                         </w:t>
      </w:r>
      <w:r w:rsidR="009A6675">
        <w:rPr>
          <w:rFonts w:ascii="Arial" w:eastAsia="Times New Roman" w:hAnsi="Arial" w:cs="Arial"/>
          <w:sz w:val="22"/>
          <w:szCs w:val="22"/>
        </w:rPr>
        <w:br/>
      </w:r>
      <w:r w:rsidRPr="00C24D6A">
        <w:rPr>
          <w:rFonts w:ascii="Arial" w:eastAsia="Times New Roman" w:hAnsi="Arial" w:cs="Arial"/>
          <w:sz w:val="22"/>
          <w:szCs w:val="22"/>
        </w:rPr>
        <w:t> </w:t>
      </w:r>
      <w:proofErr w:type="spellStart"/>
      <w:r w:rsidR="00D23D3F">
        <w:fldChar w:fldCharType="begin"/>
      </w:r>
      <w:r w:rsidR="00D23D3F">
        <w:instrText xml:space="preserve"> HYPERLINK "mailto:ir@gsrxindustries.com" </w:instrText>
      </w:r>
      <w:r w:rsidR="00D23D3F">
        <w:fldChar w:fldCharType="separate"/>
      </w:r>
      <w:r w:rsidR="00164374" w:rsidRPr="00164374">
        <w:rPr>
          <w:rStyle w:val="Hyperlink"/>
          <w:rFonts w:ascii="Arial" w:eastAsia="Times New Roman" w:hAnsi="Arial" w:cs="Arial"/>
          <w:sz w:val="22"/>
          <w:szCs w:val="22"/>
        </w:rPr>
        <w:t>ir@gsrxindustries.com</w:t>
      </w:r>
      <w:proofErr w:type="spellEnd"/>
      <w:r w:rsidR="00D23D3F">
        <w:rPr>
          <w:rStyle w:val="Hyperlink"/>
          <w:rFonts w:ascii="Arial" w:eastAsia="Times New Roman" w:hAnsi="Arial" w:cs="Arial"/>
          <w:sz w:val="22"/>
          <w:szCs w:val="22"/>
        </w:rPr>
        <w:fldChar w:fldCharType="end"/>
      </w:r>
    </w:p>
    <w:sectPr w:rsidR="00CB25E6" w:rsidRPr="009E5A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CB3"/>
    <w:rsid w:val="0003738B"/>
    <w:rsid w:val="00056428"/>
    <w:rsid w:val="000966C6"/>
    <w:rsid w:val="000D2704"/>
    <w:rsid w:val="000D6443"/>
    <w:rsid w:val="000E6120"/>
    <w:rsid w:val="00112968"/>
    <w:rsid w:val="00130483"/>
    <w:rsid w:val="00130F7A"/>
    <w:rsid w:val="001634A6"/>
    <w:rsid w:val="00164374"/>
    <w:rsid w:val="00165478"/>
    <w:rsid w:val="001A0E5A"/>
    <w:rsid w:val="001F0B6E"/>
    <w:rsid w:val="0021066F"/>
    <w:rsid w:val="002253AF"/>
    <w:rsid w:val="002265D6"/>
    <w:rsid w:val="00263B85"/>
    <w:rsid w:val="0027502B"/>
    <w:rsid w:val="00294CBB"/>
    <w:rsid w:val="002B727E"/>
    <w:rsid w:val="002C4747"/>
    <w:rsid w:val="002D26F9"/>
    <w:rsid w:val="00314CBC"/>
    <w:rsid w:val="0039172A"/>
    <w:rsid w:val="00397726"/>
    <w:rsid w:val="003D2345"/>
    <w:rsid w:val="003F58A6"/>
    <w:rsid w:val="004038CC"/>
    <w:rsid w:val="00424B84"/>
    <w:rsid w:val="00493578"/>
    <w:rsid w:val="004A05C9"/>
    <w:rsid w:val="004B55B5"/>
    <w:rsid w:val="004D1823"/>
    <w:rsid w:val="004E5524"/>
    <w:rsid w:val="004F5B61"/>
    <w:rsid w:val="00562965"/>
    <w:rsid w:val="00596258"/>
    <w:rsid w:val="005B35A8"/>
    <w:rsid w:val="005D4A39"/>
    <w:rsid w:val="005D586B"/>
    <w:rsid w:val="005E1768"/>
    <w:rsid w:val="0060441A"/>
    <w:rsid w:val="00630687"/>
    <w:rsid w:val="006432F7"/>
    <w:rsid w:val="00647291"/>
    <w:rsid w:val="00657B5C"/>
    <w:rsid w:val="0068154D"/>
    <w:rsid w:val="006C1397"/>
    <w:rsid w:val="006F64DE"/>
    <w:rsid w:val="0070074B"/>
    <w:rsid w:val="007075B4"/>
    <w:rsid w:val="0074759C"/>
    <w:rsid w:val="0077400B"/>
    <w:rsid w:val="0078435D"/>
    <w:rsid w:val="007C0521"/>
    <w:rsid w:val="008540A3"/>
    <w:rsid w:val="008A69D8"/>
    <w:rsid w:val="008B0F14"/>
    <w:rsid w:val="008F7AE4"/>
    <w:rsid w:val="00905EA2"/>
    <w:rsid w:val="00922587"/>
    <w:rsid w:val="00950D3B"/>
    <w:rsid w:val="00992027"/>
    <w:rsid w:val="00992B3D"/>
    <w:rsid w:val="00996D5F"/>
    <w:rsid w:val="00997518"/>
    <w:rsid w:val="009A6675"/>
    <w:rsid w:val="009B646F"/>
    <w:rsid w:val="009C4FF8"/>
    <w:rsid w:val="009C5EA6"/>
    <w:rsid w:val="009E5A47"/>
    <w:rsid w:val="009F1A3D"/>
    <w:rsid w:val="00A238D3"/>
    <w:rsid w:val="00A32A1E"/>
    <w:rsid w:val="00A41048"/>
    <w:rsid w:val="00A52CED"/>
    <w:rsid w:val="00A54A31"/>
    <w:rsid w:val="00A6628C"/>
    <w:rsid w:val="00A96EBF"/>
    <w:rsid w:val="00AA54DC"/>
    <w:rsid w:val="00AB3060"/>
    <w:rsid w:val="00AD53EC"/>
    <w:rsid w:val="00AF2F65"/>
    <w:rsid w:val="00AF3A11"/>
    <w:rsid w:val="00B263F1"/>
    <w:rsid w:val="00B92227"/>
    <w:rsid w:val="00B9655A"/>
    <w:rsid w:val="00BA0358"/>
    <w:rsid w:val="00BC0CA7"/>
    <w:rsid w:val="00BD7F1C"/>
    <w:rsid w:val="00C16FD7"/>
    <w:rsid w:val="00C17575"/>
    <w:rsid w:val="00C43D93"/>
    <w:rsid w:val="00C55D92"/>
    <w:rsid w:val="00C638D2"/>
    <w:rsid w:val="00C810A5"/>
    <w:rsid w:val="00CB25E6"/>
    <w:rsid w:val="00CB7998"/>
    <w:rsid w:val="00D0424E"/>
    <w:rsid w:val="00D23D3F"/>
    <w:rsid w:val="00D31E28"/>
    <w:rsid w:val="00D4412A"/>
    <w:rsid w:val="00D53BC6"/>
    <w:rsid w:val="00D603A5"/>
    <w:rsid w:val="00D6545E"/>
    <w:rsid w:val="00D66B9A"/>
    <w:rsid w:val="00D77694"/>
    <w:rsid w:val="00DD25A9"/>
    <w:rsid w:val="00E26FF0"/>
    <w:rsid w:val="00E507CB"/>
    <w:rsid w:val="00E7328C"/>
    <w:rsid w:val="00E76CDF"/>
    <w:rsid w:val="00E7716A"/>
    <w:rsid w:val="00E82A6B"/>
    <w:rsid w:val="00E87AA5"/>
    <w:rsid w:val="00EA057F"/>
    <w:rsid w:val="00EC0196"/>
    <w:rsid w:val="00ED115E"/>
    <w:rsid w:val="00ED5B18"/>
    <w:rsid w:val="00EE302A"/>
    <w:rsid w:val="00F1198E"/>
    <w:rsid w:val="00F27AD9"/>
    <w:rsid w:val="00F41CB3"/>
    <w:rsid w:val="00F4244E"/>
    <w:rsid w:val="00F43F3C"/>
    <w:rsid w:val="00FB4A3D"/>
    <w:rsid w:val="00FD4C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3C63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41CB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1CB3"/>
    <w:rPr>
      <w:color w:val="0000FF"/>
      <w:u w:val="single"/>
    </w:rPr>
  </w:style>
  <w:style w:type="character" w:customStyle="1" w:styleId="apple-converted-space">
    <w:name w:val="apple-converted-space"/>
    <w:basedOn w:val="DefaultParagraphFont"/>
    <w:rsid w:val="00F41CB3"/>
  </w:style>
  <w:style w:type="paragraph" w:styleId="BalloonText">
    <w:name w:val="Balloon Text"/>
    <w:basedOn w:val="Normal"/>
    <w:link w:val="BalloonTextChar"/>
    <w:uiPriority w:val="99"/>
    <w:semiHidden/>
    <w:unhideWhenUsed/>
    <w:rsid w:val="0027502B"/>
    <w:rPr>
      <w:sz w:val="18"/>
      <w:szCs w:val="18"/>
    </w:rPr>
  </w:style>
  <w:style w:type="character" w:customStyle="1" w:styleId="BalloonTextChar">
    <w:name w:val="Balloon Text Char"/>
    <w:basedOn w:val="DefaultParagraphFont"/>
    <w:link w:val="BalloonText"/>
    <w:uiPriority w:val="99"/>
    <w:semiHidden/>
    <w:rsid w:val="0027502B"/>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493578"/>
    <w:rPr>
      <w:color w:val="800080" w:themeColor="followedHyperlink"/>
      <w:u w:val="single"/>
    </w:rPr>
  </w:style>
  <w:style w:type="paragraph" w:styleId="NormalWeb">
    <w:name w:val="Normal (Web)"/>
    <w:uiPriority w:val="99"/>
    <w:rsid w:val="0068154D"/>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eastAsia="en-US"/>
    </w:rPr>
  </w:style>
  <w:style w:type="character" w:styleId="UnresolvedMention">
    <w:name w:val="Unresolved Mention"/>
    <w:basedOn w:val="DefaultParagraphFont"/>
    <w:uiPriority w:val="99"/>
    <w:rsid w:val="00E732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458935">
      <w:bodyDiv w:val="1"/>
      <w:marLeft w:val="0"/>
      <w:marRight w:val="0"/>
      <w:marTop w:val="0"/>
      <w:marBottom w:val="0"/>
      <w:divBdr>
        <w:top w:val="none" w:sz="0" w:space="0" w:color="auto"/>
        <w:left w:val="none" w:sz="0" w:space="0" w:color="auto"/>
        <w:bottom w:val="none" w:sz="0" w:space="0" w:color="auto"/>
        <w:right w:val="none" w:sz="0" w:space="0" w:color="auto"/>
      </w:divBdr>
    </w:div>
    <w:div w:id="521476163">
      <w:bodyDiv w:val="1"/>
      <w:marLeft w:val="0"/>
      <w:marRight w:val="0"/>
      <w:marTop w:val="0"/>
      <w:marBottom w:val="0"/>
      <w:divBdr>
        <w:top w:val="none" w:sz="0" w:space="0" w:color="auto"/>
        <w:left w:val="none" w:sz="0" w:space="0" w:color="auto"/>
        <w:bottom w:val="none" w:sz="0" w:space="0" w:color="auto"/>
        <w:right w:val="none" w:sz="0" w:space="0" w:color="auto"/>
      </w:divBdr>
    </w:div>
    <w:div w:id="541867169">
      <w:bodyDiv w:val="1"/>
      <w:marLeft w:val="0"/>
      <w:marRight w:val="0"/>
      <w:marTop w:val="0"/>
      <w:marBottom w:val="0"/>
      <w:divBdr>
        <w:top w:val="none" w:sz="0" w:space="0" w:color="auto"/>
        <w:left w:val="none" w:sz="0" w:space="0" w:color="auto"/>
        <w:bottom w:val="none" w:sz="0" w:space="0" w:color="auto"/>
        <w:right w:val="none" w:sz="0" w:space="0" w:color="auto"/>
      </w:divBdr>
    </w:div>
    <w:div w:id="965966963">
      <w:bodyDiv w:val="1"/>
      <w:marLeft w:val="0"/>
      <w:marRight w:val="0"/>
      <w:marTop w:val="0"/>
      <w:marBottom w:val="0"/>
      <w:divBdr>
        <w:top w:val="none" w:sz="0" w:space="0" w:color="auto"/>
        <w:left w:val="none" w:sz="0" w:space="0" w:color="auto"/>
        <w:bottom w:val="none" w:sz="0" w:space="0" w:color="auto"/>
        <w:right w:val="none" w:sz="0" w:space="0" w:color="auto"/>
      </w:divBdr>
    </w:div>
    <w:div w:id="1802075295">
      <w:bodyDiv w:val="1"/>
      <w:marLeft w:val="0"/>
      <w:marRight w:val="0"/>
      <w:marTop w:val="0"/>
      <w:marBottom w:val="0"/>
      <w:divBdr>
        <w:top w:val="none" w:sz="0" w:space="0" w:color="auto"/>
        <w:left w:val="none" w:sz="0" w:space="0" w:color="auto"/>
        <w:bottom w:val="none" w:sz="0" w:space="0" w:color="auto"/>
        <w:right w:val="none" w:sz="0" w:space="0" w:color="auto"/>
      </w:divBdr>
      <w:divsChild>
        <w:div w:id="845746996">
          <w:marLeft w:val="0"/>
          <w:marRight w:val="0"/>
          <w:marTop w:val="0"/>
          <w:marBottom w:val="0"/>
          <w:divBdr>
            <w:top w:val="none" w:sz="0" w:space="0" w:color="auto"/>
            <w:left w:val="none" w:sz="0" w:space="0" w:color="auto"/>
            <w:bottom w:val="none" w:sz="0" w:space="0" w:color="auto"/>
            <w:right w:val="none" w:sz="0" w:space="0" w:color="auto"/>
          </w:divBdr>
        </w:div>
        <w:div w:id="855849277">
          <w:marLeft w:val="0"/>
          <w:marRight w:val="0"/>
          <w:marTop w:val="0"/>
          <w:marBottom w:val="0"/>
          <w:divBdr>
            <w:top w:val="none" w:sz="0" w:space="0" w:color="auto"/>
            <w:left w:val="none" w:sz="0" w:space="0" w:color="auto"/>
            <w:bottom w:val="none" w:sz="0" w:space="0" w:color="auto"/>
            <w:right w:val="none" w:sz="0" w:space="0" w:color="auto"/>
          </w:divBdr>
        </w:div>
      </w:divsChild>
    </w:div>
    <w:div w:id="188012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tcmarkets.com/stock/GSRX/overview" TargetMode="External"/><Relationship Id="rId5" Type="http://schemas.openxmlformats.org/officeDocument/2006/relationships/hyperlink" Target="https://www.otcmarkets.com/stock/GSRX/overview"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SRF</dc:creator>
  <cp:lastModifiedBy>Ranbir Kalan</cp:lastModifiedBy>
  <cp:revision>9</cp:revision>
  <dcterms:created xsi:type="dcterms:W3CDTF">2020-11-24T17:24:00Z</dcterms:created>
  <dcterms:modified xsi:type="dcterms:W3CDTF">2020-11-24T20:58:00Z</dcterms:modified>
</cp:coreProperties>
</file>