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D8BCF" w14:textId="77777777" w:rsidR="007824E0" w:rsidRDefault="007824E0" w:rsidP="00E42611">
      <w:pPr>
        <w:spacing w:after="0"/>
        <w:ind w:left="720" w:hanging="720"/>
        <w:jc w:val="center"/>
        <w:rPr>
          <w:rFonts w:eastAsia="Calibri" w:cs="Times New Roman"/>
          <w:b/>
        </w:rPr>
      </w:pPr>
      <w:bookmarkStart w:id="0" w:name="_GoBack"/>
      <w:bookmarkEnd w:id="0"/>
    </w:p>
    <w:p w14:paraId="40295CD7" w14:textId="77777777" w:rsidR="007E1824" w:rsidRDefault="00AD375C" w:rsidP="007E1824">
      <w:pPr>
        <w:spacing w:after="0"/>
        <w:ind w:left="720" w:hanging="720"/>
        <w:jc w:val="center"/>
        <w:rPr>
          <w:rFonts w:eastAsia="Calibri" w:cs="Times New Roman"/>
          <w:b/>
        </w:rPr>
      </w:pPr>
      <w:bookmarkStart w:id="1" w:name="OLE_LINK11"/>
      <w:bookmarkStart w:id="2" w:name="OLE_LINK12"/>
      <w:r w:rsidRPr="00CF182C">
        <w:rPr>
          <w:rFonts w:eastAsia="Calibri" w:cs="Times New Roman"/>
          <w:b/>
        </w:rPr>
        <w:t xml:space="preserve">Kadmon </w:t>
      </w:r>
      <w:r w:rsidR="00E11B30">
        <w:rPr>
          <w:rFonts w:eastAsia="Calibri" w:cs="Times New Roman"/>
          <w:b/>
        </w:rPr>
        <w:t>Announce</w:t>
      </w:r>
      <w:r w:rsidR="007B51FC">
        <w:rPr>
          <w:rFonts w:eastAsia="Calibri" w:cs="Times New Roman"/>
          <w:b/>
        </w:rPr>
        <w:t>s 12-Month Data from Pivotal Trial of Belumosudil for cGVHD at the 62</w:t>
      </w:r>
      <w:r w:rsidR="007B51FC" w:rsidRPr="007B51FC">
        <w:rPr>
          <w:rFonts w:eastAsia="Calibri" w:cs="Times New Roman"/>
          <w:b/>
          <w:vertAlign w:val="superscript"/>
        </w:rPr>
        <w:t>nd</w:t>
      </w:r>
      <w:r w:rsidR="007B51FC">
        <w:rPr>
          <w:rFonts w:eastAsia="Calibri" w:cs="Times New Roman"/>
          <w:b/>
        </w:rPr>
        <w:t xml:space="preserve"> ASH Annual Meeting</w:t>
      </w:r>
    </w:p>
    <w:p w14:paraId="0DDB7961" w14:textId="77777777" w:rsidR="00343DF4" w:rsidRDefault="00343DF4" w:rsidP="007E1824">
      <w:pPr>
        <w:spacing w:after="0"/>
        <w:ind w:left="720" w:hanging="720"/>
        <w:jc w:val="center"/>
        <w:rPr>
          <w:rFonts w:eastAsia="Calibri" w:cs="Times New Roman"/>
          <w:b/>
        </w:rPr>
      </w:pPr>
    </w:p>
    <w:p w14:paraId="37CC267A" w14:textId="77777777" w:rsidR="00343DF4" w:rsidRDefault="00343DF4" w:rsidP="00343DF4">
      <w:pPr>
        <w:spacing w:after="0"/>
        <w:ind w:left="720" w:hanging="720"/>
        <w:jc w:val="center"/>
        <w:rPr>
          <w:rFonts w:eastAsia="Calibri" w:cs="Times New Roman"/>
          <w:i/>
        </w:rPr>
      </w:pPr>
      <w:r w:rsidRPr="007E1824">
        <w:rPr>
          <w:rFonts w:eastAsia="Calibri" w:cs="Times New Roman"/>
          <w:i/>
        </w:rPr>
        <w:t>-</w:t>
      </w:r>
      <w:r>
        <w:rPr>
          <w:rFonts w:eastAsia="Calibri" w:cs="Times New Roman"/>
          <w:i/>
        </w:rPr>
        <w:t xml:space="preserve"> ORRs of 73% and 77</w:t>
      </w:r>
      <w:r w:rsidRPr="00343DF4">
        <w:rPr>
          <w:rFonts w:eastAsia="Calibri" w:cs="Times New Roman"/>
          <w:i/>
        </w:rPr>
        <w:t>% with Belumosudil 200 mg QD and 200 mg BID, Respectively</w:t>
      </w:r>
      <w:r>
        <w:rPr>
          <w:rFonts w:eastAsia="Calibri" w:cs="Times New Roman"/>
          <w:i/>
        </w:rPr>
        <w:t xml:space="preserve"> –</w:t>
      </w:r>
    </w:p>
    <w:p w14:paraId="2DECDE8D" w14:textId="77777777" w:rsidR="00343DF4" w:rsidRDefault="00343DF4" w:rsidP="00343DF4">
      <w:pPr>
        <w:spacing w:after="0"/>
        <w:ind w:left="720" w:hanging="720"/>
        <w:jc w:val="center"/>
        <w:rPr>
          <w:rFonts w:eastAsia="Calibri" w:cs="Times New Roman"/>
          <w:i/>
        </w:rPr>
      </w:pPr>
    </w:p>
    <w:p w14:paraId="7322A4F5" w14:textId="77777777" w:rsidR="00343DF4" w:rsidRPr="00343DF4" w:rsidRDefault="00343DF4" w:rsidP="00343DF4">
      <w:pPr>
        <w:spacing w:after="0"/>
        <w:ind w:left="720" w:hanging="720"/>
        <w:jc w:val="center"/>
        <w:rPr>
          <w:rFonts w:eastAsia="Calibri" w:cs="Times New Roman"/>
          <w:i/>
        </w:rPr>
      </w:pPr>
      <w:r>
        <w:rPr>
          <w:rFonts w:eastAsia="Calibri" w:cs="Times New Roman"/>
          <w:i/>
        </w:rPr>
        <w:t xml:space="preserve">- </w:t>
      </w:r>
      <w:r w:rsidR="00D357B8">
        <w:rPr>
          <w:rFonts w:eastAsia="Calibri" w:cs="Times New Roman"/>
          <w:i/>
        </w:rPr>
        <w:t xml:space="preserve">cGVHD </w:t>
      </w:r>
      <w:r w:rsidR="00291F6E">
        <w:rPr>
          <w:rFonts w:eastAsia="Calibri" w:cs="Times New Roman"/>
          <w:i/>
        </w:rPr>
        <w:t>Key Opinion Leader</w:t>
      </w:r>
      <w:r w:rsidR="00D357B8">
        <w:rPr>
          <w:rFonts w:eastAsia="Calibri" w:cs="Times New Roman"/>
          <w:i/>
        </w:rPr>
        <w:t xml:space="preserve"> Webcast </w:t>
      </w:r>
      <w:r w:rsidR="00EA2530">
        <w:rPr>
          <w:rFonts w:eastAsia="Calibri" w:cs="Times New Roman"/>
          <w:i/>
        </w:rPr>
        <w:t>Today at 2:15 p.m. Eastern Time</w:t>
      </w:r>
      <w:r w:rsidR="00464909">
        <w:rPr>
          <w:rFonts w:eastAsia="Calibri" w:cs="Times New Roman"/>
          <w:i/>
        </w:rPr>
        <w:t xml:space="preserve"> (11:15 a.m. Pacific Time)</w:t>
      </w:r>
      <w:r w:rsidRPr="00BB017B">
        <w:rPr>
          <w:rFonts w:eastAsia="Calibri" w:cs="Times New Roman"/>
          <w:i/>
        </w:rPr>
        <w:t xml:space="preserve"> -</w:t>
      </w:r>
    </w:p>
    <w:p w14:paraId="131F2DC3" w14:textId="77777777" w:rsidR="00AD375C" w:rsidRDefault="00AD375C" w:rsidP="00AD375C">
      <w:pPr>
        <w:spacing w:after="0"/>
        <w:rPr>
          <w:rFonts w:eastAsia="Calibri" w:cs="Times New Roman"/>
          <w:b/>
        </w:rPr>
      </w:pPr>
    </w:p>
    <w:p w14:paraId="2E2B54E7" w14:textId="77777777" w:rsidR="00E5308E" w:rsidRDefault="00776217" w:rsidP="00AD375C">
      <w:pPr>
        <w:spacing w:after="120"/>
        <w:jc w:val="both"/>
        <w:rPr>
          <w:rFonts w:eastAsia="Calibri" w:cs="Arial"/>
          <w:bCs/>
        </w:rPr>
      </w:pPr>
      <w:r>
        <w:rPr>
          <w:rFonts w:eastAsia="Calibri" w:cs="Times New Roman"/>
          <w:b/>
        </w:rPr>
        <w:t xml:space="preserve">NEW YORK, </w:t>
      </w:r>
      <w:r w:rsidR="006E6685">
        <w:rPr>
          <w:rFonts w:eastAsia="Calibri" w:cs="Times New Roman"/>
          <w:b/>
        </w:rPr>
        <w:t>December 6</w:t>
      </w:r>
      <w:r w:rsidR="00AD375C" w:rsidRPr="00E07458">
        <w:rPr>
          <w:rFonts w:eastAsia="Calibri" w:cs="Times New Roman"/>
          <w:b/>
        </w:rPr>
        <w:t xml:space="preserve">, </w:t>
      </w:r>
      <w:r w:rsidR="00AD375C">
        <w:rPr>
          <w:rFonts w:eastAsia="Calibri" w:cs="Times New Roman"/>
          <w:b/>
        </w:rPr>
        <w:t>2020</w:t>
      </w:r>
      <w:r w:rsidR="00AD375C">
        <w:rPr>
          <w:rFonts w:eastAsia="Calibri" w:cs="Times New Roman"/>
        </w:rPr>
        <w:t xml:space="preserve"> – </w:t>
      </w:r>
      <w:r w:rsidR="00AD375C" w:rsidRPr="00192F1B">
        <w:rPr>
          <w:rFonts w:eastAsia="Calibri" w:cs="Times New Roman"/>
        </w:rPr>
        <w:t>Kadmon Holdings, Inc. (N</w:t>
      </w:r>
      <w:r w:rsidR="00AD375C">
        <w:rPr>
          <w:rFonts w:eastAsia="Calibri" w:cs="Times New Roman"/>
        </w:rPr>
        <w:t>asdaq</w:t>
      </w:r>
      <w:r w:rsidR="00AD375C" w:rsidRPr="00192F1B">
        <w:rPr>
          <w:rFonts w:eastAsia="Calibri" w:cs="Times New Roman"/>
        </w:rPr>
        <w:t xml:space="preserve">: KDMN) </w:t>
      </w:r>
      <w:r w:rsidR="00AD375C" w:rsidRPr="006518F1">
        <w:rPr>
          <w:rFonts w:eastAsia="Calibri" w:cs="Times New Roman"/>
        </w:rPr>
        <w:t xml:space="preserve">today </w:t>
      </w:r>
      <w:r w:rsidR="008E0835">
        <w:rPr>
          <w:rFonts w:eastAsia="Calibri" w:cs="Times New Roman"/>
        </w:rPr>
        <w:t>announced</w:t>
      </w:r>
      <w:r w:rsidR="006E5EE4">
        <w:rPr>
          <w:rFonts w:eastAsia="Calibri" w:cs="Times New Roman"/>
        </w:rPr>
        <w:t xml:space="preserve"> </w:t>
      </w:r>
      <w:r w:rsidR="00EF4747">
        <w:rPr>
          <w:rFonts w:eastAsia="Calibri" w:cs="Arial"/>
          <w:bCs/>
        </w:rPr>
        <w:t xml:space="preserve">12-month data from </w:t>
      </w:r>
      <w:proofErr w:type="spellStart"/>
      <w:r w:rsidR="00EF4747">
        <w:rPr>
          <w:rFonts w:eastAsia="Calibri" w:cs="Arial"/>
          <w:bCs/>
        </w:rPr>
        <w:t>ROCKstar</w:t>
      </w:r>
      <w:proofErr w:type="spellEnd"/>
      <w:r w:rsidR="006E5EE4">
        <w:rPr>
          <w:rFonts w:eastAsia="Calibri" w:cs="Arial"/>
          <w:bCs/>
        </w:rPr>
        <w:t>, its ongoin</w:t>
      </w:r>
      <w:r w:rsidR="00EF4747">
        <w:rPr>
          <w:rFonts w:eastAsia="Calibri" w:cs="Arial"/>
          <w:bCs/>
        </w:rPr>
        <w:t xml:space="preserve">g pivotal trial of belumosudil </w:t>
      </w:r>
      <w:r w:rsidR="006E5EE4">
        <w:rPr>
          <w:rFonts w:eastAsia="Calibri" w:cs="Arial"/>
          <w:bCs/>
        </w:rPr>
        <w:t xml:space="preserve">for the treatment of </w:t>
      </w:r>
      <w:r w:rsidR="00E11B30">
        <w:rPr>
          <w:rFonts w:eastAsia="Calibri" w:cs="Arial"/>
          <w:bCs/>
        </w:rPr>
        <w:t xml:space="preserve">patients with </w:t>
      </w:r>
      <w:r w:rsidR="006E5EE4" w:rsidRPr="000022AC">
        <w:rPr>
          <w:rFonts w:eastAsia="Calibri" w:cs="Arial"/>
          <w:bCs/>
        </w:rPr>
        <w:t>chronic graft-versus-host disease (cGVHD</w:t>
      </w:r>
      <w:r w:rsidR="006E5EE4">
        <w:rPr>
          <w:rFonts w:eastAsia="Calibri" w:cs="Arial"/>
          <w:bCs/>
        </w:rPr>
        <w:t>)</w:t>
      </w:r>
      <w:r w:rsidR="004F3331">
        <w:rPr>
          <w:rFonts w:eastAsia="Calibri" w:cs="Arial"/>
          <w:bCs/>
        </w:rPr>
        <w:t>,</w:t>
      </w:r>
      <w:r w:rsidR="00E11B30">
        <w:rPr>
          <w:rFonts w:eastAsia="Calibri" w:cs="Arial"/>
          <w:bCs/>
        </w:rPr>
        <w:t xml:space="preserve"> </w:t>
      </w:r>
      <w:r w:rsidR="006E5EE4">
        <w:rPr>
          <w:rFonts w:eastAsia="Calibri" w:cs="Arial"/>
          <w:bCs/>
        </w:rPr>
        <w:t>in an oral session at the 62</w:t>
      </w:r>
      <w:r w:rsidR="006E5EE4" w:rsidRPr="000022AC">
        <w:rPr>
          <w:rFonts w:eastAsia="Calibri" w:cs="Arial"/>
          <w:bCs/>
          <w:vertAlign w:val="superscript"/>
        </w:rPr>
        <w:t>nd</w:t>
      </w:r>
      <w:r w:rsidR="006E5EE4">
        <w:rPr>
          <w:rFonts w:eastAsia="Calibri" w:cs="Arial"/>
          <w:bCs/>
        </w:rPr>
        <w:t xml:space="preserve"> </w:t>
      </w:r>
      <w:r w:rsidR="006E5EE4" w:rsidRPr="000022AC">
        <w:rPr>
          <w:rFonts w:eastAsia="Calibri" w:cs="Arial"/>
          <w:bCs/>
        </w:rPr>
        <w:t>American Society of Hema</w:t>
      </w:r>
      <w:r w:rsidR="006E5EE4">
        <w:rPr>
          <w:rFonts w:eastAsia="Calibri" w:cs="Arial"/>
          <w:bCs/>
        </w:rPr>
        <w:t>tology (ASH) Annual Meeting.</w:t>
      </w:r>
    </w:p>
    <w:p w14:paraId="4F64EB32" w14:textId="7EAC1B19" w:rsidR="00CB2CBE" w:rsidRDefault="004F3331" w:rsidP="00377AFB">
      <w:pPr>
        <w:spacing w:after="120"/>
        <w:jc w:val="both"/>
        <w:rPr>
          <w:rFonts w:eastAsia="Calibri" w:cs="Arial"/>
          <w:bCs/>
        </w:rPr>
      </w:pPr>
      <w:r>
        <w:rPr>
          <w:rFonts w:eastAsia="Calibri" w:cs="Arial"/>
          <w:bCs/>
        </w:rPr>
        <w:t xml:space="preserve">At the 12-month </w:t>
      </w:r>
      <w:r w:rsidR="0053388C">
        <w:rPr>
          <w:rFonts w:eastAsia="Calibri" w:cs="Arial"/>
          <w:bCs/>
        </w:rPr>
        <w:t xml:space="preserve">follow-up </w:t>
      </w:r>
      <w:r>
        <w:rPr>
          <w:rFonts w:eastAsia="Calibri" w:cs="Arial"/>
          <w:bCs/>
        </w:rPr>
        <w:t>analysis</w:t>
      </w:r>
      <w:r w:rsidR="003F2BD0">
        <w:rPr>
          <w:rFonts w:eastAsia="Calibri" w:cs="Arial"/>
          <w:bCs/>
        </w:rPr>
        <w:t>,</w:t>
      </w:r>
      <w:r>
        <w:rPr>
          <w:rFonts w:eastAsia="Calibri" w:cs="Arial"/>
          <w:bCs/>
        </w:rPr>
        <w:t xml:space="preserve"> b</w:t>
      </w:r>
      <w:r w:rsidR="00E11B30" w:rsidRPr="00E11B30">
        <w:rPr>
          <w:rFonts w:eastAsia="Calibri" w:cs="Arial"/>
          <w:bCs/>
        </w:rPr>
        <w:t xml:space="preserve">elumosudil achieved clinically meaningful and statistically significant Overall Response Rates (ORRs) of 73% with 200 mg once daily (QD) (95% Confidence Interval </w:t>
      </w:r>
      <w:r w:rsidR="00E11B30">
        <w:rPr>
          <w:rFonts w:eastAsia="Calibri" w:cs="Arial"/>
          <w:bCs/>
        </w:rPr>
        <w:t>(CI): 60%, 83%; p&lt;0.0001) and 77</w:t>
      </w:r>
      <w:r w:rsidR="00E11B30" w:rsidRPr="00E11B30">
        <w:rPr>
          <w:rFonts w:eastAsia="Calibri" w:cs="Arial"/>
          <w:bCs/>
        </w:rPr>
        <w:t xml:space="preserve">% with 200 </w:t>
      </w:r>
      <w:r w:rsidR="00E11B30">
        <w:rPr>
          <w:rFonts w:eastAsia="Calibri" w:cs="Arial"/>
          <w:bCs/>
        </w:rPr>
        <w:t>mg twice daily (BID) (95% CI: 65</w:t>
      </w:r>
      <w:r w:rsidR="00E11B30" w:rsidRPr="00E11B30">
        <w:rPr>
          <w:rFonts w:eastAsia="Calibri" w:cs="Arial"/>
          <w:bCs/>
        </w:rPr>
        <w:t>%, 8</w:t>
      </w:r>
      <w:r w:rsidR="00E11B30">
        <w:rPr>
          <w:rFonts w:eastAsia="Calibri" w:cs="Arial"/>
          <w:bCs/>
        </w:rPr>
        <w:t>7</w:t>
      </w:r>
      <w:r w:rsidR="00E11B30" w:rsidRPr="00E11B30">
        <w:rPr>
          <w:rFonts w:eastAsia="Calibri" w:cs="Arial"/>
          <w:bCs/>
        </w:rPr>
        <w:t>%; p&lt;0.0001)</w:t>
      </w:r>
      <w:r w:rsidR="00D357B8">
        <w:rPr>
          <w:rFonts w:eastAsia="Calibri" w:cs="Arial"/>
          <w:bCs/>
        </w:rPr>
        <w:t xml:space="preserve"> in patients with cGVHD </w:t>
      </w:r>
      <w:r w:rsidR="00D357B8" w:rsidRPr="00E11B30">
        <w:rPr>
          <w:rFonts w:eastAsia="Calibri" w:cs="Arial"/>
          <w:bCs/>
        </w:rPr>
        <w:t>who have received at least two prior lines of systemic therapy</w:t>
      </w:r>
      <w:r w:rsidR="00E11B30" w:rsidRPr="00E11B30">
        <w:rPr>
          <w:rFonts w:eastAsia="Calibri" w:cs="Arial"/>
          <w:bCs/>
        </w:rPr>
        <w:t>. Responses were achieved across key patient subgroups and complete responses were observed in all organ systems</w:t>
      </w:r>
      <w:r w:rsidR="00D357B8">
        <w:rPr>
          <w:rFonts w:eastAsia="Calibri" w:cs="Arial"/>
          <w:bCs/>
        </w:rPr>
        <w:t>, including</w:t>
      </w:r>
      <w:r w:rsidR="00053936">
        <w:rPr>
          <w:rFonts w:eastAsia="Calibri" w:cs="Arial"/>
          <w:bCs/>
        </w:rPr>
        <w:t xml:space="preserve"> </w:t>
      </w:r>
      <w:r w:rsidR="00EF4747">
        <w:rPr>
          <w:rFonts w:eastAsia="Calibri" w:cs="Arial"/>
          <w:bCs/>
        </w:rPr>
        <w:t>i</w:t>
      </w:r>
      <w:r w:rsidR="00053936">
        <w:rPr>
          <w:rFonts w:eastAsia="Calibri" w:cs="Arial"/>
          <w:bCs/>
        </w:rPr>
        <w:t xml:space="preserve">n lung. </w:t>
      </w:r>
    </w:p>
    <w:p w14:paraId="6D9FCFBA" w14:textId="77777777" w:rsidR="00377AFB" w:rsidRPr="00377AFB" w:rsidRDefault="00CB2CBE" w:rsidP="00377AFB">
      <w:pPr>
        <w:spacing w:after="120"/>
        <w:jc w:val="both"/>
        <w:rPr>
          <w:rFonts w:eastAsia="Calibri" w:cs="Arial"/>
          <w:bCs/>
        </w:rPr>
      </w:pPr>
      <w:r>
        <w:rPr>
          <w:rFonts w:eastAsia="Calibri" w:cs="Arial"/>
          <w:bCs/>
        </w:rPr>
        <w:t xml:space="preserve">Belumosudil performed well across all secondary endpoints: </w:t>
      </w:r>
      <w:r w:rsidR="00D357B8">
        <w:rPr>
          <w:rFonts w:eastAsia="Calibri" w:cs="Arial"/>
          <w:bCs/>
        </w:rPr>
        <w:t xml:space="preserve"> </w:t>
      </w:r>
    </w:p>
    <w:p w14:paraId="26F1085C" w14:textId="77777777" w:rsidR="00CB2CBE" w:rsidRPr="009B3107" w:rsidRDefault="00137FB4" w:rsidP="009B3107">
      <w:pPr>
        <w:pStyle w:val="ListParagraph"/>
        <w:numPr>
          <w:ilvl w:val="0"/>
          <w:numId w:val="9"/>
        </w:numPr>
        <w:spacing w:after="120"/>
        <w:jc w:val="both"/>
        <w:rPr>
          <w:rFonts w:ascii="Times New Roman" w:hAnsi="Times New Roman" w:cs="Times New Roman"/>
          <w:bCs/>
          <w:sz w:val="22"/>
          <w:szCs w:val="22"/>
        </w:rPr>
      </w:pPr>
      <w:r w:rsidRPr="009B3107">
        <w:rPr>
          <w:rFonts w:ascii="Times New Roman" w:hAnsi="Times New Roman" w:cs="Times New Roman"/>
          <w:bCs/>
          <w:sz w:val="22"/>
          <w:szCs w:val="22"/>
        </w:rPr>
        <w:t>Responses were durable, with a</w:t>
      </w:r>
      <w:r w:rsidR="00DA41C3" w:rsidRPr="009B3107">
        <w:rPr>
          <w:rFonts w:ascii="Times New Roman" w:hAnsi="Times New Roman" w:cs="Times New Roman"/>
          <w:bCs/>
          <w:sz w:val="22"/>
          <w:szCs w:val="22"/>
        </w:rPr>
        <w:t xml:space="preserve"> </w:t>
      </w:r>
      <w:r w:rsidR="00053936" w:rsidRPr="009B3107">
        <w:rPr>
          <w:rFonts w:ascii="Times New Roman" w:hAnsi="Times New Roman" w:cs="Times New Roman"/>
          <w:bCs/>
          <w:sz w:val="22"/>
          <w:szCs w:val="22"/>
        </w:rPr>
        <w:t xml:space="preserve">median </w:t>
      </w:r>
      <w:r w:rsidR="00DA41C3" w:rsidRPr="009B3107">
        <w:rPr>
          <w:rFonts w:ascii="Times New Roman" w:hAnsi="Times New Roman" w:cs="Times New Roman"/>
          <w:bCs/>
          <w:sz w:val="22"/>
          <w:szCs w:val="22"/>
        </w:rPr>
        <w:t xml:space="preserve">duration </w:t>
      </w:r>
      <w:r w:rsidRPr="009B3107">
        <w:rPr>
          <w:rFonts w:ascii="Times New Roman" w:hAnsi="Times New Roman" w:cs="Times New Roman"/>
          <w:bCs/>
          <w:sz w:val="22"/>
          <w:szCs w:val="22"/>
        </w:rPr>
        <w:t xml:space="preserve">of response </w:t>
      </w:r>
      <w:r w:rsidR="00DA41C3" w:rsidRPr="009B3107">
        <w:rPr>
          <w:rFonts w:ascii="Times New Roman" w:hAnsi="Times New Roman" w:cs="Times New Roman"/>
          <w:bCs/>
          <w:sz w:val="22"/>
          <w:szCs w:val="22"/>
        </w:rPr>
        <w:t>of 50 weeks</w:t>
      </w:r>
      <w:r w:rsidR="00CB2CBE" w:rsidRPr="009B3107">
        <w:rPr>
          <w:rFonts w:ascii="Times New Roman" w:hAnsi="Times New Roman" w:cs="Times New Roman"/>
          <w:bCs/>
          <w:sz w:val="22"/>
          <w:szCs w:val="22"/>
        </w:rPr>
        <w:t>;</w:t>
      </w:r>
      <w:r w:rsidR="00DA41C3" w:rsidRPr="009B3107">
        <w:rPr>
          <w:rFonts w:ascii="Times New Roman" w:hAnsi="Times New Roman" w:cs="Times New Roman"/>
          <w:bCs/>
          <w:sz w:val="22"/>
          <w:szCs w:val="22"/>
        </w:rPr>
        <w:t xml:space="preserve"> 60</w:t>
      </w:r>
      <w:r w:rsidR="00377AFB" w:rsidRPr="009B3107">
        <w:rPr>
          <w:rFonts w:ascii="Times New Roman" w:hAnsi="Times New Roman" w:cs="Times New Roman"/>
          <w:bCs/>
          <w:sz w:val="22"/>
          <w:szCs w:val="22"/>
        </w:rPr>
        <w:t>% of responders have maintained their response</w:t>
      </w:r>
      <w:r w:rsidR="00793363" w:rsidRPr="009B3107">
        <w:rPr>
          <w:rFonts w:ascii="Times New Roman" w:hAnsi="Times New Roman" w:cs="Times New Roman"/>
          <w:bCs/>
          <w:sz w:val="22"/>
          <w:szCs w:val="22"/>
        </w:rPr>
        <w:t>s</w:t>
      </w:r>
      <w:r w:rsidR="00377AFB" w:rsidRPr="009B3107">
        <w:rPr>
          <w:rFonts w:ascii="Times New Roman" w:hAnsi="Times New Roman" w:cs="Times New Roman"/>
          <w:bCs/>
          <w:sz w:val="22"/>
          <w:szCs w:val="22"/>
        </w:rPr>
        <w:t xml:space="preserve"> for 2</w:t>
      </w:r>
      <w:r w:rsidR="00DA41C3" w:rsidRPr="009B3107">
        <w:rPr>
          <w:rFonts w:ascii="Times New Roman" w:hAnsi="Times New Roman" w:cs="Times New Roman"/>
          <w:bCs/>
          <w:sz w:val="22"/>
          <w:szCs w:val="22"/>
        </w:rPr>
        <w:t>0 weeks</w:t>
      </w:r>
      <w:r w:rsidR="00053936" w:rsidRPr="009B3107">
        <w:rPr>
          <w:rFonts w:ascii="Times New Roman" w:hAnsi="Times New Roman" w:cs="Times New Roman"/>
          <w:bCs/>
          <w:sz w:val="22"/>
          <w:szCs w:val="22"/>
        </w:rPr>
        <w:t xml:space="preserve"> or longer</w:t>
      </w:r>
    </w:p>
    <w:p w14:paraId="07DA7995" w14:textId="6BB4F1F5" w:rsidR="00CB2CBE" w:rsidRPr="009B3107" w:rsidRDefault="00137FB4" w:rsidP="009B3107">
      <w:pPr>
        <w:pStyle w:val="ListParagraph"/>
        <w:numPr>
          <w:ilvl w:val="0"/>
          <w:numId w:val="9"/>
        </w:numPr>
        <w:spacing w:after="120"/>
        <w:jc w:val="both"/>
        <w:rPr>
          <w:rFonts w:ascii="Times New Roman" w:hAnsi="Times New Roman" w:cs="Times New Roman"/>
          <w:bCs/>
          <w:sz w:val="22"/>
          <w:szCs w:val="22"/>
        </w:rPr>
      </w:pPr>
      <w:r w:rsidRPr="009B3107">
        <w:rPr>
          <w:rFonts w:ascii="Times New Roman" w:hAnsi="Times New Roman" w:cs="Times New Roman"/>
          <w:bCs/>
          <w:sz w:val="22"/>
          <w:szCs w:val="22"/>
        </w:rPr>
        <w:t xml:space="preserve">A Failure-Free Survival (FFS) rate of 58% was maintained at </w:t>
      </w:r>
      <w:r w:rsidR="00AB183B">
        <w:rPr>
          <w:rFonts w:ascii="Times New Roman" w:hAnsi="Times New Roman" w:cs="Times New Roman"/>
          <w:bCs/>
          <w:sz w:val="22"/>
          <w:szCs w:val="22"/>
        </w:rPr>
        <w:t xml:space="preserve">12 months </w:t>
      </w:r>
    </w:p>
    <w:p w14:paraId="6376F988" w14:textId="77777777" w:rsidR="00CB2CBE" w:rsidRPr="009B3107" w:rsidRDefault="00CB2CBE" w:rsidP="009B3107">
      <w:pPr>
        <w:pStyle w:val="ListParagraph"/>
        <w:numPr>
          <w:ilvl w:val="0"/>
          <w:numId w:val="9"/>
        </w:numPr>
        <w:spacing w:after="120"/>
        <w:jc w:val="both"/>
        <w:rPr>
          <w:rFonts w:ascii="Times New Roman" w:hAnsi="Times New Roman" w:cs="Times New Roman"/>
          <w:bCs/>
          <w:sz w:val="22"/>
          <w:szCs w:val="22"/>
        </w:rPr>
      </w:pPr>
      <w:r w:rsidRPr="009B3107">
        <w:rPr>
          <w:rFonts w:ascii="Times New Roman" w:hAnsi="Times New Roman" w:cs="Times New Roman"/>
          <w:bCs/>
          <w:sz w:val="22"/>
          <w:szCs w:val="22"/>
        </w:rPr>
        <w:t>C</w:t>
      </w:r>
      <w:r w:rsidR="00DA41C3" w:rsidRPr="009B3107">
        <w:rPr>
          <w:rFonts w:ascii="Times New Roman" w:hAnsi="Times New Roman" w:cs="Times New Roman"/>
          <w:bCs/>
          <w:sz w:val="22"/>
          <w:szCs w:val="22"/>
        </w:rPr>
        <w:t xml:space="preserve">linically meaningful improvement </w:t>
      </w:r>
      <w:r w:rsidR="009B3107" w:rsidRPr="009B3107">
        <w:rPr>
          <w:rFonts w:ascii="Times New Roman" w:hAnsi="Times New Roman" w:cs="Times New Roman"/>
          <w:bCs/>
          <w:sz w:val="22"/>
          <w:szCs w:val="22"/>
        </w:rPr>
        <w:t xml:space="preserve">from baseline </w:t>
      </w:r>
      <w:r w:rsidR="00DA41C3" w:rsidRPr="009B3107">
        <w:rPr>
          <w:rFonts w:ascii="Times New Roman" w:hAnsi="Times New Roman" w:cs="Times New Roman"/>
          <w:bCs/>
          <w:sz w:val="22"/>
          <w:szCs w:val="22"/>
        </w:rPr>
        <w:t>in the Lee Symptom Scale (LSS) score</w:t>
      </w:r>
      <w:r w:rsidRPr="009B3107">
        <w:rPr>
          <w:rFonts w:ascii="Times New Roman" w:hAnsi="Times New Roman" w:cs="Times New Roman"/>
          <w:bCs/>
          <w:sz w:val="22"/>
          <w:szCs w:val="22"/>
        </w:rPr>
        <w:t>, a quality-of-life measurement,</w:t>
      </w:r>
      <w:r w:rsidR="00DA41C3" w:rsidRPr="009B3107">
        <w:rPr>
          <w:rFonts w:ascii="Times New Roman" w:hAnsi="Times New Roman" w:cs="Times New Roman"/>
          <w:bCs/>
          <w:sz w:val="22"/>
          <w:szCs w:val="22"/>
        </w:rPr>
        <w:t xml:space="preserve"> was observed </w:t>
      </w:r>
      <w:r w:rsidR="00137FB4" w:rsidRPr="009B3107">
        <w:rPr>
          <w:rFonts w:ascii="Times New Roman" w:hAnsi="Times New Roman" w:cs="Times New Roman"/>
          <w:bCs/>
          <w:sz w:val="22"/>
          <w:szCs w:val="22"/>
        </w:rPr>
        <w:t>in 60% of patients</w:t>
      </w:r>
    </w:p>
    <w:p w14:paraId="664FBD48" w14:textId="00855BC1" w:rsidR="009B3107" w:rsidRPr="009B3107" w:rsidRDefault="002E33E6" w:rsidP="009B3107">
      <w:pPr>
        <w:pStyle w:val="ListParagraph"/>
        <w:numPr>
          <w:ilvl w:val="0"/>
          <w:numId w:val="9"/>
        </w:numPr>
        <w:spacing w:after="120"/>
        <w:jc w:val="both"/>
        <w:rPr>
          <w:rFonts w:ascii="Times New Roman" w:hAnsi="Times New Roman" w:cs="Times New Roman"/>
          <w:bCs/>
          <w:sz w:val="22"/>
          <w:szCs w:val="22"/>
        </w:rPr>
      </w:pPr>
      <w:r>
        <w:rPr>
          <w:rFonts w:ascii="Times New Roman" w:hAnsi="Times New Roman" w:cs="Times New Roman"/>
          <w:bCs/>
          <w:sz w:val="22"/>
          <w:szCs w:val="22"/>
        </w:rPr>
        <w:t>64%</w:t>
      </w:r>
      <w:r w:rsidR="00137FB4" w:rsidRPr="009B3107">
        <w:rPr>
          <w:rFonts w:ascii="Times New Roman" w:hAnsi="Times New Roman" w:cs="Times New Roman"/>
          <w:bCs/>
          <w:sz w:val="22"/>
          <w:szCs w:val="22"/>
        </w:rPr>
        <w:t xml:space="preserve"> of patients were able to reduce their corticosteroid dose, with 21% of patients completely discontinuing corticosteroid therapy</w:t>
      </w:r>
    </w:p>
    <w:p w14:paraId="33E6B4A6" w14:textId="77777777" w:rsidR="001A37D6" w:rsidRDefault="00137FB4" w:rsidP="001A37D6">
      <w:pPr>
        <w:pStyle w:val="ListParagraph"/>
        <w:numPr>
          <w:ilvl w:val="0"/>
          <w:numId w:val="9"/>
        </w:numPr>
        <w:spacing w:after="120"/>
        <w:jc w:val="both"/>
        <w:rPr>
          <w:rFonts w:ascii="Times New Roman" w:hAnsi="Times New Roman" w:cs="Times New Roman"/>
          <w:bCs/>
          <w:sz w:val="22"/>
          <w:szCs w:val="22"/>
        </w:rPr>
      </w:pPr>
      <w:r w:rsidRPr="009B3107">
        <w:rPr>
          <w:rFonts w:ascii="Times New Roman" w:hAnsi="Times New Roman" w:cs="Times New Roman"/>
          <w:bCs/>
          <w:sz w:val="22"/>
          <w:szCs w:val="22"/>
        </w:rPr>
        <w:t xml:space="preserve">Belumosudil has been well tolerated and adverse events have been consistent with those expected in the </w:t>
      </w:r>
      <w:r w:rsidR="00793363" w:rsidRPr="009B3107">
        <w:rPr>
          <w:rFonts w:ascii="Times New Roman" w:hAnsi="Times New Roman" w:cs="Times New Roman"/>
          <w:bCs/>
          <w:sz w:val="22"/>
          <w:szCs w:val="22"/>
        </w:rPr>
        <w:t xml:space="preserve">cGVHD </w:t>
      </w:r>
      <w:r w:rsidRPr="009B3107">
        <w:rPr>
          <w:rFonts w:ascii="Times New Roman" w:hAnsi="Times New Roman" w:cs="Times New Roman"/>
          <w:bCs/>
          <w:sz w:val="22"/>
          <w:szCs w:val="22"/>
        </w:rPr>
        <w:t>patient population</w:t>
      </w:r>
      <w:r w:rsidR="0053388C">
        <w:rPr>
          <w:rFonts w:ascii="Times New Roman" w:hAnsi="Times New Roman" w:cs="Times New Roman"/>
          <w:bCs/>
          <w:sz w:val="22"/>
          <w:szCs w:val="22"/>
        </w:rPr>
        <w:t xml:space="preserve"> </w:t>
      </w:r>
    </w:p>
    <w:p w14:paraId="1C1D5C0F" w14:textId="72E9F43E" w:rsidR="00137FB4" w:rsidRDefault="00137FB4" w:rsidP="00C776CE">
      <w:pPr>
        <w:pStyle w:val="ListParagraph"/>
        <w:spacing w:after="120"/>
        <w:jc w:val="both"/>
        <w:rPr>
          <w:rFonts w:ascii="Times New Roman" w:hAnsi="Times New Roman" w:cs="Times New Roman"/>
          <w:bCs/>
          <w:sz w:val="22"/>
          <w:szCs w:val="22"/>
        </w:rPr>
      </w:pPr>
    </w:p>
    <w:p w14:paraId="2D616A51" w14:textId="4E6B3A3C" w:rsidR="004609EA" w:rsidRDefault="004609EA" w:rsidP="00291F6E">
      <w:pPr>
        <w:spacing w:after="120"/>
        <w:jc w:val="both"/>
        <w:rPr>
          <w:rFonts w:eastAsia="Calibri" w:cs="Arial"/>
          <w:bCs/>
        </w:rPr>
      </w:pPr>
      <w:r>
        <w:rPr>
          <w:rFonts w:eastAsia="Calibri" w:cs="Arial"/>
          <w:bCs/>
        </w:rPr>
        <w:t xml:space="preserve">“The </w:t>
      </w:r>
      <w:r w:rsidR="007D690F">
        <w:rPr>
          <w:rFonts w:eastAsia="Calibri" w:cs="Arial"/>
          <w:bCs/>
        </w:rPr>
        <w:t xml:space="preserve">positive results </w:t>
      </w:r>
      <w:r w:rsidR="00F84E0C">
        <w:rPr>
          <w:rFonts w:eastAsia="Calibri" w:cs="Arial"/>
          <w:bCs/>
        </w:rPr>
        <w:t xml:space="preserve">achieved </w:t>
      </w:r>
      <w:r w:rsidR="00053936">
        <w:rPr>
          <w:rFonts w:eastAsia="Calibri" w:cs="Arial"/>
          <w:bCs/>
        </w:rPr>
        <w:t xml:space="preserve">with </w:t>
      </w:r>
      <w:r>
        <w:rPr>
          <w:rFonts w:eastAsia="Calibri" w:cs="Arial"/>
          <w:bCs/>
        </w:rPr>
        <w:t xml:space="preserve">belumosudil </w:t>
      </w:r>
      <w:r w:rsidR="00880628">
        <w:rPr>
          <w:rFonts w:eastAsia="Calibri" w:cs="Arial"/>
          <w:bCs/>
        </w:rPr>
        <w:t>have continually demonstrated</w:t>
      </w:r>
      <w:r w:rsidR="007D690F">
        <w:rPr>
          <w:rFonts w:eastAsia="Calibri" w:cs="Arial"/>
          <w:bCs/>
        </w:rPr>
        <w:t xml:space="preserve"> </w:t>
      </w:r>
      <w:r w:rsidR="00053936">
        <w:rPr>
          <w:rFonts w:eastAsia="Calibri" w:cs="Arial"/>
          <w:bCs/>
        </w:rPr>
        <w:t xml:space="preserve">its </w:t>
      </w:r>
      <w:r w:rsidR="00291F6E">
        <w:rPr>
          <w:rFonts w:eastAsia="Calibri" w:cs="Arial"/>
          <w:bCs/>
        </w:rPr>
        <w:t xml:space="preserve">ability to meaningfully address the broad spectrum of cGVHD manifestations, including difficult-to-treat organs like lung,” </w:t>
      </w:r>
      <w:r w:rsidR="0099647B">
        <w:rPr>
          <w:rFonts w:eastAsia="Calibri" w:cs="Arial"/>
          <w:bCs/>
        </w:rPr>
        <w:t xml:space="preserve">said </w:t>
      </w:r>
      <w:r w:rsidR="0099647B" w:rsidRPr="0099647B">
        <w:rPr>
          <w:rFonts w:eastAsia="Calibri" w:cs="Arial"/>
          <w:bCs/>
        </w:rPr>
        <w:t>Corey Cutler, MD, MPH, FRCPC, Dana-Farber Cancer Institute</w:t>
      </w:r>
      <w:r w:rsidR="0099647B">
        <w:rPr>
          <w:rFonts w:eastAsia="Calibri" w:cs="Arial"/>
          <w:bCs/>
        </w:rPr>
        <w:t>.</w:t>
      </w:r>
      <w:r w:rsidR="00E01FE5">
        <w:rPr>
          <w:rFonts w:eastAsia="Calibri" w:cs="Arial"/>
          <w:bCs/>
        </w:rPr>
        <w:t xml:space="preserve"> “</w:t>
      </w:r>
      <w:r w:rsidR="00257A4F">
        <w:rPr>
          <w:rFonts w:eastAsia="Calibri" w:cs="Arial"/>
          <w:bCs/>
        </w:rPr>
        <w:t>If we were to translate this data to a real</w:t>
      </w:r>
      <w:r w:rsidR="00CB2CBE">
        <w:rPr>
          <w:rFonts w:eastAsia="Calibri" w:cs="Arial"/>
          <w:bCs/>
        </w:rPr>
        <w:t>-</w:t>
      </w:r>
      <w:r w:rsidR="00257A4F">
        <w:rPr>
          <w:rFonts w:eastAsia="Calibri" w:cs="Arial"/>
          <w:bCs/>
        </w:rPr>
        <w:t>world setting, with</w:t>
      </w:r>
      <w:r w:rsidR="00E01FE5">
        <w:rPr>
          <w:rFonts w:eastAsia="Calibri" w:cs="Arial"/>
          <w:bCs/>
        </w:rPr>
        <w:t xml:space="preserve"> two-thirds of patients </w:t>
      </w:r>
      <w:r w:rsidR="00257A4F">
        <w:rPr>
          <w:rFonts w:eastAsia="Calibri" w:cs="Arial"/>
          <w:bCs/>
        </w:rPr>
        <w:t>able to reduce</w:t>
      </w:r>
      <w:r w:rsidR="00E01FE5">
        <w:rPr>
          <w:rFonts w:eastAsia="Calibri" w:cs="Arial"/>
          <w:bCs/>
        </w:rPr>
        <w:t xml:space="preserve"> corticosteroid doses</w:t>
      </w:r>
      <w:r w:rsidR="00257A4F">
        <w:rPr>
          <w:rFonts w:eastAsia="Calibri" w:cs="Arial"/>
          <w:bCs/>
        </w:rPr>
        <w:t xml:space="preserve"> and achieve 50-week median duration of responses, </w:t>
      </w:r>
      <w:r w:rsidR="00BF24F8">
        <w:rPr>
          <w:rFonts w:eastAsia="Calibri" w:cs="Arial"/>
          <w:bCs/>
        </w:rPr>
        <w:t>belumosudil</w:t>
      </w:r>
      <w:r w:rsidR="00880628">
        <w:rPr>
          <w:rFonts w:eastAsia="Calibri" w:cs="Arial"/>
          <w:bCs/>
        </w:rPr>
        <w:t>, if approved,</w:t>
      </w:r>
      <w:r w:rsidR="00BF24F8">
        <w:rPr>
          <w:rFonts w:eastAsia="Calibri" w:cs="Arial"/>
          <w:bCs/>
        </w:rPr>
        <w:t xml:space="preserve"> </w:t>
      </w:r>
      <w:r w:rsidR="00880628">
        <w:rPr>
          <w:rFonts w:eastAsia="Calibri" w:cs="Arial"/>
          <w:bCs/>
        </w:rPr>
        <w:t>w</w:t>
      </w:r>
      <w:r w:rsidR="00257A4F">
        <w:rPr>
          <w:rFonts w:eastAsia="Calibri" w:cs="Arial"/>
          <w:bCs/>
        </w:rPr>
        <w:t xml:space="preserve">ould potentially offer </w:t>
      </w:r>
      <w:r w:rsidR="001A37D6">
        <w:rPr>
          <w:rFonts w:eastAsia="Calibri" w:cs="Arial"/>
          <w:bCs/>
        </w:rPr>
        <w:t>benefit</w:t>
      </w:r>
      <w:r w:rsidR="00257A4F">
        <w:rPr>
          <w:rFonts w:eastAsia="Calibri" w:cs="Arial"/>
          <w:bCs/>
        </w:rPr>
        <w:t xml:space="preserve"> </w:t>
      </w:r>
      <w:r w:rsidR="00053936">
        <w:rPr>
          <w:rFonts w:eastAsia="Calibri" w:cs="Arial"/>
          <w:bCs/>
        </w:rPr>
        <w:t>to the thousands of patients currently living with cGVHD</w:t>
      </w:r>
      <w:r w:rsidR="00BF24F8">
        <w:rPr>
          <w:rFonts w:eastAsia="Calibri" w:cs="Arial"/>
          <w:bCs/>
        </w:rPr>
        <w:t>.”</w:t>
      </w:r>
    </w:p>
    <w:p w14:paraId="0D38681E" w14:textId="56ADC25F" w:rsidR="00F84E0C" w:rsidRDefault="0045080C" w:rsidP="00377AFB">
      <w:pPr>
        <w:spacing w:after="120"/>
        <w:jc w:val="both"/>
        <w:rPr>
          <w:rFonts w:eastAsia="Calibri" w:cs="Arial"/>
          <w:bCs/>
        </w:rPr>
      </w:pPr>
      <w:r>
        <w:rPr>
          <w:rFonts w:eastAsia="Calibri" w:cs="Arial"/>
          <w:bCs/>
        </w:rPr>
        <w:t xml:space="preserve">“We are extremely pleased with </w:t>
      </w:r>
      <w:r w:rsidR="00B002C9">
        <w:rPr>
          <w:rFonts w:eastAsia="Calibri" w:cs="Arial"/>
          <w:bCs/>
        </w:rPr>
        <w:t xml:space="preserve">the </w:t>
      </w:r>
      <w:r w:rsidR="00160370">
        <w:rPr>
          <w:rFonts w:eastAsia="Calibri" w:cs="Arial"/>
          <w:bCs/>
        </w:rPr>
        <w:t xml:space="preserve">12-month </w:t>
      </w:r>
      <w:r w:rsidR="00B002C9">
        <w:rPr>
          <w:rFonts w:eastAsia="Calibri" w:cs="Arial"/>
          <w:bCs/>
        </w:rPr>
        <w:t xml:space="preserve">results from this trial, </w:t>
      </w:r>
      <w:r w:rsidR="00C808F1">
        <w:rPr>
          <w:rFonts w:eastAsia="Calibri" w:cs="Arial"/>
          <w:bCs/>
        </w:rPr>
        <w:t xml:space="preserve">as the </w:t>
      </w:r>
      <w:r w:rsidR="00160370">
        <w:rPr>
          <w:rFonts w:eastAsia="Calibri" w:cs="Arial"/>
          <w:bCs/>
        </w:rPr>
        <w:t xml:space="preserve">Overall Response Rates have consistently strengthened, the durability has proven to be robust, the drug continues to perform across a number of key </w:t>
      </w:r>
      <w:r w:rsidR="00880628">
        <w:rPr>
          <w:rFonts w:eastAsia="Calibri" w:cs="Arial"/>
          <w:bCs/>
        </w:rPr>
        <w:t>secondary endpoints and has been well tolerated</w:t>
      </w:r>
      <w:r w:rsidR="00B002C9">
        <w:rPr>
          <w:rFonts w:eastAsia="Calibri" w:cs="Arial"/>
          <w:bCs/>
        </w:rPr>
        <w:t>,”</w:t>
      </w:r>
      <w:r w:rsidR="00DF0E37">
        <w:rPr>
          <w:rFonts w:eastAsia="Calibri" w:cs="Arial"/>
          <w:bCs/>
        </w:rPr>
        <w:t xml:space="preserve"> </w:t>
      </w:r>
      <w:r w:rsidR="00F84E0C" w:rsidRPr="00F84E0C">
        <w:rPr>
          <w:rFonts w:eastAsia="Calibri" w:cs="Arial"/>
          <w:bCs/>
        </w:rPr>
        <w:t>said Harlan W. Waksal, M.D., President and CEO at Kadmon.</w:t>
      </w:r>
      <w:r w:rsidR="004F0645">
        <w:rPr>
          <w:rFonts w:eastAsia="Calibri" w:cs="Arial"/>
          <w:bCs/>
        </w:rPr>
        <w:t xml:space="preserve"> “</w:t>
      </w:r>
      <w:r w:rsidR="00BB48B0">
        <w:rPr>
          <w:rFonts w:eastAsia="Calibri" w:cs="Arial"/>
          <w:bCs/>
        </w:rPr>
        <w:t xml:space="preserve">With the FDA’s </w:t>
      </w:r>
      <w:r w:rsidR="0051608C">
        <w:rPr>
          <w:rFonts w:eastAsia="Calibri" w:cs="Arial"/>
          <w:bCs/>
        </w:rPr>
        <w:t xml:space="preserve">recent </w:t>
      </w:r>
      <w:r w:rsidR="00BB48B0">
        <w:rPr>
          <w:rFonts w:eastAsia="Calibri" w:cs="Arial"/>
          <w:bCs/>
        </w:rPr>
        <w:t>acceptance of our NDA filing</w:t>
      </w:r>
      <w:r w:rsidR="00377E74">
        <w:rPr>
          <w:rFonts w:eastAsia="Calibri" w:cs="Arial"/>
          <w:bCs/>
        </w:rPr>
        <w:t xml:space="preserve"> and</w:t>
      </w:r>
      <w:r w:rsidR="00153B1F">
        <w:rPr>
          <w:rFonts w:eastAsia="Calibri" w:cs="Arial"/>
          <w:bCs/>
        </w:rPr>
        <w:t xml:space="preserve"> a PDUFA date of May 30, 2021, </w:t>
      </w:r>
      <w:r w:rsidR="00BB48B0">
        <w:rPr>
          <w:rFonts w:eastAsia="Calibri" w:cs="Arial"/>
          <w:bCs/>
        </w:rPr>
        <w:t xml:space="preserve">we </w:t>
      </w:r>
      <w:r w:rsidR="0051608C">
        <w:rPr>
          <w:rFonts w:eastAsia="Calibri" w:cs="Arial"/>
          <w:bCs/>
        </w:rPr>
        <w:t>are moving forward with our commercial preparation efforts</w:t>
      </w:r>
      <w:r w:rsidR="00CB2CBE">
        <w:rPr>
          <w:rFonts w:eastAsia="Calibri" w:cs="Arial"/>
          <w:bCs/>
        </w:rPr>
        <w:t>, having hired two-thirds of our planned field force</w:t>
      </w:r>
      <w:r w:rsidR="00153B1F">
        <w:rPr>
          <w:rFonts w:eastAsia="Calibri" w:cs="Arial"/>
          <w:bCs/>
        </w:rPr>
        <w:t xml:space="preserve">. We look forward to continuing to work closely with the FDA as they complete their review of belumosudil in cGVHD.” </w:t>
      </w:r>
    </w:p>
    <w:p w14:paraId="47FEED56" w14:textId="77777777" w:rsidR="004A1E40" w:rsidRPr="004A1E40" w:rsidRDefault="00633241" w:rsidP="004A1E40">
      <w:pPr>
        <w:spacing w:after="120"/>
        <w:jc w:val="both"/>
        <w:rPr>
          <w:rFonts w:eastAsia="Calibri" w:cs="Arial"/>
          <w:b/>
          <w:bCs/>
        </w:rPr>
      </w:pPr>
      <w:r>
        <w:rPr>
          <w:rFonts w:eastAsia="Calibri" w:cs="Arial"/>
          <w:b/>
          <w:bCs/>
        </w:rPr>
        <w:lastRenderedPageBreak/>
        <w:t>Key Opinion Leader Event Details</w:t>
      </w:r>
    </w:p>
    <w:p w14:paraId="55A40946" w14:textId="3F52BE7B" w:rsidR="00F07C0B" w:rsidRDefault="004A1E40" w:rsidP="00AB72BA">
      <w:pPr>
        <w:spacing w:after="120"/>
        <w:jc w:val="both"/>
        <w:rPr>
          <w:rFonts w:eastAsia="Calibri" w:cs="Arial"/>
          <w:bCs/>
        </w:rPr>
      </w:pPr>
      <w:r w:rsidRPr="004A1E40">
        <w:rPr>
          <w:rFonts w:eastAsia="Calibri" w:cs="Arial"/>
          <w:bCs/>
        </w:rPr>
        <w:t xml:space="preserve">Kadmon will host a </w:t>
      </w:r>
      <w:r w:rsidR="00633241">
        <w:rPr>
          <w:rFonts w:eastAsia="Calibri" w:cs="Arial"/>
          <w:bCs/>
        </w:rPr>
        <w:t>key opinion leader event on</w:t>
      </w:r>
      <w:r>
        <w:rPr>
          <w:rFonts w:eastAsia="Calibri" w:cs="Arial"/>
          <w:bCs/>
        </w:rPr>
        <w:t xml:space="preserve"> December 6th at 2:15</w:t>
      </w:r>
      <w:r w:rsidRPr="004A1E40">
        <w:rPr>
          <w:rFonts w:eastAsia="Calibri" w:cs="Arial"/>
          <w:bCs/>
        </w:rPr>
        <w:t xml:space="preserve"> </w:t>
      </w:r>
      <w:r>
        <w:rPr>
          <w:rFonts w:eastAsia="Calibri" w:cs="Arial"/>
          <w:bCs/>
        </w:rPr>
        <w:t>p</w:t>
      </w:r>
      <w:r w:rsidRPr="004A1E40">
        <w:rPr>
          <w:rFonts w:eastAsia="Calibri" w:cs="Arial"/>
          <w:bCs/>
        </w:rPr>
        <w:t>.m., Eastern time</w:t>
      </w:r>
      <w:r w:rsidR="000754AE">
        <w:rPr>
          <w:rFonts w:eastAsia="Calibri" w:cs="Arial"/>
          <w:bCs/>
        </w:rPr>
        <w:t xml:space="preserve"> (11:15 </w:t>
      </w:r>
      <w:proofErr w:type="spellStart"/>
      <w:r w:rsidR="000754AE">
        <w:rPr>
          <w:rFonts w:eastAsia="Calibri" w:cs="Arial"/>
          <w:bCs/>
        </w:rPr>
        <w:t>a.m</w:t>
      </w:r>
      <w:proofErr w:type="spellEnd"/>
      <w:r w:rsidR="000754AE">
        <w:rPr>
          <w:rFonts w:eastAsia="Calibri" w:cs="Arial"/>
          <w:bCs/>
        </w:rPr>
        <w:t>, Pacific time)</w:t>
      </w:r>
      <w:r w:rsidRPr="004A1E40">
        <w:rPr>
          <w:rFonts w:eastAsia="Calibri" w:cs="Arial"/>
          <w:bCs/>
        </w:rPr>
        <w:t xml:space="preserve">, to discuss the </w:t>
      </w:r>
      <w:r>
        <w:rPr>
          <w:rFonts w:eastAsia="Calibri" w:cs="Arial"/>
          <w:bCs/>
        </w:rPr>
        <w:t>12-month data</w:t>
      </w:r>
      <w:r w:rsidRPr="004A1E40">
        <w:rPr>
          <w:rFonts w:eastAsia="Calibri" w:cs="Arial"/>
          <w:bCs/>
        </w:rPr>
        <w:t xml:space="preserve"> of the </w:t>
      </w:r>
      <w:proofErr w:type="spellStart"/>
      <w:r w:rsidRPr="004A1E40">
        <w:rPr>
          <w:rFonts w:eastAsia="Calibri" w:cs="Arial"/>
          <w:bCs/>
        </w:rPr>
        <w:t>ROCKstar</w:t>
      </w:r>
      <w:proofErr w:type="spellEnd"/>
      <w:r w:rsidRPr="004A1E40">
        <w:rPr>
          <w:rFonts w:eastAsia="Calibri" w:cs="Arial"/>
          <w:bCs/>
        </w:rPr>
        <w:t xml:space="preserve"> trial.</w:t>
      </w:r>
      <w:r w:rsidR="00ED7865">
        <w:rPr>
          <w:rFonts w:eastAsia="Calibri" w:cs="Arial"/>
          <w:bCs/>
        </w:rPr>
        <w:t xml:space="preserve"> </w:t>
      </w:r>
      <w:r w:rsidRPr="004A1E40">
        <w:rPr>
          <w:rFonts w:eastAsia="Calibri" w:cs="Arial"/>
          <w:bCs/>
        </w:rPr>
        <w:t>To listen online via webcast, please visit:</w:t>
      </w:r>
      <w:r w:rsidR="00AB72BA">
        <w:rPr>
          <w:rFonts w:eastAsia="Calibri" w:cs="Arial"/>
          <w:bCs/>
        </w:rPr>
        <w:t xml:space="preserve"> </w:t>
      </w:r>
      <w:hyperlink r:id="rId8" w:history="1">
        <w:r w:rsidR="00514B7E" w:rsidRPr="00F75FB0">
          <w:rPr>
            <w:rStyle w:val="Hyperlink"/>
          </w:rPr>
          <w:t>https://openexc.zoom.us/webinar/register/WN_NbmeCyjmQ1iQVOvy0FlGaA</w:t>
        </w:r>
      </w:hyperlink>
      <w:r w:rsidR="00514B7E">
        <w:t xml:space="preserve"> </w:t>
      </w:r>
      <w:r w:rsidR="00D106D3">
        <w:rPr>
          <w:rFonts w:eastAsia="Calibri" w:cs="Arial"/>
          <w:bCs/>
        </w:rPr>
        <w:t xml:space="preserve"> </w:t>
      </w:r>
    </w:p>
    <w:p w14:paraId="11049C32" w14:textId="6232436B" w:rsidR="00E11B30" w:rsidRPr="00F07C0B" w:rsidRDefault="00AB72BA" w:rsidP="00AD375C">
      <w:pPr>
        <w:spacing w:after="120"/>
        <w:jc w:val="both"/>
        <w:rPr>
          <w:rFonts w:eastAsia="Calibri" w:cs="Arial"/>
          <w:bCs/>
        </w:rPr>
      </w:pPr>
      <w:r>
        <w:rPr>
          <w:rFonts w:eastAsia="Calibri" w:cs="Arial"/>
          <w:bCs/>
        </w:rPr>
        <w:t xml:space="preserve">The </w:t>
      </w:r>
      <w:r w:rsidR="00ED7865">
        <w:rPr>
          <w:rFonts w:eastAsia="Calibri" w:cs="Arial"/>
          <w:bCs/>
        </w:rPr>
        <w:t xml:space="preserve">event </w:t>
      </w:r>
      <w:r>
        <w:rPr>
          <w:rFonts w:eastAsia="Calibri" w:cs="Arial"/>
          <w:bCs/>
        </w:rPr>
        <w:t xml:space="preserve">will be </w:t>
      </w:r>
      <w:r w:rsidR="004A1E40" w:rsidRPr="004A1E40">
        <w:rPr>
          <w:rFonts w:eastAsia="Calibri" w:cs="Arial"/>
          <w:bCs/>
        </w:rPr>
        <w:t>archived and will be available at</w:t>
      </w:r>
      <w:r w:rsidR="00BF3947">
        <w:rPr>
          <w:rFonts w:eastAsia="Calibri" w:cs="Arial"/>
          <w:bCs/>
        </w:rPr>
        <w:t xml:space="preserve"> </w:t>
      </w:r>
      <w:hyperlink r:id="rId9" w:history="1">
        <w:r w:rsidR="00BF3947" w:rsidRPr="00E9780C">
          <w:rPr>
            <w:rStyle w:val="Hyperlink"/>
            <w:rFonts w:eastAsia="Calibri" w:cs="Arial"/>
            <w:bCs/>
          </w:rPr>
          <w:t>https://investors.kadmon.com/presentations-and-events</w:t>
        </w:r>
      </w:hyperlink>
      <w:r w:rsidR="004A1E40" w:rsidRPr="004A1E40">
        <w:rPr>
          <w:rFonts w:eastAsia="Calibri" w:cs="Arial"/>
          <w:bCs/>
        </w:rPr>
        <w:t>.</w:t>
      </w:r>
      <w:r w:rsidR="00F07C0B">
        <w:rPr>
          <w:rFonts w:eastAsia="Calibri" w:cs="Arial"/>
          <w:bCs/>
        </w:rPr>
        <w:t xml:space="preserve"> </w:t>
      </w:r>
      <w:r w:rsidR="00F07C0B" w:rsidRPr="00F07C0B">
        <w:rPr>
          <w:rFonts w:eastAsia="Calibri" w:cs="Arial"/>
          <w:bCs/>
        </w:rPr>
        <w:t xml:space="preserve">Replays of the </w:t>
      </w:r>
      <w:r w:rsidR="00ED7865">
        <w:rPr>
          <w:rFonts w:eastAsia="Calibri" w:cs="Arial"/>
          <w:bCs/>
        </w:rPr>
        <w:t>event</w:t>
      </w:r>
      <w:r w:rsidR="00B601BD">
        <w:rPr>
          <w:rFonts w:eastAsia="Calibri" w:cs="Arial"/>
          <w:bCs/>
        </w:rPr>
        <w:t xml:space="preserve"> will be available for 6</w:t>
      </w:r>
      <w:r w:rsidR="00F07C0B" w:rsidRPr="00F07C0B">
        <w:rPr>
          <w:rFonts w:eastAsia="Calibri" w:cs="Arial"/>
          <w:bCs/>
        </w:rPr>
        <w:t>0 days.</w:t>
      </w:r>
    </w:p>
    <w:p w14:paraId="1C449B7D" w14:textId="77777777" w:rsidR="002F3799" w:rsidRDefault="002F3799" w:rsidP="002F3799">
      <w:pPr>
        <w:pStyle w:val="NoSpacing"/>
      </w:pPr>
    </w:p>
    <w:p w14:paraId="78E8F4DD" w14:textId="7D5E0DCE" w:rsidR="006C52C7" w:rsidRPr="00AC6496" w:rsidRDefault="006C52C7" w:rsidP="006C52C7">
      <w:pPr>
        <w:spacing w:after="120"/>
        <w:jc w:val="both"/>
        <w:rPr>
          <w:rFonts w:eastAsia="Calibri" w:cs="Times New Roman"/>
          <w:b/>
        </w:rPr>
      </w:pPr>
      <w:r>
        <w:rPr>
          <w:rFonts w:eastAsia="Calibri" w:cs="Times New Roman"/>
          <w:b/>
        </w:rPr>
        <w:t xml:space="preserve">About </w:t>
      </w:r>
      <w:proofErr w:type="spellStart"/>
      <w:r>
        <w:rPr>
          <w:rFonts w:eastAsia="Calibri" w:cs="Times New Roman"/>
          <w:b/>
        </w:rPr>
        <w:t>ROCKstar</w:t>
      </w:r>
      <w:proofErr w:type="spellEnd"/>
    </w:p>
    <w:p w14:paraId="1C06C629" w14:textId="77777777" w:rsidR="006C52C7" w:rsidRPr="00AC6496" w:rsidRDefault="006C52C7" w:rsidP="006C52C7">
      <w:pPr>
        <w:spacing w:after="120"/>
        <w:jc w:val="both"/>
        <w:rPr>
          <w:rFonts w:eastAsia="Calibri" w:cs="Times New Roman"/>
        </w:rPr>
      </w:pPr>
      <w:proofErr w:type="spellStart"/>
      <w:r w:rsidRPr="00AC6496">
        <w:rPr>
          <w:rFonts w:eastAsia="Calibri" w:cs="Times New Roman"/>
        </w:rPr>
        <w:t>ROCKstar</w:t>
      </w:r>
      <w:proofErr w:type="spellEnd"/>
      <w:r w:rsidRPr="00AC6496">
        <w:rPr>
          <w:rFonts w:eastAsia="Calibri" w:cs="Times New Roman"/>
        </w:rPr>
        <w:t xml:space="preserve"> (KD025-213) is an ongoing open-label trial of belumosudil in patients with cGVHD who have received at least two prior lines of systemic therapy. Patients were randomized to receive belumosudil 200 mg once daily or 200 mg twice daily, enrolling 66 patients per arm. The primary endpoint of the study is Overall Response Rate (ORR). The ORR endpoint was met at the interim analysis, conducted two months after completion of enrollment. At the study's </w:t>
      </w:r>
      <w:r w:rsidR="00291F6E">
        <w:rPr>
          <w:rFonts w:eastAsia="Calibri" w:cs="Times New Roman"/>
        </w:rPr>
        <w:t>follow-up</w:t>
      </w:r>
      <w:r w:rsidR="00291F6E" w:rsidRPr="00AC6496">
        <w:rPr>
          <w:rFonts w:eastAsia="Calibri" w:cs="Times New Roman"/>
        </w:rPr>
        <w:t xml:space="preserve"> </w:t>
      </w:r>
      <w:r w:rsidRPr="00AC6496">
        <w:rPr>
          <w:rFonts w:eastAsia="Calibri" w:cs="Times New Roman"/>
        </w:rPr>
        <w:t xml:space="preserve">analysis, conducted </w:t>
      </w:r>
      <w:r w:rsidR="00291F6E">
        <w:rPr>
          <w:rFonts w:eastAsia="Calibri" w:cs="Times New Roman"/>
        </w:rPr>
        <w:t>twelve</w:t>
      </w:r>
      <w:r w:rsidR="00291F6E" w:rsidRPr="00AC6496">
        <w:rPr>
          <w:rFonts w:eastAsia="Calibri" w:cs="Times New Roman"/>
        </w:rPr>
        <w:t xml:space="preserve"> </w:t>
      </w:r>
      <w:r w:rsidRPr="00AC6496">
        <w:rPr>
          <w:rFonts w:eastAsia="Calibri" w:cs="Times New Roman"/>
        </w:rPr>
        <w:t>months after completion of enrollment, belumosudil achieved ORRs of 73% and 7</w:t>
      </w:r>
      <w:r w:rsidR="00291F6E">
        <w:rPr>
          <w:rFonts w:eastAsia="Calibri" w:cs="Times New Roman"/>
        </w:rPr>
        <w:t>7</w:t>
      </w:r>
      <w:r w:rsidRPr="00AC6496">
        <w:rPr>
          <w:rFonts w:eastAsia="Calibri" w:cs="Times New Roman"/>
        </w:rPr>
        <w:t>% in the respective arms. Belumosudil has been well tolerated and adverse events have been consistent with those expe</w:t>
      </w:r>
      <w:r>
        <w:rPr>
          <w:rFonts w:eastAsia="Calibri" w:cs="Times New Roman"/>
        </w:rPr>
        <w:t>cted in the patient population.</w:t>
      </w:r>
    </w:p>
    <w:p w14:paraId="4AECE0BF" w14:textId="0F0DC36F" w:rsidR="006C52C7" w:rsidRPr="00AC6496" w:rsidRDefault="006C52C7" w:rsidP="006C52C7">
      <w:pPr>
        <w:spacing w:after="120"/>
        <w:jc w:val="both"/>
        <w:rPr>
          <w:rFonts w:eastAsia="Calibri" w:cs="Times New Roman"/>
          <w:b/>
        </w:rPr>
      </w:pPr>
      <w:r>
        <w:rPr>
          <w:rFonts w:eastAsia="Calibri" w:cs="Times New Roman"/>
          <w:b/>
        </w:rPr>
        <w:t>About Belumosudil</w:t>
      </w:r>
    </w:p>
    <w:p w14:paraId="7C76CEA8" w14:textId="0C52C0BD" w:rsidR="006C52C7" w:rsidRPr="00AC6496" w:rsidRDefault="006C52C7" w:rsidP="006C52C7">
      <w:pPr>
        <w:spacing w:after="120"/>
        <w:jc w:val="both"/>
        <w:rPr>
          <w:rFonts w:eastAsia="Calibri" w:cs="Times New Roman"/>
        </w:rPr>
      </w:pPr>
      <w:r w:rsidRPr="00AC6496">
        <w:rPr>
          <w:rFonts w:eastAsia="Calibri" w:cs="Times New Roman"/>
        </w:rPr>
        <w:t xml:space="preserve">Belumosudil (KD025) is a selective oral inhibitor of Rho-associated coiled-coil kinase 2 (ROCK2), a signaling pathway that modulates inflammatory response and pro-fibrotic processes. </w:t>
      </w:r>
      <w:r w:rsidR="00A32603">
        <w:rPr>
          <w:rFonts w:eastAsia="Calibri" w:cs="Times New Roman"/>
        </w:rPr>
        <w:t xml:space="preserve">In November 2020, the U.S. </w:t>
      </w:r>
      <w:r w:rsidR="00B601BD">
        <w:rPr>
          <w:rFonts w:eastAsia="Calibri" w:cs="Times New Roman"/>
        </w:rPr>
        <w:t>Food and Drug Administration (</w:t>
      </w:r>
      <w:r w:rsidR="00A32603">
        <w:rPr>
          <w:rFonts w:eastAsia="Calibri" w:cs="Times New Roman"/>
        </w:rPr>
        <w:t>FDA</w:t>
      </w:r>
      <w:r w:rsidR="00B601BD">
        <w:rPr>
          <w:rFonts w:eastAsia="Calibri" w:cs="Times New Roman"/>
        </w:rPr>
        <w:t>)</w:t>
      </w:r>
      <w:r w:rsidR="00A32603">
        <w:rPr>
          <w:rFonts w:eastAsia="Calibri" w:cs="Times New Roman"/>
        </w:rPr>
        <w:t xml:space="preserve"> accepted the NDA for </w:t>
      </w:r>
      <w:r w:rsidRPr="00AC6496">
        <w:rPr>
          <w:rFonts w:eastAsia="Calibri" w:cs="Times New Roman"/>
        </w:rPr>
        <w:t>belumosudil for the treatment of patients with cGVHD</w:t>
      </w:r>
      <w:r w:rsidR="00A32603">
        <w:rPr>
          <w:rFonts w:eastAsia="Calibri" w:cs="Times New Roman"/>
        </w:rPr>
        <w:t xml:space="preserve">. </w:t>
      </w:r>
      <w:r w:rsidR="00A32603" w:rsidRPr="00A32603">
        <w:rPr>
          <w:rFonts w:eastAsia="Calibri" w:cs="Times New Roman"/>
        </w:rPr>
        <w:t>The FDA granted Priority Revi</w:t>
      </w:r>
      <w:r w:rsidR="00A32603">
        <w:rPr>
          <w:rFonts w:eastAsia="Calibri" w:cs="Times New Roman"/>
        </w:rPr>
        <w:t>ew for the NDA for belumosudil an</w:t>
      </w:r>
      <w:r w:rsidR="00A32603" w:rsidRPr="00A32603">
        <w:rPr>
          <w:rFonts w:eastAsia="Calibri" w:cs="Times New Roman"/>
        </w:rPr>
        <w:t>d assigned a Prescription Drug User Fee Act (PDUFA) target action date of May 30, 2021.</w:t>
      </w:r>
      <w:r w:rsidRPr="00AC6496">
        <w:rPr>
          <w:rFonts w:eastAsia="Calibri" w:cs="Times New Roman"/>
        </w:rPr>
        <w:t xml:space="preserve"> </w:t>
      </w:r>
      <w:r w:rsidR="00A32603">
        <w:rPr>
          <w:rFonts w:eastAsia="Calibri" w:cs="Times New Roman"/>
        </w:rPr>
        <w:t xml:space="preserve">The NDA </w:t>
      </w:r>
      <w:r w:rsidR="00C61EFD">
        <w:rPr>
          <w:rFonts w:eastAsia="Calibri" w:cs="Times New Roman"/>
        </w:rPr>
        <w:t xml:space="preserve">is </w:t>
      </w:r>
      <w:r w:rsidRPr="00AC6496">
        <w:rPr>
          <w:rFonts w:eastAsia="Calibri" w:cs="Times New Roman"/>
        </w:rPr>
        <w:t xml:space="preserve">being reviewed under the FDA's </w:t>
      </w:r>
      <w:r w:rsidR="00377E74">
        <w:rPr>
          <w:rFonts w:eastAsia="Calibri" w:cs="Times New Roman"/>
        </w:rPr>
        <w:t>Real-Time Oncology Review (</w:t>
      </w:r>
      <w:r w:rsidRPr="00AC6496">
        <w:rPr>
          <w:rFonts w:eastAsia="Calibri" w:cs="Times New Roman"/>
        </w:rPr>
        <w:t>RTOR</w:t>
      </w:r>
      <w:r w:rsidR="00377E74">
        <w:rPr>
          <w:rFonts w:eastAsia="Calibri" w:cs="Times New Roman"/>
        </w:rPr>
        <w:t>)</w:t>
      </w:r>
      <w:r w:rsidR="00A32603">
        <w:rPr>
          <w:rFonts w:eastAsia="Calibri" w:cs="Times New Roman"/>
        </w:rPr>
        <w:t xml:space="preserve"> and Project </w:t>
      </w:r>
      <w:proofErr w:type="spellStart"/>
      <w:r w:rsidR="00A32603">
        <w:rPr>
          <w:rFonts w:eastAsia="Calibri" w:cs="Times New Roman"/>
        </w:rPr>
        <w:t>Orbis</w:t>
      </w:r>
      <w:proofErr w:type="spellEnd"/>
      <w:r w:rsidRPr="00AC6496">
        <w:rPr>
          <w:rFonts w:eastAsia="Calibri" w:cs="Times New Roman"/>
        </w:rPr>
        <w:t xml:space="preserve"> pilot program</w:t>
      </w:r>
      <w:r w:rsidR="000D0DF4">
        <w:rPr>
          <w:rFonts w:eastAsia="Calibri" w:cs="Times New Roman"/>
        </w:rPr>
        <w:t>s</w:t>
      </w:r>
      <w:r w:rsidRPr="00AC6496">
        <w:rPr>
          <w:rFonts w:eastAsia="Calibri" w:cs="Times New Roman"/>
        </w:rPr>
        <w:t>. The FDA has granted Breakthrough Therapy Designation to belumosudil for the treatment of patients with cGVHD after failure of two or more lines of systemic therapy</w:t>
      </w:r>
      <w:r w:rsidR="00C61EFD">
        <w:rPr>
          <w:rFonts w:eastAsia="Calibri" w:cs="Times New Roman"/>
        </w:rPr>
        <w:t xml:space="preserve"> as well as</w:t>
      </w:r>
      <w:r w:rsidRPr="00AC6496">
        <w:rPr>
          <w:rFonts w:eastAsia="Calibri" w:cs="Times New Roman"/>
        </w:rPr>
        <w:t xml:space="preserve"> Orphan Drug Designation to belumosu</w:t>
      </w:r>
      <w:r>
        <w:rPr>
          <w:rFonts w:eastAsia="Calibri" w:cs="Times New Roman"/>
        </w:rPr>
        <w:t>dil for the treatment of cGVHD.</w:t>
      </w:r>
    </w:p>
    <w:p w14:paraId="74E309F9" w14:textId="62CE8BF1" w:rsidR="006C52C7" w:rsidRPr="00AC6496" w:rsidRDefault="006C52C7" w:rsidP="006C52C7">
      <w:pPr>
        <w:spacing w:after="120"/>
        <w:jc w:val="both"/>
        <w:rPr>
          <w:rFonts w:eastAsia="Calibri" w:cs="Times New Roman"/>
          <w:b/>
        </w:rPr>
      </w:pPr>
      <w:r>
        <w:rPr>
          <w:rFonts w:eastAsia="Calibri" w:cs="Times New Roman"/>
          <w:b/>
        </w:rPr>
        <w:t>About cGVHD</w:t>
      </w:r>
    </w:p>
    <w:p w14:paraId="45029AE8" w14:textId="77777777" w:rsidR="002159AB" w:rsidRDefault="006C52C7" w:rsidP="00AD375C">
      <w:pPr>
        <w:spacing w:after="120"/>
        <w:jc w:val="both"/>
        <w:rPr>
          <w:rFonts w:eastAsia="Calibri" w:cs="Times New Roman"/>
        </w:rPr>
      </w:pPr>
      <w:r w:rsidRPr="00AC6496">
        <w:rPr>
          <w:rFonts w:eastAsia="Calibri" w:cs="Times New Roman"/>
        </w:rPr>
        <w:t>cGVHD is a common and often fatal complication following hematopoietic stem cell transplantation. In cGVHD, transplanted immune cells (graft) attack the patient's cells (host), leading to inflammation and fibrosis in multiple tissues, including skin, mouth, eye, joints, liver, lung, esophagus and gastrointestinal tract. Approximately 14,000 patients in the United States are currently living with cGVHD.</w:t>
      </w:r>
    </w:p>
    <w:p w14:paraId="0FFD7D17" w14:textId="28DB89F3" w:rsidR="00AD375C" w:rsidRPr="00BA3A12" w:rsidRDefault="00AD375C" w:rsidP="00AD375C">
      <w:pPr>
        <w:keepNext/>
        <w:keepLines/>
        <w:spacing w:after="0"/>
        <w:jc w:val="both"/>
        <w:rPr>
          <w:rFonts w:eastAsia="Times New Roman" w:cs="Times New Roman"/>
        </w:rPr>
      </w:pPr>
      <w:r w:rsidRPr="00BA3A12">
        <w:rPr>
          <w:rFonts w:eastAsia="Times New Roman" w:cs="Times New Roman"/>
          <w:b/>
          <w:bCs/>
        </w:rPr>
        <w:t xml:space="preserve">About Kadmon </w:t>
      </w:r>
    </w:p>
    <w:p w14:paraId="0AB4A7C9" w14:textId="4A80BF83" w:rsidR="002F3799" w:rsidRDefault="00AD375C" w:rsidP="00AD375C">
      <w:pPr>
        <w:keepNext/>
        <w:keepLines/>
        <w:spacing w:before="120" w:after="0"/>
        <w:jc w:val="both"/>
        <w:rPr>
          <w:rFonts w:eastAsia="Times New Roman" w:cs="Times New Roman"/>
        </w:rPr>
      </w:pPr>
      <w:r w:rsidRPr="00BA3A12">
        <w:rPr>
          <w:rFonts w:eastAsia="Times New Roman" w:cs="Times New Roman"/>
        </w:rPr>
        <w:t xml:space="preserve">Kadmon is a clinical-stage biopharmaceutical company that discovers, develops and delivers transformative therapies for unmet medical needs. Our clinical pipeline includes treatments for immune and fibrotic diseases as well as immuno-oncology therapies. </w:t>
      </w:r>
    </w:p>
    <w:p w14:paraId="382E707A" w14:textId="77777777" w:rsidR="002F3799" w:rsidRDefault="002F3799" w:rsidP="002F3799">
      <w:pPr>
        <w:rPr>
          <w:rFonts w:eastAsia="Times New Roman" w:cs="Times New Roman"/>
        </w:rPr>
      </w:pPr>
    </w:p>
    <w:p w14:paraId="2EC18475" w14:textId="77777777" w:rsidR="002F3799" w:rsidRDefault="002F3799" w:rsidP="002F3799">
      <w:pPr>
        <w:rPr>
          <w:rFonts w:eastAsia="Calibri" w:cs="Arial"/>
          <w:b/>
          <w:bCs/>
        </w:rPr>
      </w:pPr>
    </w:p>
    <w:p w14:paraId="05459FFA" w14:textId="77777777" w:rsidR="002F3799" w:rsidRDefault="002F3799" w:rsidP="002F3799">
      <w:pPr>
        <w:rPr>
          <w:rFonts w:eastAsia="Calibri" w:cs="Arial"/>
          <w:b/>
          <w:bCs/>
        </w:rPr>
      </w:pPr>
    </w:p>
    <w:p w14:paraId="6BA2647E" w14:textId="5103439C" w:rsidR="002F3799" w:rsidRPr="002F3799" w:rsidRDefault="002F3799" w:rsidP="002F3799">
      <w:pPr>
        <w:rPr>
          <w:rFonts w:eastAsia="Times New Roman" w:cs="Times New Roman"/>
        </w:rPr>
      </w:pPr>
      <w:r w:rsidRPr="002E2E3C">
        <w:rPr>
          <w:rFonts w:eastAsia="Calibri" w:cs="Arial"/>
          <w:b/>
          <w:bCs/>
        </w:rPr>
        <w:lastRenderedPageBreak/>
        <w:t>Forward Looking Statements</w:t>
      </w:r>
    </w:p>
    <w:p w14:paraId="4FF62677" w14:textId="77777777" w:rsidR="002F3799" w:rsidRPr="0083188D" w:rsidRDefault="002F3799" w:rsidP="002F3799">
      <w:pPr>
        <w:spacing w:line="240" w:lineRule="auto"/>
        <w:jc w:val="both"/>
        <w:rPr>
          <w:rFonts w:eastAsia="Calibri" w:cs="Arial"/>
          <w:i/>
          <w:iCs/>
        </w:rPr>
      </w:pPr>
      <w:r w:rsidRPr="0083188D">
        <w:rPr>
          <w:rFonts w:eastAsia="Calibri" w:cs="Arial"/>
          <w:i/>
          <w:iCs/>
        </w:rPr>
        <w:t>This press release contains forward-looking statements. Such statements may be preceded by the words “may,” “will,” “should,” “expects,” “plans,” “anticipates,” “could,” “intends,” “targets,” “projects,” “contemplates,” “believes,” “estimates,” “predicts,” “potential” or “continue” or the negative of these terms or other similar expressions. Forward-looking statements involve known and unknown risks, uncertainties and other important factors that may cause our actual results, performance or achievements to be materially different from any future results, performance or achievements expressed or implied by the forward-looking statements. We believe that these factors include, but are not limited to, (</w:t>
      </w:r>
      <w:proofErr w:type="spellStart"/>
      <w:r w:rsidRPr="0083188D">
        <w:rPr>
          <w:rFonts w:eastAsia="Calibri" w:cs="Arial"/>
          <w:i/>
          <w:iCs/>
        </w:rPr>
        <w:t>i</w:t>
      </w:r>
      <w:proofErr w:type="spellEnd"/>
      <w:r w:rsidRPr="0083188D">
        <w:rPr>
          <w:rFonts w:eastAsia="Calibri" w:cs="Arial"/>
          <w:i/>
          <w:iCs/>
        </w:rPr>
        <w:t>) the initiation, timing, progress and results of our preclinical studies and clinical trials, and our research and development programs; (ii) our ability to advance product candidates into, and successfully complete, clinical trials; (iii) the impact of the COVID-19 pandemic on our business, workforce, patients, collaborators and suppliers, including delays in anticipated timelines and milestones of our clinical trials and on various government agencies who we interact with and/or are governed by; (iv) our reliance on the succe</w:t>
      </w:r>
      <w:r>
        <w:rPr>
          <w:rFonts w:eastAsia="Calibri" w:cs="Arial"/>
          <w:i/>
          <w:iCs/>
        </w:rPr>
        <w:t>ss of our product candidates; (</w:t>
      </w:r>
      <w:r w:rsidRPr="0083188D">
        <w:rPr>
          <w:rFonts w:eastAsia="Calibri" w:cs="Arial"/>
          <w:i/>
          <w:iCs/>
        </w:rPr>
        <w:t>v) the timing or likelihood of regulatory filings and approvals, especially in light of the COVID-19 pandemic; (v</w:t>
      </w:r>
      <w:r>
        <w:rPr>
          <w:rFonts w:eastAsia="Calibri" w:cs="Arial"/>
          <w:i/>
          <w:iCs/>
        </w:rPr>
        <w:t>i</w:t>
      </w:r>
      <w:r w:rsidRPr="0083188D">
        <w:rPr>
          <w:rFonts w:eastAsia="Calibri" w:cs="Arial"/>
          <w:i/>
          <w:iCs/>
        </w:rPr>
        <w:t>) our ability to expand our sales and marketing capabilities; (vi</w:t>
      </w:r>
      <w:r>
        <w:rPr>
          <w:rFonts w:eastAsia="Calibri" w:cs="Arial"/>
          <w:i/>
          <w:iCs/>
        </w:rPr>
        <w:t>i</w:t>
      </w:r>
      <w:r w:rsidRPr="0083188D">
        <w:rPr>
          <w:rFonts w:eastAsia="Calibri" w:cs="Arial"/>
          <w:i/>
          <w:iCs/>
        </w:rPr>
        <w:t>) our ability to expand our sales and marketing capabilities; (vi</w:t>
      </w:r>
      <w:r>
        <w:rPr>
          <w:rFonts w:eastAsia="Calibri" w:cs="Arial"/>
          <w:i/>
          <w:iCs/>
        </w:rPr>
        <w:t>i</w:t>
      </w:r>
      <w:r w:rsidRPr="0083188D">
        <w:rPr>
          <w:rFonts w:eastAsia="Calibri" w:cs="Arial"/>
          <w:i/>
          <w:iCs/>
        </w:rPr>
        <w:t>i) the commercialization, pricing and reimbursement of our produc</w:t>
      </w:r>
      <w:r>
        <w:rPr>
          <w:rFonts w:eastAsia="Calibri" w:cs="Arial"/>
          <w:i/>
          <w:iCs/>
        </w:rPr>
        <w:t>t candidates, if approved; (ix</w:t>
      </w:r>
      <w:r w:rsidRPr="0083188D">
        <w:rPr>
          <w:rFonts w:eastAsia="Calibri" w:cs="Arial"/>
          <w:i/>
          <w:iCs/>
        </w:rPr>
        <w:t>) the implementation of our business model, strategic plans for our business, produ</w:t>
      </w:r>
      <w:r>
        <w:rPr>
          <w:rFonts w:eastAsia="Calibri" w:cs="Arial"/>
          <w:i/>
          <w:iCs/>
        </w:rPr>
        <w:t>ct candidates and technology; (</w:t>
      </w:r>
      <w:r w:rsidRPr="0083188D">
        <w:rPr>
          <w:rFonts w:eastAsia="Calibri" w:cs="Arial"/>
          <w:i/>
          <w:iCs/>
        </w:rPr>
        <w:t>x) the scope of protection we are able to establish and maintain for intellectual property rights covering our product candidates and technology; (x</w:t>
      </w:r>
      <w:r>
        <w:rPr>
          <w:rFonts w:eastAsia="Calibri" w:cs="Arial"/>
          <w:i/>
          <w:iCs/>
        </w:rPr>
        <w:t>i</w:t>
      </w:r>
      <w:r w:rsidRPr="0083188D">
        <w:rPr>
          <w:rFonts w:eastAsia="Calibri" w:cs="Arial"/>
          <w:i/>
          <w:iCs/>
        </w:rPr>
        <w:t>) our ability to operate our business without infringing the intellectual property rights and proprietary technology of third parties; (xi</w:t>
      </w:r>
      <w:r>
        <w:rPr>
          <w:rFonts w:eastAsia="Calibri" w:cs="Arial"/>
          <w:i/>
          <w:iCs/>
        </w:rPr>
        <w:t>i</w:t>
      </w:r>
      <w:r w:rsidRPr="0083188D">
        <w:rPr>
          <w:rFonts w:eastAsia="Calibri" w:cs="Arial"/>
          <w:i/>
          <w:iCs/>
        </w:rPr>
        <w:t>) costs associated with defending intellectual property infringement, product liability and other claims; (xii</w:t>
      </w:r>
      <w:r>
        <w:rPr>
          <w:rFonts w:eastAsia="Calibri" w:cs="Arial"/>
          <w:i/>
          <w:iCs/>
        </w:rPr>
        <w:t>i</w:t>
      </w:r>
      <w:r w:rsidRPr="0083188D">
        <w:rPr>
          <w:rFonts w:eastAsia="Calibri" w:cs="Arial"/>
          <w:i/>
          <w:iCs/>
        </w:rPr>
        <w:t>) regulatory developments in the United States, Europe, and other jurisdictions; (xi</w:t>
      </w:r>
      <w:r>
        <w:rPr>
          <w:rFonts w:eastAsia="Calibri" w:cs="Arial"/>
          <w:i/>
          <w:iCs/>
        </w:rPr>
        <w:t>v</w:t>
      </w:r>
      <w:r w:rsidRPr="0083188D">
        <w:rPr>
          <w:rFonts w:eastAsia="Calibri" w:cs="Arial"/>
          <w:i/>
          <w:iCs/>
        </w:rPr>
        <w:t>) estimates of our expenses, future revenues, capital requirements and our needs for additi</w:t>
      </w:r>
      <w:r>
        <w:rPr>
          <w:rFonts w:eastAsia="Calibri" w:cs="Arial"/>
          <w:i/>
          <w:iCs/>
        </w:rPr>
        <w:t>onal financing; (x</w:t>
      </w:r>
      <w:r w:rsidRPr="0083188D">
        <w:rPr>
          <w:rFonts w:eastAsia="Calibri" w:cs="Arial"/>
          <w:i/>
          <w:iCs/>
        </w:rPr>
        <w:t>v) the potential benefits of strategic collaboration agreements and our ability to enter into strategic arrangements; (xv</w:t>
      </w:r>
      <w:r>
        <w:rPr>
          <w:rFonts w:eastAsia="Calibri" w:cs="Arial"/>
          <w:i/>
          <w:iCs/>
        </w:rPr>
        <w:t>i</w:t>
      </w:r>
      <w:r w:rsidRPr="0083188D">
        <w:rPr>
          <w:rFonts w:eastAsia="Calibri" w:cs="Arial"/>
          <w:i/>
          <w:iCs/>
        </w:rPr>
        <w:t>) our ability to maintain and establish collaborations; (xvi</w:t>
      </w:r>
      <w:r>
        <w:rPr>
          <w:rFonts w:eastAsia="Calibri" w:cs="Arial"/>
          <w:i/>
          <w:iCs/>
        </w:rPr>
        <w:t>i</w:t>
      </w:r>
      <w:r w:rsidRPr="0083188D">
        <w:rPr>
          <w:rFonts w:eastAsia="Calibri" w:cs="Arial"/>
          <w:i/>
          <w:iCs/>
        </w:rPr>
        <w:t>) the rate and degree of market acceptance of our product candidates, if approved; (xvii</w:t>
      </w:r>
      <w:r>
        <w:rPr>
          <w:rFonts w:eastAsia="Calibri" w:cs="Arial"/>
          <w:i/>
          <w:iCs/>
        </w:rPr>
        <w:t>i</w:t>
      </w:r>
      <w:r w:rsidRPr="0083188D">
        <w:rPr>
          <w:rFonts w:eastAsia="Calibri" w:cs="Arial"/>
          <w:i/>
          <w:iCs/>
        </w:rPr>
        <w:t>) developments relating to our competitors and our industry, inclu</w:t>
      </w:r>
      <w:r>
        <w:rPr>
          <w:rFonts w:eastAsia="Calibri" w:cs="Arial"/>
          <w:i/>
          <w:iCs/>
        </w:rPr>
        <w:t>ding competing therapies; (xix</w:t>
      </w:r>
      <w:r w:rsidRPr="0083188D">
        <w:rPr>
          <w:rFonts w:eastAsia="Calibri" w:cs="Arial"/>
          <w:i/>
          <w:iCs/>
        </w:rPr>
        <w:t>) our ability to effectively ma</w:t>
      </w:r>
      <w:r>
        <w:rPr>
          <w:rFonts w:eastAsia="Calibri" w:cs="Arial"/>
          <w:i/>
          <w:iCs/>
        </w:rPr>
        <w:t>nage our anticipated growth; (x</w:t>
      </w:r>
      <w:r w:rsidRPr="0083188D">
        <w:rPr>
          <w:rFonts w:eastAsia="Calibri" w:cs="Arial"/>
          <w:i/>
          <w:iCs/>
        </w:rPr>
        <w:t>x) our ability to attract and retain qualified employees and key personnel; (xx</w:t>
      </w:r>
      <w:r>
        <w:rPr>
          <w:rFonts w:eastAsia="Calibri" w:cs="Arial"/>
          <w:i/>
          <w:iCs/>
        </w:rPr>
        <w:t>i</w:t>
      </w:r>
      <w:r w:rsidRPr="0083188D">
        <w:rPr>
          <w:rFonts w:eastAsia="Calibri" w:cs="Arial"/>
          <w:i/>
          <w:iCs/>
        </w:rPr>
        <w:t>) our expected use of cash and cash equivalents and other sources of liquidity; (xxi</w:t>
      </w:r>
      <w:r>
        <w:rPr>
          <w:rFonts w:eastAsia="Calibri" w:cs="Arial"/>
          <w:i/>
          <w:iCs/>
        </w:rPr>
        <w:t>i</w:t>
      </w:r>
      <w:r w:rsidRPr="0083188D">
        <w:rPr>
          <w:rFonts w:eastAsia="Calibri" w:cs="Arial"/>
          <w:i/>
          <w:iCs/>
        </w:rPr>
        <w:t>) the potential benefits of any of our product candidates being granted orphan drug designation; (xxi</w:t>
      </w:r>
      <w:r>
        <w:rPr>
          <w:rFonts w:eastAsia="Calibri" w:cs="Arial"/>
          <w:i/>
          <w:iCs/>
        </w:rPr>
        <w:t>i</w:t>
      </w:r>
      <w:r w:rsidRPr="0083188D">
        <w:rPr>
          <w:rFonts w:eastAsia="Calibri" w:cs="Arial"/>
          <w:i/>
          <w:iCs/>
        </w:rPr>
        <w:t xml:space="preserve">i) the future trading price of the shares of our common stock and impact of securities analysts’ reports on these prices; </w:t>
      </w:r>
      <w:r>
        <w:rPr>
          <w:rFonts w:eastAsia="Calibri" w:cs="Arial"/>
          <w:i/>
          <w:iCs/>
        </w:rPr>
        <w:t>(xxiv</w:t>
      </w:r>
      <w:r w:rsidRPr="0083188D">
        <w:rPr>
          <w:rFonts w:eastAsia="Calibri" w:cs="Arial"/>
          <w:i/>
          <w:iCs/>
        </w:rPr>
        <w:t xml:space="preserve">) our ability to apply unused federal and state net operating loss carryforwards against future taxable income and/or (xxv) other risks and uncertainties. More detailed information about the Company and the risk factors that may affect the realization of forward-looking statements is set forth in the Company’s filings with the U.S. Securities and Exchange Commission (the “SEC”), including </w:t>
      </w:r>
      <w:proofErr w:type="spellStart"/>
      <w:r w:rsidRPr="0083188D">
        <w:rPr>
          <w:rFonts w:eastAsia="Calibri" w:cs="Arial"/>
          <w:i/>
          <w:iCs/>
        </w:rPr>
        <w:t>Kadmon’s</w:t>
      </w:r>
      <w:proofErr w:type="spellEnd"/>
      <w:r w:rsidRPr="0083188D">
        <w:rPr>
          <w:rFonts w:eastAsia="Calibri" w:cs="Arial"/>
          <w:i/>
          <w:iCs/>
        </w:rPr>
        <w:t xml:space="preserve"> Annual Report on Form 10-K for the fiscal year ended December 31, 2019</w:t>
      </w:r>
      <w:r>
        <w:rPr>
          <w:rFonts w:eastAsia="Calibri" w:cs="Arial"/>
          <w:i/>
          <w:iCs/>
        </w:rPr>
        <w:t xml:space="preserve"> and subsequent filings with the SEC</w:t>
      </w:r>
      <w:r w:rsidRPr="0083188D">
        <w:rPr>
          <w:rFonts w:eastAsia="Calibri" w:cs="Arial"/>
          <w:i/>
          <w:iCs/>
        </w:rPr>
        <w:t>. Investors and security holders are urged to read these documents free of charge on the SEC’s website at www.sec.gov. The Company assumes no obligation to publicly update or revise its forward-looking statements as a result of new information, future events or otherwise</w:t>
      </w:r>
      <w:r w:rsidRPr="0083188D">
        <w:rPr>
          <w:rFonts w:eastAsia="Calibri" w:cs="Arial"/>
          <w:i/>
        </w:rPr>
        <w:t xml:space="preserve">. </w:t>
      </w:r>
    </w:p>
    <w:p w14:paraId="43260EDE" w14:textId="77777777" w:rsidR="002F3799" w:rsidRDefault="002F3799" w:rsidP="00AD375C">
      <w:pPr>
        <w:spacing w:after="0"/>
        <w:jc w:val="both"/>
        <w:rPr>
          <w:rFonts w:eastAsia="Calibri" w:cs="Times New Roman"/>
          <w:b/>
        </w:rPr>
      </w:pPr>
    </w:p>
    <w:p w14:paraId="5F8CC377" w14:textId="13DDE850" w:rsidR="00AD375C" w:rsidRPr="00874A44" w:rsidRDefault="00AD375C" w:rsidP="00AD375C">
      <w:pPr>
        <w:spacing w:after="0"/>
        <w:jc w:val="both"/>
        <w:rPr>
          <w:rFonts w:eastAsia="Calibri" w:cs="Times New Roman"/>
          <w:b/>
        </w:rPr>
      </w:pPr>
      <w:r w:rsidRPr="00874A44">
        <w:rPr>
          <w:rFonts w:eastAsia="Calibri" w:cs="Times New Roman"/>
          <w:b/>
        </w:rPr>
        <w:t>Contact Information</w:t>
      </w:r>
    </w:p>
    <w:p w14:paraId="3633A40B" w14:textId="77777777" w:rsidR="00AD375C" w:rsidRPr="00C43C37" w:rsidRDefault="00AD375C" w:rsidP="00AD375C">
      <w:pPr>
        <w:spacing w:after="0" w:line="240" w:lineRule="auto"/>
        <w:jc w:val="both"/>
        <w:rPr>
          <w:rFonts w:eastAsia="Calibri" w:cs="Times New Roman"/>
        </w:rPr>
      </w:pPr>
      <w:r w:rsidRPr="00C43C37">
        <w:rPr>
          <w:rFonts w:eastAsia="Calibri" w:cs="Times New Roman"/>
        </w:rPr>
        <w:t xml:space="preserve">Ellen Cavaleri, Investor Relations </w:t>
      </w:r>
    </w:p>
    <w:p w14:paraId="7628FE7A" w14:textId="77777777" w:rsidR="00AD375C" w:rsidRPr="00874A44" w:rsidRDefault="00AD375C" w:rsidP="00AD375C">
      <w:pPr>
        <w:spacing w:after="0"/>
        <w:jc w:val="both"/>
        <w:rPr>
          <w:rFonts w:eastAsia="Calibri" w:cs="Times New Roman"/>
        </w:rPr>
      </w:pPr>
      <w:r w:rsidRPr="00874A44">
        <w:rPr>
          <w:rFonts w:eastAsia="Calibri" w:cs="Times New Roman"/>
        </w:rPr>
        <w:t>646.490.2989</w:t>
      </w:r>
    </w:p>
    <w:p w14:paraId="71E964DC" w14:textId="676EE28C" w:rsidR="00DA1FA6" w:rsidRPr="00E70E62" w:rsidRDefault="002A709F" w:rsidP="002F3799">
      <w:pPr>
        <w:spacing w:after="0"/>
        <w:jc w:val="both"/>
        <w:rPr>
          <w:rFonts w:eastAsia="Calibri" w:cs="Times New Roman"/>
          <w:b/>
        </w:rPr>
      </w:pPr>
      <w:hyperlink r:id="rId10" w:history="1">
        <w:r w:rsidR="00AD375C" w:rsidRPr="00761069">
          <w:rPr>
            <w:rFonts w:eastAsia="Calibri" w:cs="Times New Roman"/>
            <w:color w:val="0000FF"/>
            <w:u w:val="single"/>
          </w:rPr>
          <w:t>ellen.cavaleri@kadmon.com</w:t>
        </w:r>
      </w:hyperlink>
      <w:bookmarkEnd w:id="1"/>
      <w:bookmarkEnd w:id="2"/>
    </w:p>
    <w:sectPr w:rsidR="00DA1FA6" w:rsidRPr="00E70E62" w:rsidSect="00D357B8">
      <w:headerReference w:type="default" r:id="rId11"/>
      <w:footerReference w:type="default" r:id="rId12"/>
      <w:pgSz w:w="12240" w:h="15840"/>
      <w:pgMar w:top="1440" w:right="1440" w:bottom="12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B005E" w14:textId="77777777" w:rsidR="002A709F" w:rsidRDefault="002A709F">
      <w:pPr>
        <w:spacing w:after="0" w:line="240" w:lineRule="auto"/>
      </w:pPr>
      <w:r>
        <w:separator/>
      </w:r>
    </w:p>
  </w:endnote>
  <w:endnote w:type="continuationSeparator" w:id="0">
    <w:p w14:paraId="0A688E96" w14:textId="77777777" w:rsidR="002A709F" w:rsidRDefault="002A7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C543C" w14:textId="77777777" w:rsidR="00D357B8" w:rsidRDefault="00D357B8">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DCF91" w14:textId="77777777" w:rsidR="002A709F" w:rsidRDefault="002A709F">
      <w:pPr>
        <w:spacing w:after="0" w:line="240" w:lineRule="auto"/>
      </w:pPr>
      <w:r>
        <w:separator/>
      </w:r>
    </w:p>
  </w:footnote>
  <w:footnote w:type="continuationSeparator" w:id="0">
    <w:p w14:paraId="35976525" w14:textId="77777777" w:rsidR="002A709F" w:rsidRDefault="002A70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115ED" w14:textId="77777777" w:rsidR="00D357B8" w:rsidRDefault="00D357B8">
    <w:r w:rsidRPr="00874A44">
      <w:rPr>
        <w:rFonts w:eastAsia="MS Mincho" w:cs="Times New Roman"/>
        <w:noProof/>
      </w:rPr>
      <w:drawing>
        <wp:inline distT="0" distB="0" distL="0" distR="0" wp14:anchorId="7BE5DF11" wp14:editId="3CAB911A">
          <wp:extent cx="1543616" cy="470035"/>
          <wp:effectExtent l="0" t="0" r="0" b="6350"/>
          <wp:docPr id="1" name="Picture 1" descr="C:\Users\ellen tremaine\Desktop\Kadmon logo - blue - 5 26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en tremaine\Desktop\Kadmon logo - blue - 5 26 15.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3616" cy="4700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15716"/>
    <w:multiLevelType w:val="hybridMultilevel"/>
    <w:tmpl w:val="70EA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B7247"/>
    <w:multiLevelType w:val="hybridMultilevel"/>
    <w:tmpl w:val="E05A5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C6981"/>
    <w:multiLevelType w:val="hybridMultilevel"/>
    <w:tmpl w:val="CBDC6108"/>
    <w:lvl w:ilvl="0" w:tplc="A996629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F3F1C"/>
    <w:multiLevelType w:val="hybridMultilevel"/>
    <w:tmpl w:val="EA88F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C7A0455"/>
    <w:multiLevelType w:val="hybridMultilevel"/>
    <w:tmpl w:val="C8B2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2F3079"/>
    <w:multiLevelType w:val="hybridMultilevel"/>
    <w:tmpl w:val="2D50CE5E"/>
    <w:lvl w:ilvl="0" w:tplc="BEAEBB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794E3E"/>
    <w:multiLevelType w:val="hybridMultilevel"/>
    <w:tmpl w:val="BEEE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73602B"/>
    <w:multiLevelType w:val="hybridMultilevel"/>
    <w:tmpl w:val="34867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D2830C0"/>
    <w:multiLevelType w:val="hybridMultilevel"/>
    <w:tmpl w:val="CDD61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2"/>
  </w:num>
  <w:num w:numId="6">
    <w:abstractNumId w:val="5"/>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Version" w:val="5.0"/>
  </w:docVars>
  <w:rsids>
    <w:rsidRoot w:val="005A7D40"/>
    <w:rsid w:val="000022AC"/>
    <w:rsid w:val="00010869"/>
    <w:rsid w:val="00015368"/>
    <w:rsid w:val="00016839"/>
    <w:rsid w:val="00035AD1"/>
    <w:rsid w:val="000420B1"/>
    <w:rsid w:val="00053936"/>
    <w:rsid w:val="00060773"/>
    <w:rsid w:val="000754AE"/>
    <w:rsid w:val="00077046"/>
    <w:rsid w:val="00077246"/>
    <w:rsid w:val="0008413C"/>
    <w:rsid w:val="00090110"/>
    <w:rsid w:val="000B1228"/>
    <w:rsid w:val="000B4153"/>
    <w:rsid w:val="000C0817"/>
    <w:rsid w:val="000C68EC"/>
    <w:rsid w:val="000D0B9D"/>
    <w:rsid w:val="000D0DF4"/>
    <w:rsid w:val="000D6726"/>
    <w:rsid w:val="000F62A1"/>
    <w:rsid w:val="000F6F85"/>
    <w:rsid w:val="00101C9B"/>
    <w:rsid w:val="00104C08"/>
    <w:rsid w:val="00114C33"/>
    <w:rsid w:val="001221D5"/>
    <w:rsid w:val="00126088"/>
    <w:rsid w:val="00137B10"/>
    <w:rsid w:val="00137FB4"/>
    <w:rsid w:val="001428E7"/>
    <w:rsid w:val="001524C4"/>
    <w:rsid w:val="00153B1F"/>
    <w:rsid w:val="00160370"/>
    <w:rsid w:val="00164900"/>
    <w:rsid w:val="00170195"/>
    <w:rsid w:val="001709DC"/>
    <w:rsid w:val="00176610"/>
    <w:rsid w:val="00180122"/>
    <w:rsid w:val="00181255"/>
    <w:rsid w:val="001A37D6"/>
    <w:rsid w:val="001C65DD"/>
    <w:rsid w:val="001E03E7"/>
    <w:rsid w:val="001E4166"/>
    <w:rsid w:val="001E475F"/>
    <w:rsid w:val="001F460A"/>
    <w:rsid w:val="00202F4E"/>
    <w:rsid w:val="0021019A"/>
    <w:rsid w:val="0021372B"/>
    <w:rsid w:val="002159AB"/>
    <w:rsid w:val="002207E3"/>
    <w:rsid w:val="0023126E"/>
    <w:rsid w:val="002351BE"/>
    <w:rsid w:val="00236F03"/>
    <w:rsid w:val="00257A4F"/>
    <w:rsid w:val="00261B9F"/>
    <w:rsid w:val="002628C4"/>
    <w:rsid w:val="00265FE0"/>
    <w:rsid w:val="0026757A"/>
    <w:rsid w:val="00291F6E"/>
    <w:rsid w:val="002A3624"/>
    <w:rsid w:val="002A709F"/>
    <w:rsid w:val="002B7CBF"/>
    <w:rsid w:val="002C0234"/>
    <w:rsid w:val="002C7B07"/>
    <w:rsid w:val="002D6F37"/>
    <w:rsid w:val="002E00B0"/>
    <w:rsid w:val="002E10BE"/>
    <w:rsid w:val="002E33E6"/>
    <w:rsid w:val="002E537E"/>
    <w:rsid w:val="002F1A53"/>
    <w:rsid w:val="002F3799"/>
    <w:rsid w:val="002F55BD"/>
    <w:rsid w:val="00310DF0"/>
    <w:rsid w:val="00311C80"/>
    <w:rsid w:val="0034023E"/>
    <w:rsid w:val="00343C95"/>
    <w:rsid w:val="00343DF4"/>
    <w:rsid w:val="003508D0"/>
    <w:rsid w:val="00351BEA"/>
    <w:rsid w:val="0036329F"/>
    <w:rsid w:val="00364A01"/>
    <w:rsid w:val="00372125"/>
    <w:rsid w:val="0037746C"/>
    <w:rsid w:val="00377AFB"/>
    <w:rsid w:val="00377E74"/>
    <w:rsid w:val="003B1D62"/>
    <w:rsid w:val="003C7578"/>
    <w:rsid w:val="003D317A"/>
    <w:rsid w:val="003D3E28"/>
    <w:rsid w:val="003E06C0"/>
    <w:rsid w:val="003E4D98"/>
    <w:rsid w:val="003F2BD0"/>
    <w:rsid w:val="003F36B1"/>
    <w:rsid w:val="003F3FF3"/>
    <w:rsid w:val="003F5531"/>
    <w:rsid w:val="003F6CA0"/>
    <w:rsid w:val="00401BCC"/>
    <w:rsid w:val="00410F36"/>
    <w:rsid w:val="00411B1C"/>
    <w:rsid w:val="00415897"/>
    <w:rsid w:val="0042438C"/>
    <w:rsid w:val="00425849"/>
    <w:rsid w:val="0043031C"/>
    <w:rsid w:val="00433613"/>
    <w:rsid w:val="00437815"/>
    <w:rsid w:val="00442F5E"/>
    <w:rsid w:val="004459B0"/>
    <w:rsid w:val="0045080C"/>
    <w:rsid w:val="00452A5A"/>
    <w:rsid w:val="00456DA1"/>
    <w:rsid w:val="004609EA"/>
    <w:rsid w:val="00464909"/>
    <w:rsid w:val="00472072"/>
    <w:rsid w:val="004873BF"/>
    <w:rsid w:val="00492025"/>
    <w:rsid w:val="004942BF"/>
    <w:rsid w:val="004A1E40"/>
    <w:rsid w:val="004A3825"/>
    <w:rsid w:val="004A3848"/>
    <w:rsid w:val="004A450D"/>
    <w:rsid w:val="004B77A6"/>
    <w:rsid w:val="004C0565"/>
    <w:rsid w:val="004D2A4F"/>
    <w:rsid w:val="004E65CF"/>
    <w:rsid w:val="004F0645"/>
    <w:rsid w:val="004F3331"/>
    <w:rsid w:val="00514B7E"/>
    <w:rsid w:val="0051608C"/>
    <w:rsid w:val="00516BE3"/>
    <w:rsid w:val="0052544E"/>
    <w:rsid w:val="005308CE"/>
    <w:rsid w:val="0053388C"/>
    <w:rsid w:val="0054464B"/>
    <w:rsid w:val="00555A53"/>
    <w:rsid w:val="00562E56"/>
    <w:rsid w:val="005635A6"/>
    <w:rsid w:val="00563695"/>
    <w:rsid w:val="00575590"/>
    <w:rsid w:val="00576B43"/>
    <w:rsid w:val="0058003E"/>
    <w:rsid w:val="00586DB9"/>
    <w:rsid w:val="00592DC7"/>
    <w:rsid w:val="00593F71"/>
    <w:rsid w:val="005A7CBF"/>
    <w:rsid w:val="005A7D40"/>
    <w:rsid w:val="005B402B"/>
    <w:rsid w:val="005B49DD"/>
    <w:rsid w:val="005B7983"/>
    <w:rsid w:val="005D14B9"/>
    <w:rsid w:val="005E171B"/>
    <w:rsid w:val="005E6041"/>
    <w:rsid w:val="005F0B8C"/>
    <w:rsid w:val="0060561D"/>
    <w:rsid w:val="00620328"/>
    <w:rsid w:val="00633241"/>
    <w:rsid w:val="006472F9"/>
    <w:rsid w:val="00662EBD"/>
    <w:rsid w:val="0067035F"/>
    <w:rsid w:val="0067415E"/>
    <w:rsid w:val="0068320C"/>
    <w:rsid w:val="006878B4"/>
    <w:rsid w:val="006923B2"/>
    <w:rsid w:val="006B300E"/>
    <w:rsid w:val="006B773E"/>
    <w:rsid w:val="006C42B8"/>
    <w:rsid w:val="006C52C7"/>
    <w:rsid w:val="006E5EE4"/>
    <w:rsid w:val="006E6685"/>
    <w:rsid w:val="006F1A9E"/>
    <w:rsid w:val="006F605F"/>
    <w:rsid w:val="00705633"/>
    <w:rsid w:val="00731FB1"/>
    <w:rsid w:val="007341CD"/>
    <w:rsid w:val="007346A5"/>
    <w:rsid w:val="00736D60"/>
    <w:rsid w:val="0074714E"/>
    <w:rsid w:val="00753804"/>
    <w:rsid w:val="00762CBF"/>
    <w:rsid w:val="00776217"/>
    <w:rsid w:val="00780FD7"/>
    <w:rsid w:val="007824E0"/>
    <w:rsid w:val="00792FDA"/>
    <w:rsid w:val="00793363"/>
    <w:rsid w:val="007A22FB"/>
    <w:rsid w:val="007B4BEC"/>
    <w:rsid w:val="007B51FC"/>
    <w:rsid w:val="007D690F"/>
    <w:rsid w:val="007E1824"/>
    <w:rsid w:val="00801B97"/>
    <w:rsid w:val="00805877"/>
    <w:rsid w:val="00813471"/>
    <w:rsid w:val="00813AF9"/>
    <w:rsid w:val="008167EB"/>
    <w:rsid w:val="00820555"/>
    <w:rsid w:val="00830525"/>
    <w:rsid w:val="00842629"/>
    <w:rsid w:val="00853AC4"/>
    <w:rsid w:val="008547F4"/>
    <w:rsid w:val="0086234A"/>
    <w:rsid w:val="00875837"/>
    <w:rsid w:val="00880628"/>
    <w:rsid w:val="00881745"/>
    <w:rsid w:val="00893A3A"/>
    <w:rsid w:val="008B4840"/>
    <w:rsid w:val="008B4BBE"/>
    <w:rsid w:val="008B66D0"/>
    <w:rsid w:val="008C097F"/>
    <w:rsid w:val="008C6B7A"/>
    <w:rsid w:val="008C6DC7"/>
    <w:rsid w:val="008C788C"/>
    <w:rsid w:val="008D441D"/>
    <w:rsid w:val="008D5339"/>
    <w:rsid w:val="008D5A83"/>
    <w:rsid w:val="008D7D3D"/>
    <w:rsid w:val="008E0835"/>
    <w:rsid w:val="008F35A7"/>
    <w:rsid w:val="008F633A"/>
    <w:rsid w:val="00911259"/>
    <w:rsid w:val="009156D4"/>
    <w:rsid w:val="0092115E"/>
    <w:rsid w:val="0092250A"/>
    <w:rsid w:val="00923FBE"/>
    <w:rsid w:val="00925D29"/>
    <w:rsid w:val="00925DBC"/>
    <w:rsid w:val="009272B4"/>
    <w:rsid w:val="00935C93"/>
    <w:rsid w:val="00950242"/>
    <w:rsid w:val="0096130E"/>
    <w:rsid w:val="00962EDA"/>
    <w:rsid w:val="00991DF3"/>
    <w:rsid w:val="0099647B"/>
    <w:rsid w:val="009A078F"/>
    <w:rsid w:val="009A5A4D"/>
    <w:rsid w:val="009A607F"/>
    <w:rsid w:val="009A6423"/>
    <w:rsid w:val="009B3107"/>
    <w:rsid w:val="009B5116"/>
    <w:rsid w:val="009C6EC4"/>
    <w:rsid w:val="009C7A93"/>
    <w:rsid w:val="009D3D5B"/>
    <w:rsid w:val="009D52CC"/>
    <w:rsid w:val="009E1860"/>
    <w:rsid w:val="009E262F"/>
    <w:rsid w:val="009F18B5"/>
    <w:rsid w:val="009F1A51"/>
    <w:rsid w:val="00A0157E"/>
    <w:rsid w:val="00A018D5"/>
    <w:rsid w:val="00A13380"/>
    <w:rsid w:val="00A145F8"/>
    <w:rsid w:val="00A16C7F"/>
    <w:rsid w:val="00A24921"/>
    <w:rsid w:val="00A271DF"/>
    <w:rsid w:val="00A27D95"/>
    <w:rsid w:val="00A32603"/>
    <w:rsid w:val="00A41F01"/>
    <w:rsid w:val="00A46417"/>
    <w:rsid w:val="00A569D1"/>
    <w:rsid w:val="00A709AF"/>
    <w:rsid w:val="00A70A19"/>
    <w:rsid w:val="00A87B21"/>
    <w:rsid w:val="00A87F84"/>
    <w:rsid w:val="00A906A0"/>
    <w:rsid w:val="00AB183B"/>
    <w:rsid w:val="00AB72BA"/>
    <w:rsid w:val="00AC3D69"/>
    <w:rsid w:val="00AD0536"/>
    <w:rsid w:val="00AD2C39"/>
    <w:rsid w:val="00AD375C"/>
    <w:rsid w:val="00AE27FA"/>
    <w:rsid w:val="00AE7B57"/>
    <w:rsid w:val="00AF0B5B"/>
    <w:rsid w:val="00AF1D66"/>
    <w:rsid w:val="00AF31CA"/>
    <w:rsid w:val="00B002C9"/>
    <w:rsid w:val="00B136F4"/>
    <w:rsid w:val="00B22CE2"/>
    <w:rsid w:val="00B23E49"/>
    <w:rsid w:val="00B263DE"/>
    <w:rsid w:val="00B27255"/>
    <w:rsid w:val="00B3653B"/>
    <w:rsid w:val="00B52D35"/>
    <w:rsid w:val="00B5721D"/>
    <w:rsid w:val="00B601BD"/>
    <w:rsid w:val="00B73F23"/>
    <w:rsid w:val="00B80C0B"/>
    <w:rsid w:val="00B83146"/>
    <w:rsid w:val="00BA179F"/>
    <w:rsid w:val="00BB017B"/>
    <w:rsid w:val="00BB48B0"/>
    <w:rsid w:val="00BB69EC"/>
    <w:rsid w:val="00BB773C"/>
    <w:rsid w:val="00BE097C"/>
    <w:rsid w:val="00BE205B"/>
    <w:rsid w:val="00BF24F8"/>
    <w:rsid w:val="00BF3947"/>
    <w:rsid w:val="00C13FC5"/>
    <w:rsid w:val="00C14FC9"/>
    <w:rsid w:val="00C154A5"/>
    <w:rsid w:val="00C34B37"/>
    <w:rsid w:val="00C467FB"/>
    <w:rsid w:val="00C514FE"/>
    <w:rsid w:val="00C52CDB"/>
    <w:rsid w:val="00C61EFD"/>
    <w:rsid w:val="00C66AA2"/>
    <w:rsid w:val="00C776CE"/>
    <w:rsid w:val="00C808F1"/>
    <w:rsid w:val="00C843F8"/>
    <w:rsid w:val="00C84514"/>
    <w:rsid w:val="00CA07B0"/>
    <w:rsid w:val="00CA1719"/>
    <w:rsid w:val="00CA6F19"/>
    <w:rsid w:val="00CB2CBE"/>
    <w:rsid w:val="00CC51D2"/>
    <w:rsid w:val="00CD4F87"/>
    <w:rsid w:val="00CF2FF6"/>
    <w:rsid w:val="00CF3B0A"/>
    <w:rsid w:val="00CF5ADF"/>
    <w:rsid w:val="00D06B05"/>
    <w:rsid w:val="00D07D94"/>
    <w:rsid w:val="00D106D3"/>
    <w:rsid w:val="00D13D75"/>
    <w:rsid w:val="00D2198F"/>
    <w:rsid w:val="00D25121"/>
    <w:rsid w:val="00D25E2B"/>
    <w:rsid w:val="00D357B8"/>
    <w:rsid w:val="00D4118C"/>
    <w:rsid w:val="00D45B3B"/>
    <w:rsid w:val="00D61CD6"/>
    <w:rsid w:val="00D67531"/>
    <w:rsid w:val="00D701B2"/>
    <w:rsid w:val="00D971E6"/>
    <w:rsid w:val="00DA1FA6"/>
    <w:rsid w:val="00DA3720"/>
    <w:rsid w:val="00DA41C3"/>
    <w:rsid w:val="00DA65C7"/>
    <w:rsid w:val="00DB6952"/>
    <w:rsid w:val="00DC3D57"/>
    <w:rsid w:val="00DC3DF3"/>
    <w:rsid w:val="00DD0622"/>
    <w:rsid w:val="00DF0D60"/>
    <w:rsid w:val="00DF0E37"/>
    <w:rsid w:val="00DF10D8"/>
    <w:rsid w:val="00E01FE5"/>
    <w:rsid w:val="00E07458"/>
    <w:rsid w:val="00E10FC5"/>
    <w:rsid w:val="00E11B30"/>
    <w:rsid w:val="00E13139"/>
    <w:rsid w:val="00E37752"/>
    <w:rsid w:val="00E42611"/>
    <w:rsid w:val="00E5308E"/>
    <w:rsid w:val="00E56D79"/>
    <w:rsid w:val="00E67716"/>
    <w:rsid w:val="00E70E62"/>
    <w:rsid w:val="00E7440D"/>
    <w:rsid w:val="00E82BDB"/>
    <w:rsid w:val="00EA03FB"/>
    <w:rsid w:val="00EA2078"/>
    <w:rsid w:val="00EA2530"/>
    <w:rsid w:val="00EA33F4"/>
    <w:rsid w:val="00EA4DC6"/>
    <w:rsid w:val="00EA5D48"/>
    <w:rsid w:val="00EB680F"/>
    <w:rsid w:val="00EB6E31"/>
    <w:rsid w:val="00ED60AD"/>
    <w:rsid w:val="00ED7865"/>
    <w:rsid w:val="00EE0633"/>
    <w:rsid w:val="00EF37DF"/>
    <w:rsid w:val="00EF4747"/>
    <w:rsid w:val="00F07C0B"/>
    <w:rsid w:val="00F204CF"/>
    <w:rsid w:val="00F3799A"/>
    <w:rsid w:val="00F40F17"/>
    <w:rsid w:val="00F41D20"/>
    <w:rsid w:val="00F42F6C"/>
    <w:rsid w:val="00F54607"/>
    <w:rsid w:val="00F6191B"/>
    <w:rsid w:val="00F61F98"/>
    <w:rsid w:val="00F64F77"/>
    <w:rsid w:val="00F65FF6"/>
    <w:rsid w:val="00F70342"/>
    <w:rsid w:val="00F711BC"/>
    <w:rsid w:val="00F830D1"/>
    <w:rsid w:val="00F84E0C"/>
    <w:rsid w:val="00F86F0C"/>
    <w:rsid w:val="00F905BA"/>
    <w:rsid w:val="00F92EC2"/>
    <w:rsid w:val="00F94317"/>
    <w:rsid w:val="00FA04B7"/>
    <w:rsid w:val="00FB4DB3"/>
    <w:rsid w:val="00FB69DC"/>
    <w:rsid w:val="00FC47E4"/>
    <w:rsid w:val="00FC54E5"/>
    <w:rsid w:val="00FD0490"/>
    <w:rsid w:val="00FD2721"/>
    <w:rsid w:val="00FD3BCE"/>
    <w:rsid w:val="00FD4E08"/>
    <w:rsid w:val="00FD788D"/>
    <w:rsid w:val="00FE02FB"/>
    <w:rsid w:val="00FE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1B0042"/>
  <w15:docId w15:val="{68A6EB0C-A346-440F-BF11-6827C242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33"/>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1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07F"/>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Calibri" w:eastAsia="Calibri" w:hAnsi="Calibri" w:cs="Arial"/>
      <w:sz w:val="20"/>
      <w:szCs w:val="20"/>
    </w:rPr>
  </w:style>
  <w:style w:type="paragraph" w:styleId="Header">
    <w:name w:val="header"/>
    <w:basedOn w:val="Normal"/>
    <w:link w:val="HeaderChar"/>
    <w:uiPriority w:val="99"/>
    <w:unhideWhenUsed/>
    <w:rsid w:val="008B4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840"/>
    <w:rPr>
      <w:rFonts w:ascii="Times New Roman" w:hAnsi="Times New Roman"/>
    </w:rPr>
  </w:style>
  <w:style w:type="paragraph" w:styleId="Footer">
    <w:name w:val="footer"/>
    <w:basedOn w:val="Normal"/>
    <w:link w:val="FooterChar"/>
    <w:uiPriority w:val="99"/>
    <w:unhideWhenUsed/>
    <w:rsid w:val="008B4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840"/>
    <w:rPr>
      <w:rFonts w:ascii="Times New Roman" w:hAnsi="Times New Roman"/>
    </w:rPr>
  </w:style>
  <w:style w:type="character" w:styleId="CommentReference">
    <w:name w:val="annotation reference"/>
    <w:basedOn w:val="DefaultParagraphFont"/>
    <w:uiPriority w:val="99"/>
    <w:semiHidden/>
    <w:unhideWhenUsed/>
    <w:rsid w:val="00A145F8"/>
    <w:rPr>
      <w:sz w:val="16"/>
      <w:szCs w:val="16"/>
    </w:rPr>
  </w:style>
  <w:style w:type="paragraph" w:styleId="CommentText">
    <w:name w:val="annotation text"/>
    <w:basedOn w:val="Normal"/>
    <w:link w:val="CommentTextChar"/>
    <w:uiPriority w:val="99"/>
    <w:semiHidden/>
    <w:unhideWhenUsed/>
    <w:rsid w:val="00A145F8"/>
    <w:pPr>
      <w:spacing w:line="240" w:lineRule="auto"/>
    </w:pPr>
    <w:rPr>
      <w:sz w:val="20"/>
      <w:szCs w:val="20"/>
    </w:rPr>
  </w:style>
  <w:style w:type="character" w:customStyle="1" w:styleId="CommentTextChar">
    <w:name w:val="Comment Text Char"/>
    <w:basedOn w:val="DefaultParagraphFont"/>
    <w:link w:val="CommentText"/>
    <w:uiPriority w:val="99"/>
    <w:semiHidden/>
    <w:rsid w:val="00A145F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145F8"/>
    <w:rPr>
      <w:b/>
      <w:bCs/>
    </w:rPr>
  </w:style>
  <w:style w:type="character" w:customStyle="1" w:styleId="CommentSubjectChar">
    <w:name w:val="Comment Subject Char"/>
    <w:basedOn w:val="CommentTextChar"/>
    <w:link w:val="CommentSubject"/>
    <w:uiPriority w:val="99"/>
    <w:semiHidden/>
    <w:rsid w:val="00A145F8"/>
    <w:rPr>
      <w:rFonts w:ascii="Times New Roman" w:hAnsi="Times New Roman"/>
      <w:b/>
      <w:bCs/>
      <w:sz w:val="20"/>
      <w:szCs w:val="20"/>
    </w:rPr>
  </w:style>
  <w:style w:type="paragraph" w:styleId="BalloonText">
    <w:name w:val="Balloon Text"/>
    <w:basedOn w:val="Normal"/>
    <w:link w:val="BalloonTextChar"/>
    <w:uiPriority w:val="99"/>
    <w:semiHidden/>
    <w:unhideWhenUsed/>
    <w:rsid w:val="00A145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5F8"/>
    <w:rPr>
      <w:rFonts w:ascii="Segoe UI" w:hAnsi="Segoe UI" w:cs="Segoe UI"/>
      <w:sz w:val="18"/>
      <w:szCs w:val="18"/>
    </w:rPr>
  </w:style>
  <w:style w:type="character" w:styleId="FollowedHyperlink">
    <w:name w:val="FollowedHyperlink"/>
    <w:basedOn w:val="DefaultParagraphFont"/>
    <w:uiPriority w:val="99"/>
    <w:semiHidden/>
    <w:unhideWhenUsed/>
    <w:rsid w:val="00CF5ADF"/>
    <w:rPr>
      <w:color w:val="800080" w:themeColor="followedHyperlink"/>
      <w:u w:val="single"/>
    </w:rPr>
  </w:style>
  <w:style w:type="paragraph" w:styleId="NoSpacing">
    <w:name w:val="No Spacing"/>
    <w:uiPriority w:val="1"/>
    <w:qFormat/>
    <w:rsid w:val="002F3799"/>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13493">
      <w:bodyDiv w:val="1"/>
      <w:marLeft w:val="0"/>
      <w:marRight w:val="0"/>
      <w:marTop w:val="0"/>
      <w:marBottom w:val="0"/>
      <w:divBdr>
        <w:top w:val="none" w:sz="0" w:space="0" w:color="auto"/>
        <w:left w:val="none" w:sz="0" w:space="0" w:color="auto"/>
        <w:bottom w:val="none" w:sz="0" w:space="0" w:color="auto"/>
        <w:right w:val="none" w:sz="0" w:space="0" w:color="auto"/>
      </w:divBdr>
    </w:div>
    <w:div w:id="396369005">
      <w:bodyDiv w:val="1"/>
      <w:marLeft w:val="0"/>
      <w:marRight w:val="0"/>
      <w:marTop w:val="0"/>
      <w:marBottom w:val="0"/>
      <w:divBdr>
        <w:top w:val="none" w:sz="0" w:space="0" w:color="auto"/>
        <w:left w:val="none" w:sz="0" w:space="0" w:color="auto"/>
        <w:bottom w:val="none" w:sz="0" w:space="0" w:color="auto"/>
        <w:right w:val="none" w:sz="0" w:space="0" w:color="auto"/>
      </w:divBdr>
    </w:div>
    <w:div w:id="564995812">
      <w:bodyDiv w:val="1"/>
      <w:marLeft w:val="0"/>
      <w:marRight w:val="0"/>
      <w:marTop w:val="0"/>
      <w:marBottom w:val="0"/>
      <w:divBdr>
        <w:top w:val="none" w:sz="0" w:space="0" w:color="auto"/>
        <w:left w:val="none" w:sz="0" w:space="0" w:color="auto"/>
        <w:bottom w:val="none" w:sz="0" w:space="0" w:color="auto"/>
        <w:right w:val="none" w:sz="0" w:space="0" w:color="auto"/>
      </w:divBdr>
    </w:div>
    <w:div w:id="681973508">
      <w:bodyDiv w:val="1"/>
      <w:marLeft w:val="0"/>
      <w:marRight w:val="0"/>
      <w:marTop w:val="0"/>
      <w:marBottom w:val="0"/>
      <w:divBdr>
        <w:top w:val="none" w:sz="0" w:space="0" w:color="auto"/>
        <w:left w:val="none" w:sz="0" w:space="0" w:color="auto"/>
        <w:bottom w:val="none" w:sz="0" w:space="0" w:color="auto"/>
        <w:right w:val="none" w:sz="0" w:space="0" w:color="auto"/>
      </w:divBdr>
    </w:div>
    <w:div w:id="709034602">
      <w:bodyDiv w:val="1"/>
      <w:marLeft w:val="0"/>
      <w:marRight w:val="0"/>
      <w:marTop w:val="0"/>
      <w:marBottom w:val="0"/>
      <w:divBdr>
        <w:top w:val="none" w:sz="0" w:space="0" w:color="auto"/>
        <w:left w:val="none" w:sz="0" w:space="0" w:color="auto"/>
        <w:bottom w:val="none" w:sz="0" w:space="0" w:color="auto"/>
        <w:right w:val="none" w:sz="0" w:space="0" w:color="auto"/>
      </w:divBdr>
    </w:div>
    <w:div w:id="811100804">
      <w:bodyDiv w:val="1"/>
      <w:marLeft w:val="0"/>
      <w:marRight w:val="0"/>
      <w:marTop w:val="0"/>
      <w:marBottom w:val="0"/>
      <w:divBdr>
        <w:top w:val="none" w:sz="0" w:space="0" w:color="auto"/>
        <w:left w:val="none" w:sz="0" w:space="0" w:color="auto"/>
        <w:bottom w:val="none" w:sz="0" w:space="0" w:color="auto"/>
        <w:right w:val="none" w:sz="0" w:space="0" w:color="auto"/>
      </w:divBdr>
    </w:div>
    <w:div w:id="905646288">
      <w:bodyDiv w:val="1"/>
      <w:marLeft w:val="0"/>
      <w:marRight w:val="0"/>
      <w:marTop w:val="0"/>
      <w:marBottom w:val="0"/>
      <w:divBdr>
        <w:top w:val="none" w:sz="0" w:space="0" w:color="auto"/>
        <w:left w:val="none" w:sz="0" w:space="0" w:color="auto"/>
        <w:bottom w:val="none" w:sz="0" w:space="0" w:color="auto"/>
        <w:right w:val="none" w:sz="0" w:space="0" w:color="auto"/>
      </w:divBdr>
    </w:div>
    <w:div w:id="911937170">
      <w:bodyDiv w:val="1"/>
      <w:marLeft w:val="0"/>
      <w:marRight w:val="0"/>
      <w:marTop w:val="0"/>
      <w:marBottom w:val="0"/>
      <w:divBdr>
        <w:top w:val="none" w:sz="0" w:space="0" w:color="auto"/>
        <w:left w:val="none" w:sz="0" w:space="0" w:color="auto"/>
        <w:bottom w:val="none" w:sz="0" w:space="0" w:color="auto"/>
        <w:right w:val="none" w:sz="0" w:space="0" w:color="auto"/>
      </w:divBdr>
    </w:div>
    <w:div w:id="1352532028">
      <w:bodyDiv w:val="1"/>
      <w:marLeft w:val="0"/>
      <w:marRight w:val="0"/>
      <w:marTop w:val="0"/>
      <w:marBottom w:val="0"/>
      <w:divBdr>
        <w:top w:val="none" w:sz="0" w:space="0" w:color="auto"/>
        <w:left w:val="none" w:sz="0" w:space="0" w:color="auto"/>
        <w:bottom w:val="none" w:sz="0" w:space="0" w:color="auto"/>
        <w:right w:val="none" w:sz="0" w:space="0" w:color="auto"/>
      </w:divBdr>
    </w:div>
    <w:div w:id="1482382444">
      <w:bodyDiv w:val="1"/>
      <w:marLeft w:val="0"/>
      <w:marRight w:val="0"/>
      <w:marTop w:val="0"/>
      <w:marBottom w:val="0"/>
      <w:divBdr>
        <w:top w:val="none" w:sz="0" w:space="0" w:color="auto"/>
        <w:left w:val="none" w:sz="0" w:space="0" w:color="auto"/>
        <w:bottom w:val="none" w:sz="0" w:space="0" w:color="auto"/>
        <w:right w:val="none" w:sz="0" w:space="0" w:color="auto"/>
      </w:divBdr>
    </w:div>
    <w:div w:id="1607154288">
      <w:bodyDiv w:val="1"/>
      <w:marLeft w:val="0"/>
      <w:marRight w:val="0"/>
      <w:marTop w:val="0"/>
      <w:marBottom w:val="0"/>
      <w:divBdr>
        <w:top w:val="none" w:sz="0" w:space="0" w:color="auto"/>
        <w:left w:val="none" w:sz="0" w:space="0" w:color="auto"/>
        <w:bottom w:val="none" w:sz="0" w:space="0" w:color="auto"/>
        <w:right w:val="none" w:sz="0" w:space="0" w:color="auto"/>
      </w:divBdr>
    </w:div>
    <w:div w:id="172486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exc.zoom.us/webinar/register/WN_NbmeCyjmQ1iQVOvy0FlGa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len.cavaleri@kadmon.com" TargetMode="External"/><Relationship Id="rId4" Type="http://schemas.openxmlformats.org/officeDocument/2006/relationships/settings" Target="settings.xml"/><Relationship Id="rId9" Type="http://schemas.openxmlformats.org/officeDocument/2006/relationships/hyperlink" Target="https://investors.kadmon.com/presentations-and-event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C3668-C493-4760-B810-4D587434B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Darder</dc:creator>
  <cp:keywords/>
  <dc:description/>
  <cp:lastModifiedBy>Chelsea Oliver</cp:lastModifiedBy>
  <cp:revision>2</cp:revision>
  <cp:lastPrinted>2020-12-03T15:37:00Z</cp:lastPrinted>
  <dcterms:created xsi:type="dcterms:W3CDTF">2020-12-04T16:20:00Z</dcterms:created>
  <dcterms:modified xsi:type="dcterms:W3CDTF">2020-12-04T16:20:00Z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a8ce42-0a38-4038-af78-0463c9adb574_Enabled">
    <vt:lpwstr>True</vt:lpwstr>
  </property>
  <property fmtid="{D5CDD505-2E9C-101B-9397-08002B2CF9AE}" pid="3" name="MSIP_Label_cea8ce42-0a38-4038-af78-0463c9adb574_SiteId">
    <vt:lpwstr>5d25c963-07db-4627-9db3-720b2ff89865</vt:lpwstr>
  </property>
  <property fmtid="{D5CDD505-2E9C-101B-9397-08002B2CF9AE}" pid="4" name="MSIP_Label_cea8ce42-0a38-4038-af78-0463c9adb574_Owner">
    <vt:lpwstr>jporcelli@pnc.com</vt:lpwstr>
  </property>
  <property fmtid="{D5CDD505-2E9C-101B-9397-08002B2CF9AE}" pid="5" name="MSIP_Label_cea8ce42-0a38-4038-af78-0463c9adb574_SetDate">
    <vt:lpwstr>2020-12-02T01:29:49.6408634Z</vt:lpwstr>
  </property>
  <property fmtid="{D5CDD505-2E9C-101B-9397-08002B2CF9AE}" pid="6" name="MSIP_Label_cea8ce42-0a38-4038-af78-0463c9adb574_Name">
    <vt:lpwstr>Internal</vt:lpwstr>
  </property>
  <property fmtid="{D5CDD505-2E9C-101B-9397-08002B2CF9AE}" pid="7" name="MSIP_Label_cea8ce42-0a38-4038-af78-0463c9adb574_Application">
    <vt:lpwstr>Microsoft Azure Information Protection</vt:lpwstr>
  </property>
  <property fmtid="{D5CDD505-2E9C-101B-9397-08002B2CF9AE}" pid="8" name="MSIP_Label_cea8ce42-0a38-4038-af78-0463c9adb574_ActionId">
    <vt:lpwstr>5c39ccbb-6d89-4d08-b8d1-5b59907e7201</vt:lpwstr>
  </property>
  <property fmtid="{D5CDD505-2E9C-101B-9397-08002B2CF9AE}" pid="9" name="MSIP_Label_cea8ce42-0a38-4038-af78-0463c9adb574_Extended_MSFT_Method">
    <vt:lpwstr>Automatic</vt:lpwstr>
  </property>
  <property fmtid="{D5CDD505-2E9C-101B-9397-08002B2CF9AE}" pid="10" name="Sensitivity">
    <vt:lpwstr>Internal</vt:lpwstr>
  </property>
</Properties>
</file>