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7C2C4" w14:textId="273F4FA2" w:rsidR="0021273E" w:rsidRDefault="002A2DA2" w:rsidP="0021273E">
      <w:pPr>
        <w:widowControl w:val="0"/>
        <w:autoSpaceDE w:val="0"/>
        <w:autoSpaceDN w:val="0"/>
        <w:adjustRightInd w:val="0"/>
        <w:spacing w:after="0" w:line="240" w:lineRule="auto"/>
        <w:jc w:val="center"/>
        <w:rPr>
          <w:rFonts w:asciiTheme="minorHAnsi" w:hAnsiTheme="minorHAnsi" w:cs="Lato-Light"/>
          <w:b/>
          <w:sz w:val="28"/>
          <w:szCs w:val="28"/>
        </w:rPr>
      </w:pPr>
      <w:r w:rsidRPr="00944D8A">
        <w:rPr>
          <w:rFonts w:asciiTheme="minorHAnsi" w:hAnsiTheme="minorHAnsi" w:cs="Lato-Light"/>
          <w:b/>
          <w:sz w:val="28"/>
          <w:szCs w:val="28"/>
        </w:rPr>
        <w:t>Xenetic Biosciences</w:t>
      </w:r>
      <w:r w:rsidR="001A3DC7">
        <w:rPr>
          <w:rFonts w:asciiTheme="minorHAnsi" w:hAnsiTheme="minorHAnsi" w:cs="Lato-Light"/>
          <w:b/>
          <w:sz w:val="28"/>
          <w:szCs w:val="28"/>
        </w:rPr>
        <w:t xml:space="preserve">, Inc. </w:t>
      </w:r>
      <w:r w:rsidR="00384843">
        <w:rPr>
          <w:rFonts w:asciiTheme="minorHAnsi" w:hAnsiTheme="minorHAnsi" w:cs="Lato-Light"/>
          <w:b/>
          <w:sz w:val="28"/>
          <w:szCs w:val="28"/>
        </w:rPr>
        <w:t>Announces</w:t>
      </w:r>
      <w:r w:rsidR="00E46DC6">
        <w:rPr>
          <w:rFonts w:asciiTheme="minorHAnsi" w:hAnsiTheme="minorHAnsi" w:cs="Lato-Light"/>
          <w:b/>
          <w:sz w:val="28"/>
          <w:szCs w:val="28"/>
        </w:rPr>
        <w:t xml:space="preserve"> </w:t>
      </w:r>
      <w:r w:rsidR="0067122F">
        <w:rPr>
          <w:rFonts w:asciiTheme="minorHAnsi" w:hAnsiTheme="minorHAnsi" w:cs="Lato-Light"/>
          <w:b/>
          <w:sz w:val="28"/>
          <w:szCs w:val="28"/>
        </w:rPr>
        <w:t xml:space="preserve">Positive </w:t>
      </w:r>
      <w:r w:rsidR="00384843">
        <w:rPr>
          <w:rFonts w:asciiTheme="minorHAnsi" w:hAnsiTheme="minorHAnsi" w:cs="Lato-Light"/>
          <w:b/>
          <w:sz w:val="28"/>
          <w:szCs w:val="28"/>
        </w:rPr>
        <w:t>Data from</w:t>
      </w:r>
      <w:r w:rsidR="00F0069B">
        <w:rPr>
          <w:rFonts w:asciiTheme="minorHAnsi" w:hAnsiTheme="minorHAnsi" w:cs="Lato-Light"/>
          <w:b/>
          <w:sz w:val="28"/>
          <w:szCs w:val="28"/>
        </w:rPr>
        <w:t xml:space="preserve"> </w:t>
      </w:r>
      <w:r w:rsidR="005C6E25">
        <w:rPr>
          <w:rFonts w:asciiTheme="minorHAnsi" w:hAnsiTheme="minorHAnsi" w:cs="Lato-Light"/>
          <w:b/>
          <w:sz w:val="28"/>
          <w:szCs w:val="28"/>
        </w:rPr>
        <w:t>Partner’s</w:t>
      </w:r>
      <w:r w:rsidR="00F0069B" w:rsidRPr="00384843">
        <w:rPr>
          <w:rFonts w:asciiTheme="minorHAnsi" w:hAnsiTheme="minorHAnsi" w:cs="Lato-Light"/>
          <w:b/>
          <w:sz w:val="28"/>
          <w:szCs w:val="28"/>
        </w:rPr>
        <w:t xml:space="preserve"> </w:t>
      </w:r>
      <w:r w:rsidR="00E36D65">
        <w:rPr>
          <w:rFonts w:asciiTheme="minorHAnsi" w:hAnsiTheme="minorHAnsi" w:cs="Lato-Light"/>
          <w:b/>
          <w:sz w:val="28"/>
          <w:szCs w:val="28"/>
        </w:rPr>
        <w:t xml:space="preserve">Pivotal Phase 3 </w:t>
      </w:r>
      <w:r w:rsidR="00F0069B">
        <w:rPr>
          <w:rFonts w:asciiTheme="minorHAnsi" w:hAnsiTheme="minorHAnsi" w:cs="Lato-Light"/>
          <w:b/>
          <w:sz w:val="28"/>
          <w:szCs w:val="28"/>
        </w:rPr>
        <w:t xml:space="preserve">Clinical </w:t>
      </w:r>
      <w:r w:rsidR="00E36D65">
        <w:rPr>
          <w:rFonts w:asciiTheme="minorHAnsi" w:hAnsiTheme="minorHAnsi" w:cs="Lato-Light"/>
          <w:b/>
          <w:sz w:val="28"/>
          <w:szCs w:val="28"/>
        </w:rPr>
        <w:t>Trial Utilizing</w:t>
      </w:r>
      <w:r w:rsidR="00384843">
        <w:rPr>
          <w:rFonts w:asciiTheme="minorHAnsi" w:hAnsiTheme="minorHAnsi" w:cs="Lato-Light"/>
          <w:b/>
          <w:sz w:val="28"/>
          <w:szCs w:val="28"/>
        </w:rPr>
        <w:t xml:space="preserve"> </w:t>
      </w:r>
      <w:proofErr w:type="spellStart"/>
      <w:r w:rsidR="00384843">
        <w:rPr>
          <w:rFonts w:asciiTheme="minorHAnsi" w:hAnsiTheme="minorHAnsi" w:cs="Lato-Light"/>
          <w:b/>
          <w:sz w:val="28"/>
          <w:szCs w:val="28"/>
        </w:rPr>
        <w:t>PolyXen</w:t>
      </w:r>
      <w:proofErr w:type="spellEnd"/>
      <w:r w:rsidR="00384843">
        <w:rPr>
          <w:rFonts w:asciiTheme="minorHAnsi" w:hAnsiTheme="minorHAnsi" w:cs="Lato-Light"/>
          <w:b/>
          <w:sz w:val="28"/>
          <w:szCs w:val="28"/>
        </w:rPr>
        <w:t>®</w:t>
      </w:r>
      <w:r w:rsidR="00E46DC6">
        <w:rPr>
          <w:rFonts w:asciiTheme="minorHAnsi" w:hAnsiTheme="minorHAnsi" w:cs="Lato-Light"/>
          <w:b/>
          <w:sz w:val="28"/>
          <w:szCs w:val="28"/>
        </w:rPr>
        <w:t xml:space="preserve"> </w:t>
      </w:r>
      <w:r w:rsidR="00384843">
        <w:rPr>
          <w:rFonts w:asciiTheme="minorHAnsi" w:hAnsiTheme="minorHAnsi" w:cs="Lato-Light"/>
          <w:b/>
          <w:sz w:val="28"/>
          <w:szCs w:val="28"/>
        </w:rPr>
        <w:t xml:space="preserve">Platform Technology </w:t>
      </w:r>
    </w:p>
    <w:p w14:paraId="42DEBC50" w14:textId="75EB2752" w:rsidR="00F14393" w:rsidRPr="00D05FC7" w:rsidRDefault="00F14393" w:rsidP="0021273E">
      <w:pPr>
        <w:widowControl w:val="0"/>
        <w:autoSpaceDE w:val="0"/>
        <w:autoSpaceDN w:val="0"/>
        <w:adjustRightInd w:val="0"/>
        <w:spacing w:after="0" w:line="240" w:lineRule="auto"/>
        <w:jc w:val="center"/>
        <w:rPr>
          <w:rFonts w:asciiTheme="minorHAnsi" w:hAnsiTheme="minorHAnsi" w:cs="Lato-Light"/>
          <w:b/>
          <w:sz w:val="24"/>
          <w:szCs w:val="26"/>
        </w:rPr>
      </w:pPr>
    </w:p>
    <w:p w14:paraId="595061F5" w14:textId="216DBBE3" w:rsidR="00F14393" w:rsidRDefault="00F14393" w:rsidP="00D05FC7">
      <w:pPr>
        <w:widowControl w:val="0"/>
        <w:autoSpaceDE w:val="0"/>
        <w:autoSpaceDN w:val="0"/>
        <w:adjustRightInd w:val="0"/>
        <w:spacing w:after="0" w:line="240" w:lineRule="auto"/>
        <w:jc w:val="center"/>
        <w:rPr>
          <w:rFonts w:asciiTheme="minorHAnsi" w:hAnsiTheme="minorHAnsi" w:cs="Lato-Light"/>
          <w:bCs/>
          <w:i/>
          <w:iCs/>
          <w:sz w:val="24"/>
          <w:szCs w:val="26"/>
        </w:rPr>
      </w:pPr>
      <w:r w:rsidRPr="00D05FC7">
        <w:rPr>
          <w:rFonts w:asciiTheme="minorHAnsi" w:hAnsiTheme="minorHAnsi" w:cs="Lato-Light"/>
          <w:bCs/>
          <w:i/>
          <w:iCs/>
          <w:sz w:val="24"/>
          <w:szCs w:val="26"/>
        </w:rPr>
        <w:t xml:space="preserve">- </w:t>
      </w:r>
      <w:r>
        <w:rPr>
          <w:rFonts w:asciiTheme="minorHAnsi" w:hAnsiTheme="minorHAnsi" w:cs="Lato-Light"/>
          <w:bCs/>
          <w:i/>
          <w:iCs/>
          <w:sz w:val="24"/>
          <w:szCs w:val="26"/>
        </w:rPr>
        <w:t>Xenetic</w:t>
      </w:r>
      <w:r w:rsidRPr="00D05FC7">
        <w:rPr>
          <w:rFonts w:asciiTheme="minorHAnsi" w:hAnsiTheme="minorHAnsi" w:cs="Lato-Light"/>
          <w:bCs/>
          <w:i/>
          <w:iCs/>
          <w:sz w:val="24"/>
          <w:szCs w:val="26"/>
        </w:rPr>
        <w:t xml:space="preserve"> leverag</w:t>
      </w:r>
      <w:r w:rsidR="009F6CF4">
        <w:rPr>
          <w:rFonts w:asciiTheme="minorHAnsi" w:hAnsiTheme="minorHAnsi" w:cs="Lato-Light"/>
          <w:bCs/>
          <w:i/>
          <w:iCs/>
          <w:sz w:val="24"/>
          <w:szCs w:val="26"/>
        </w:rPr>
        <w:t>es</w:t>
      </w:r>
      <w:r w:rsidRPr="00D05FC7">
        <w:rPr>
          <w:rFonts w:asciiTheme="minorHAnsi" w:hAnsiTheme="minorHAnsi" w:cs="Lato-Light"/>
          <w:bCs/>
          <w:i/>
          <w:iCs/>
          <w:sz w:val="24"/>
          <w:szCs w:val="26"/>
        </w:rPr>
        <w:t xml:space="preserve"> its proprietary drug delivery platform, </w:t>
      </w:r>
      <w:proofErr w:type="spellStart"/>
      <w:r w:rsidRPr="00D05FC7">
        <w:rPr>
          <w:rFonts w:asciiTheme="minorHAnsi" w:hAnsiTheme="minorHAnsi" w:cs="Lato-Light"/>
          <w:bCs/>
          <w:i/>
          <w:iCs/>
          <w:sz w:val="24"/>
          <w:szCs w:val="26"/>
        </w:rPr>
        <w:t>PolyXen</w:t>
      </w:r>
      <w:proofErr w:type="spellEnd"/>
      <w:r w:rsidRPr="00D05FC7">
        <w:rPr>
          <w:rFonts w:asciiTheme="minorHAnsi" w:hAnsiTheme="minorHAnsi" w:cs="Lato-Light"/>
          <w:bCs/>
          <w:i/>
          <w:iCs/>
          <w:sz w:val="24"/>
          <w:szCs w:val="26"/>
        </w:rPr>
        <w:t>,</w:t>
      </w:r>
      <w:r w:rsidR="00D05FC7">
        <w:rPr>
          <w:rFonts w:asciiTheme="minorHAnsi" w:hAnsiTheme="minorHAnsi" w:cs="Lato-Light"/>
          <w:bCs/>
          <w:i/>
          <w:iCs/>
          <w:sz w:val="24"/>
          <w:szCs w:val="26"/>
        </w:rPr>
        <w:t xml:space="preserve"> through</w:t>
      </w:r>
      <w:r w:rsidRPr="00D05FC7">
        <w:rPr>
          <w:rFonts w:asciiTheme="minorHAnsi" w:hAnsiTheme="minorHAnsi" w:cs="Lato-Light"/>
          <w:bCs/>
          <w:i/>
          <w:iCs/>
          <w:sz w:val="24"/>
          <w:szCs w:val="26"/>
        </w:rPr>
        <w:t xml:space="preserve"> partne</w:t>
      </w:r>
      <w:r w:rsidR="00D05FC7">
        <w:rPr>
          <w:rFonts w:asciiTheme="minorHAnsi" w:hAnsiTheme="minorHAnsi" w:cs="Lato-Light"/>
          <w:bCs/>
          <w:i/>
          <w:iCs/>
          <w:sz w:val="24"/>
          <w:szCs w:val="26"/>
        </w:rPr>
        <w:t>rships</w:t>
      </w:r>
      <w:r w:rsidRPr="00D05FC7">
        <w:rPr>
          <w:rFonts w:asciiTheme="minorHAnsi" w:hAnsiTheme="minorHAnsi" w:cs="Lato-Light"/>
          <w:bCs/>
          <w:i/>
          <w:iCs/>
          <w:sz w:val="24"/>
          <w:szCs w:val="26"/>
        </w:rPr>
        <w:t xml:space="preserve"> with biotechnology and pharmaceutical companies</w:t>
      </w:r>
      <w:r>
        <w:rPr>
          <w:rFonts w:asciiTheme="minorHAnsi" w:hAnsiTheme="minorHAnsi" w:cs="Lato-Light"/>
          <w:bCs/>
          <w:i/>
          <w:iCs/>
          <w:sz w:val="24"/>
          <w:szCs w:val="26"/>
        </w:rPr>
        <w:t xml:space="preserve"> </w:t>
      </w:r>
      <w:r w:rsidRPr="00D05FC7">
        <w:rPr>
          <w:rFonts w:asciiTheme="minorHAnsi" w:hAnsiTheme="minorHAnsi" w:cs="Lato-Light"/>
          <w:bCs/>
          <w:i/>
          <w:iCs/>
          <w:sz w:val="24"/>
          <w:szCs w:val="26"/>
        </w:rPr>
        <w:t>to improve the half-life and other pharmacological properties of next-generation biologic drugs</w:t>
      </w:r>
    </w:p>
    <w:p w14:paraId="09CDC2E4" w14:textId="35BA6CFC" w:rsidR="00442F7E" w:rsidRDefault="00442F7E" w:rsidP="00D05FC7">
      <w:pPr>
        <w:widowControl w:val="0"/>
        <w:autoSpaceDE w:val="0"/>
        <w:autoSpaceDN w:val="0"/>
        <w:adjustRightInd w:val="0"/>
        <w:spacing w:after="0" w:line="240" w:lineRule="auto"/>
        <w:jc w:val="center"/>
        <w:rPr>
          <w:rFonts w:asciiTheme="minorHAnsi" w:hAnsiTheme="minorHAnsi" w:cs="Lato-Light"/>
          <w:bCs/>
          <w:i/>
          <w:iCs/>
          <w:sz w:val="24"/>
          <w:szCs w:val="26"/>
        </w:rPr>
      </w:pPr>
    </w:p>
    <w:p w14:paraId="4BF3D650" w14:textId="20166433" w:rsidR="00442F7E" w:rsidRPr="003331C9" w:rsidRDefault="002858F8" w:rsidP="002858F8">
      <w:pPr>
        <w:widowControl w:val="0"/>
        <w:autoSpaceDE w:val="0"/>
        <w:autoSpaceDN w:val="0"/>
        <w:adjustRightInd w:val="0"/>
        <w:spacing w:after="0" w:line="240" w:lineRule="auto"/>
        <w:jc w:val="center"/>
        <w:rPr>
          <w:rFonts w:asciiTheme="minorHAnsi" w:hAnsiTheme="minorHAnsi" w:cs="Lato-Light"/>
          <w:bCs/>
          <w:i/>
          <w:iCs/>
          <w:sz w:val="24"/>
          <w:szCs w:val="26"/>
        </w:rPr>
      </w:pPr>
      <w:r w:rsidRPr="002858F8">
        <w:rPr>
          <w:rFonts w:asciiTheme="minorHAnsi" w:hAnsiTheme="minorHAnsi" w:cs="Lato-Light"/>
          <w:bCs/>
          <w:i/>
          <w:iCs/>
          <w:sz w:val="24"/>
          <w:szCs w:val="26"/>
        </w:rPr>
        <w:t>-</w:t>
      </w:r>
      <w:r>
        <w:rPr>
          <w:rFonts w:asciiTheme="minorHAnsi" w:hAnsiTheme="minorHAnsi" w:cs="Lato-Light"/>
          <w:bCs/>
          <w:i/>
          <w:iCs/>
          <w:sz w:val="24"/>
          <w:szCs w:val="26"/>
        </w:rPr>
        <w:t xml:space="preserve"> </w:t>
      </w:r>
      <w:proofErr w:type="spellStart"/>
      <w:r w:rsidR="00BA0B6C" w:rsidRPr="003331C9">
        <w:rPr>
          <w:rFonts w:asciiTheme="minorHAnsi" w:hAnsiTheme="minorHAnsi" w:cs="Lato-Light"/>
          <w:bCs/>
          <w:i/>
          <w:iCs/>
          <w:sz w:val="24"/>
          <w:szCs w:val="26"/>
        </w:rPr>
        <w:t>Epolong</w:t>
      </w:r>
      <w:proofErr w:type="spellEnd"/>
      <w:r w:rsidR="00BA0B6C" w:rsidRPr="003331C9">
        <w:rPr>
          <w:rFonts w:asciiTheme="minorHAnsi" w:hAnsiTheme="minorHAnsi" w:cs="Lato-Light"/>
          <w:bCs/>
          <w:i/>
          <w:iCs/>
          <w:sz w:val="24"/>
          <w:szCs w:val="26"/>
        </w:rPr>
        <w:t xml:space="preserve">, a </w:t>
      </w:r>
      <w:proofErr w:type="spellStart"/>
      <w:r w:rsidR="00BA0B6C" w:rsidRPr="003331C9">
        <w:rPr>
          <w:rFonts w:asciiTheme="minorHAnsi" w:hAnsiTheme="minorHAnsi" w:cs="Lato-Light"/>
          <w:bCs/>
          <w:i/>
          <w:iCs/>
          <w:sz w:val="24"/>
          <w:szCs w:val="26"/>
        </w:rPr>
        <w:t>polysialylated</w:t>
      </w:r>
      <w:proofErr w:type="spellEnd"/>
      <w:r w:rsidR="00BA0B6C" w:rsidRPr="003331C9">
        <w:rPr>
          <w:rFonts w:asciiTheme="minorHAnsi" w:hAnsiTheme="minorHAnsi" w:cs="Lato-Light"/>
          <w:bCs/>
          <w:i/>
          <w:iCs/>
          <w:sz w:val="24"/>
          <w:szCs w:val="26"/>
        </w:rPr>
        <w:t xml:space="preserve"> form of recombinant human erythropoietin</w:t>
      </w:r>
      <w:r w:rsidR="00B36839">
        <w:rPr>
          <w:rFonts w:asciiTheme="minorHAnsi" w:hAnsiTheme="minorHAnsi" w:cs="Lato-Light"/>
          <w:bCs/>
          <w:i/>
          <w:iCs/>
          <w:sz w:val="24"/>
          <w:szCs w:val="26"/>
        </w:rPr>
        <w:t xml:space="preserve"> that leverages </w:t>
      </w:r>
      <w:proofErr w:type="spellStart"/>
      <w:r w:rsidR="00B36839">
        <w:rPr>
          <w:rFonts w:asciiTheme="minorHAnsi" w:hAnsiTheme="minorHAnsi" w:cs="Lato-Light"/>
          <w:bCs/>
          <w:i/>
          <w:iCs/>
          <w:sz w:val="24"/>
          <w:szCs w:val="26"/>
        </w:rPr>
        <w:t>PolyXen</w:t>
      </w:r>
      <w:proofErr w:type="spellEnd"/>
      <w:r w:rsidR="00047073" w:rsidRPr="003331C9">
        <w:rPr>
          <w:rFonts w:asciiTheme="minorHAnsi" w:hAnsiTheme="minorHAnsi" w:cs="Lato-Light"/>
          <w:bCs/>
          <w:i/>
          <w:iCs/>
          <w:sz w:val="24"/>
          <w:szCs w:val="26"/>
        </w:rPr>
        <w:t>,</w:t>
      </w:r>
      <w:r w:rsidR="00B36839">
        <w:rPr>
          <w:rFonts w:asciiTheme="minorHAnsi" w:hAnsiTheme="minorHAnsi" w:cs="Lato-Light"/>
          <w:bCs/>
          <w:i/>
          <w:iCs/>
          <w:sz w:val="24"/>
          <w:szCs w:val="26"/>
        </w:rPr>
        <w:t xml:space="preserve"> has been</w:t>
      </w:r>
      <w:r w:rsidR="00047073" w:rsidRPr="003331C9">
        <w:rPr>
          <w:rFonts w:asciiTheme="minorHAnsi" w:hAnsiTheme="minorHAnsi" w:cs="Lato-Light"/>
          <w:bCs/>
          <w:i/>
          <w:iCs/>
          <w:sz w:val="24"/>
          <w:szCs w:val="26"/>
        </w:rPr>
        <w:t xml:space="preserve"> shown to be </w:t>
      </w:r>
      <w:r w:rsidR="000F4465">
        <w:rPr>
          <w:rFonts w:asciiTheme="minorHAnsi" w:hAnsiTheme="minorHAnsi" w:cs="Lato-Light"/>
          <w:bCs/>
          <w:i/>
          <w:iCs/>
          <w:sz w:val="24"/>
          <w:szCs w:val="26"/>
        </w:rPr>
        <w:t>effective</w:t>
      </w:r>
      <w:r w:rsidR="00047073" w:rsidRPr="003331C9">
        <w:rPr>
          <w:rFonts w:asciiTheme="minorHAnsi" w:hAnsiTheme="minorHAnsi" w:cs="Lato-Light"/>
          <w:bCs/>
          <w:i/>
          <w:iCs/>
          <w:sz w:val="24"/>
          <w:szCs w:val="26"/>
        </w:rPr>
        <w:t xml:space="preserve"> and </w:t>
      </w:r>
      <w:r w:rsidR="00B96B08">
        <w:rPr>
          <w:rFonts w:asciiTheme="minorHAnsi" w:hAnsiTheme="minorHAnsi" w:cs="Lato-Light"/>
          <w:bCs/>
          <w:i/>
          <w:iCs/>
          <w:sz w:val="24"/>
          <w:szCs w:val="26"/>
        </w:rPr>
        <w:t xml:space="preserve">generally </w:t>
      </w:r>
      <w:r w:rsidR="00047073" w:rsidRPr="003331C9">
        <w:rPr>
          <w:rFonts w:asciiTheme="minorHAnsi" w:hAnsiTheme="minorHAnsi" w:cs="Lato-Light"/>
          <w:bCs/>
          <w:i/>
          <w:iCs/>
          <w:sz w:val="24"/>
          <w:szCs w:val="26"/>
        </w:rPr>
        <w:t>well tolerated</w:t>
      </w:r>
      <w:r w:rsidRPr="003331C9">
        <w:rPr>
          <w:rFonts w:asciiTheme="minorHAnsi" w:hAnsiTheme="minorHAnsi" w:cs="Lato-Light"/>
          <w:bCs/>
          <w:i/>
          <w:iCs/>
          <w:sz w:val="24"/>
          <w:szCs w:val="26"/>
        </w:rPr>
        <w:t xml:space="preserve"> </w:t>
      </w:r>
      <w:r w:rsidR="00AA0AF2">
        <w:rPr>
          <w:rFonts w:asciiTheme="minorHAnsi" w:hAnsiTheme="minorHAnsi" w:cs="Lato-Light"/>
          <w:bCs/>
          <w:i/>
          <w:iCs/>
          <w:sz w:val="24"/>
          <w:szCs w:val="26"/>
        </w:rPr>
        <w:t xml:space="preserve">in Pharmsynthez-conducted trial </w:t>
      </w:r>
      <w:r w:rsidRPr="003331C9">
        <w:rPr>
          <w:rFonts w:asciiTheme="minorHAnsi" w:hAnsiTheme="minorHAnsi" w:cs="Lato-Light"/>
          <w:bCs/>
          <w:i/>
          <w:iCs/>
          <w:sz w:val="24"/>
          <w:szCs w:val="26"/>
        </w:rPr>
        <w:t>as a treatment for anemia in patients with chronic kidney disease</w:t>
      </w:r>
    </w:p>
    <w:p w14:paraId="37D440F7" w14:textId="77777777" w:rsidR="00F34A3A" w:rsidRDefault="00F34A3A" w:rsidP="00F14393">
      <w:pPr>
        <w:widowControl w:val="0"/>
        <w:autoSpaceDE w:val="0"/>
        <w:autoSpaceDN w:val="0"/>
        <w:adjustRightInd w:val="0"/>
        <w:spacing w:after="0" w:line="240" w:lineRule="auto"/>
        <w:ind w:left="360"/>
        <w:jc w:val="center"/>
        <w:rPr>
          <w:rFonts w:asciiTheme="minorHAnsi" w:hAnsiTheme="minorHAnsi"/>
          <w:i/>
          <w:shd w:val="clear" w:color="auto" w:fill="FFFFFF"/>
        </w:rPr>
      </w:pPr>
    </w:p>
    <w:p w14:paraId="7EF8F940" w14:textId="775941C5" w:rsidR="001A3DC7" w:rsidRDefault="0021273E" w:rsidP="00A613F9">
      <w:pPr>
        <w:widowControl w:val="0"/>
        <w:autoSpaceDE w:val="0"/>
        <w:autoSpaceDN w:val="0"/>
        <w:adjustRightInd w:val="0"/>
        <w:spacing w:after="0" w:line="240" w:lineRule="auto"/>
        <w:jc w:val="both"/>
      </w:pPr>
      <w:r>
        <w:rPr>
          <w:rFonts w:asciiTheme="minorHAnsi" w:hAnsiTheme="minorHAnsi" w:cstheme="minorHAnsi"/>
          <w:b/>
          <w:shd w:val="clear" w:color="auto" w:fill="FFFFFF"/>
        </w:rPr>
        <w:t>FRAMINGHAM</w:t>
      </w:r>
      <w:r w:rsidRPr="00F65A34">
        <w:rPr>
          <w:rFonts w:asciiTheme="minorHAnsi" w:hAnsiTheme="minorHAnsi" w:cstheme="minorHAnsi"/>
          <w:b/>
          <w:shd w:val="clear" w:color="auto" w:fill="FFFFFF"/>
        </w:rPr>
        <w:t>, MA</w:t>
      </w:r>
      <w:r>
        <w:rPr>
          <w:rFonts w:asciiTheme="minorHAnsi" w:hAnsiTheme="minorHAnsi" w:cstheme="minorHAnsi"/>
          <w:b/>
          <w:shd w:val="clear" w:color="auto" w:fill="FFFFFF"/>
        </w:rPr>
        <w:t xml:space="preserve"> –</w:t>
      </w:r>
      <w:r w:rsidRPr="00311717">
        <w:rPr>
          <w:rFonts w:asciiTheme="minorHAnsi" w:hAnsiTheme="minorHAnsi" w:cstheme="minorHAnsi"/>
          <w:shd w:val="clear" w:color="auto" w:fill="FFFFFF"/>
        </w:rPr>
        <w:t xml:space="preserve"> </w:t>
      </w:r>
      <w:r>
        <w:rPr>
          <w:rFonts w:asciiTheme="minorHAnsi" w:hAnsiTheme="minorHAnsi" w:cstheme="minorHAnsi"/>
          <w:b/>
          <w:shd w:val="clear" w:color="auto" w:fill="FFFFFF"/>
        </w:rPr>
        <w:t>(</w:t>
      </w:r>
      <w:r w:rsidR="00384843">
        <w:rPr>
          <w:rFonts w:asciiTheme="minorHAnsi" w:hAnsiTheme="minorHAnsi" w:cstheme="minorHAnsi"/>
          <w:b/>
          <w:shd w:val="clear" w:color="auto" w:fill="FFFFFF"/>
        </w:rPr>
        <w:t>December</w:t>
      </w:r>
      <w:r w:rsidR="004D5E6A">
        <w:rPr>
          <w:rFonts w:asciiTheme="minorHAnsi" w:hAnsiTheme="minorHAnsi" w:cstheme="minorHAnsi"/>
          <w:b/>
          <w:shd w:val="clear" w:color="auto" w:fill="FFFFFF"/>
        </w:rPr>
        <w:t xml:space="preserve"> </w:t>
      </w:r>
      <w:r w:rsidR="00442F7E" w:rsidRPr="001701B6">
        <w:rPr>
          <w:rFonts w:asciiTheme="minorHAnsi" w:hAnsiTheme="minorHAnsi" w:cstheme="minorHAnsi"/>
          <w:b/>
          <w:shd w:val="clear" w:color="auto" w:fill="FFFFFF"/>
        </w:rPr>
        <w:t>9</w:t>
      </w:r>
      <w:r w:rsidRPr="00F65A34">
        <w:rPr>
          <w:rFonts w:asciiTheme="minorHAnsi" w:hAnsiTheme="minorHAnsi" w:cstheme="minorHAnsi"/>
          <w:b/>
          <w:shd w:val="clear" w:color="auto" w:fill="FFFFFF"/>
        </w:rPr>
        <w:t>, 20</w:t>
      </w:r>
      <w:r w:rsidR="004C4C33">
        <w:rPr>
          <w:rFonts w:asciiTheme="minorHAnsi" w:hAnsiTheme="minorHAnsi" w:cstheme="minorHAnsi"/>
          <w:b/>
          <w:shd w:val="clear" w:color="auto" w:fill="FFFFFF"/>
        </w:rPr>
        <w:t>20</w:t>
      </w:r>
      <w:r w:rsidRPr="00F65A34">
        <w:rPr>
          <w:rFonts w:asciiTheme="minorHAnsi" w:hAnsiTheme="minorHAnsi" w:cstheme="minorHAnsi"/>
          <w:b/>
          <w:shd w:val="clear" w:color="auto" w:fill="FFFFFF"/>
        </w:rPr>
        <w:t>)</w:t>
      </w:r>
      <w:r w:rsidRPr="00311717">
        <w:rPr>
          <w:rFonts w:asciiTheme="minorHAnsi" w:hAnsiTheme="minorHAnsi" w:cstheme="minorHAnsi"/>
          <w:shd w:val="clear" w:color="auto" w:fill="FFFFFF"/>
        </w:rPr>
        <w:t xml:space="preserve"> </w:t>
      </w:r>
      <w:r w:rsidRPr="00311717">
        <w:rPr>
          <w:rFonts w:asciiTheme="minorHAnsi" w:hAnsiTheme="minorHAnsi" w:cstheme="minorHAnsi"/>
          <w:lang w:val="en-CA"/>
        </w:rPr>
        <w:t>–</w:t>
      </w:r>
      <w:r w:rsidRPr="00311717">
        <w:rPr>
          <w:rFonts w:asciiTheme="minorHAnsi" w:hAnsiTheme="minorHAnsi" w:cstheme="minorHAnsi"/>
          <w:shd w:val="clear" w:color="auto" w:fill="FFFFFF"/>
        </w:rPr>
        <w:t xml:space="preserve"> </w:t>
      </w:r>
      <w:hyperlink r:id="rId9" w:history="1">
        <w:r w:rsidRPr="00311717">
          <w:rPr>
            <w:rStyle w:val="Hyperlink"/>
            <w:rFonts w:asciiTheme="minorHAnsi" w:hAnsiTheme="minorHAnsi" w:cstheme="minorHAnsi"/>
            <w:shd w:val="clear" w:color="auto" w:fill="FFFFFF"/>
          </w:rPr>
          <w:t>Xenetic Biosciences, Inc.</w:t>
        </w:r>
      </w:hyperlink>
      <w:r w:rsidRPr="00311717">
        <w:rPr>
          <w:rFonts w:asciiTheme="minorHAnsi" w:hAnsiTheme="minorHAnsi" w:cstheme="minorHAnsi"/>
          <w:shd w:val="clear" w:color="auto" w:fill="FFFFFF"/>
        </w:rPr>
        <w:t xml:space="preserve"> (</w:t>
      </w:r>
      <w:r w:rsidRPr="00311717">
        <w:t>NASDAQ: XBIO) (“Xenetic” or the “Company”),</w:t>
      </w:r>
      <w:r w:rsidR="002610D3">
        <w:t xml:space="preserve"> </w:t>
      </w:r>
      <w:r w:rsidR="00C277DC" w:rsidRPr="00547DAB">
        <w:t>a biopharmaceutical company focused on advancing XCART</w:t>
      </w:r>
      <w:r w:rsidR="00A40A0D">
        <w:t>™</w:t>
      </w:r>
      <w:r w:rsidR="00C277DC" w:rsidRPr="00547DAB">
        <w:t>, a personalized</w:t>
      </w:r>
      <w:r w:rsidR="00C277DC">
        <w:t xml:space="preserve"> </w:t>
      </w:r>
      <w:r w:rsidR="00C277DC" w:rsidRPr="00547DAB">
        <w:t>CAR T platform technology engineered to target patient-</w:t>
      </w:r>
      <w:r w:rsidR="002E0BC8">
        <w:t xml:space="preserve"> </w:t>
      </w:r>
      <w:r w:rsidR="002E196A">
        <w:t>and</w:t>
      </w:r>
      <w:r w:rsidR="00C277DC" w:rsidRPr="00547DAB">
        <w:t xml:space="preserve"> tumor</w:t>
      </w:r>
      <w:r w:rsidR="002E196A">
        <w:t>-specific</w:t>
      </w:r>
      <w:r w:rsidR="00C277DC" w:rsidRPr="00547DAB">
        <w:t xml:space="preserve"> neoantigens,</w:t>
      </w:r>
      <w:r w:rsidR="00C277DC" w:rsidRPr="00547DAB" w:rsidDel="00547DAB">
        <w:t xml:space="preserve"> </w:t>
      </w:r>
      <w:r w:rsidR="001A3DC7">
        <w:t xml:space="preserve">today </w:t>
      </w:r>
      <w:r w:rsidR="00E36D65">
        <w:t xml:space="preserve">announced its partner, </w:t>
      </w:r>
      <w:r w:rsidR="005C6E25" w:rsidRPr="005C6E25">
        <w:t xml:space="preserve">PJSC </w:t>
      </w:r>
      <w:r w:rsidR="00E36D65">
        <w:t xml:space="preserve">Pharmsynthez, has reported </w:t>
      </w:r>
      <w:r w:rsidR="00B36839">
        <w:t xml:space="preserve">in a press release </w:t>
      </w:r>
      <w:r w:rsidR="00E36D65">
        <w:t xml:space="preserve">positive data from its pivotal Phase 3 clinical study leveraging </w:t>
      </w:r>
      <w:proofErr w:type="spellStart"/>
      <w:r w:rsidR="00E36D65">
        <w:t>PolyXen</w:t>
      </w:r>
      <w:proofErr w:type="spellEnd"/>
      <w:r w:rsidR="00416D36">
        <w:t>®</w:t>
      </w:r>
      <w:r w:rsidR="00E36D65">
        <w:t xml:space="preserve"> </w:t>
      </w:r>
      <w:r w:rsidR="00416D36">
        <w:t>to</w:t>
      </w:r>
      <w:r w:rsidR="00E36D65" w:rsidRPr="00E36D65">
        <w:t xml:space="preserve"> </w:t>
      </w:r>
      <w:r w:rsidR="00416D36">
        <w:t>develop</w:t>
      </w:r>
      <w:r w:rsidR="00A52146">
        <w:t xml:space="preserve"> a</w:t>
      </w:r>
      <w:r w:rsidR="00416D36">
        <w:t xml:space="preserve"> treatment </w:t>
      </w:r>
      <w:r w:rsidR="00A52146">
        <w:t>for</w:t>
      </w:r>
      <w:r w:rsidR="00416D36">
        <w:t xml:space="preserve"> </w:t>
      </w:r>
      <w:r w:rsidR="00E36D65" w:rsidRPr="00E36D65">
        <w:t>anemia in patients with chronic kidney disease (CKD).</w:t>
      </w:r>
    </w:p>
    <w:p w14:paraId="4C0A6EEB" w14:textId="474E03FD" w:rsidR="00D412B4" w:rsidRDefault="00D412B4" w:rsidP="00A613F9">
      <w:pPr>
        <w:widowControl w:val="0"/>
        <w:autoSpaceDE w:val="0"/>
        <w:autoSpaceDN w:val="0"/>
        <w:adjustRightInd w:val="0"/>
        <w:spacing w:after="0" w:line="240" w:lineRule="auto"/>
        <w:jc w:val="both"/>
      </w:pPr>
    </w:p>
    <w:p w14:paraId="3DD5EE84" w14:textId="2725CCD9" w:rsidR="00416D36" w:rsidRDefault="00E36D65" w:rsidP="00416D36">
      <w:pPr>
        <w:widowControl w:val="0"/>
        <w:autoSpaceDE w:val="0"/>
        <w:autoSpaceDN w:val="0"/>
        <w:adjustRightInd w:val="0"/>
        <w:spacing w:after="0" w:line="240" w:lineRule="auto"/>
        <w:jc w:val="both"/>
      </w:pPr>
      <w:proofErr w:type="spellStart"/>
      <w:r w:rsidRPr="00F14393">
        <w:rPr>
          <w:rFonts w:asciiTheme="minorHAnsi" w:hAnsiTheme="minorHAnsi" w:cstheme="minorHAnsi"/>
          <w:bCs/>
        </w:rPr>
        <w:t>PolyXen</w:t>
      </w:r>
      <w:proofErr w:type="spellEnd"/>
      <w:r w:rsidRPr="00F14393">
        <w:rPr>
          <w:rFonts w:asciiTheme="minorHAnsi" w:hAnsiTheme="minorHAnsi" w:cstheme="minorHAnsi"/>
          <w:bCs/>
        </w:rPr>
        <w:t xml:space="preserve"> is </w:t>
      </w:r>
      <w:proofErr w:type="spellStart"/>
      <w:r w:rsidRPr="00F14393">
        <w:rPr>
          <w:rFonts w:asciiTheme="minorHAnsi" w:hAnsiTheme="minorHAnsi" w:cstheme="minorHAnsi"/>
          <w:bCs/>
        </w:rPr>
        <w:t>Xenetic’s</w:t>
      </w:r>
      <w:proofErr w:type="spellEnd"/>
      <w:r w:rsidRPr="00F14393">
        <w:rPr>
          <w:rFonts w:asciiTheme="minorHAnsi" w:hAnsiTheme="minorHAnsi" w:cstheme="minorHAnsi"/>
          <w:bCs/>
        </w:rPr>
        <w:t xml:space="preserve"> patent-protected platform technology designed for protein or peptide therapeutics, enabling next-generation biological drugs by prolonging a drug's circulating half-life and potentially improving other pharmacological properties</w:t>
      </w:r>
      <w:r>
        <w:rPr>
          <w:rFonts w:asciiTheme="minorHAnsi" w:hAnsiTheme="minorHAnsi" w:cstheme="minorHAnsi"/>
          <w:bCs/>
        </w:rPr>
        <w:t>.</w:t>
      </w:r>
      <w:r>
        <w:t xml:space="preserve"> </w:t>
      </w:r>
      <w:r w:rsidR="00416D36">
        <w:t xml:space="preserve">The </w:t>
      </w:r>
      <w:proofErr w:type="spellStart"/>
      <w:r>
        <w:t>PolyXen</w:t>
      </w:r>
      <w:proofErr w:type="spellEnd"/>
      <w:r w:rsidR="00416D36">
        <w:t xml:space="preserve"> technology platform</w:t>
      </w:r>
      <w:r>
        <w:t xml:space="preserve"> was </w:t>
      </w:r>
      <w:r w:rsidR="00416D36">
        <w:t xml:space="preserve">used by </w:t>
      </w:r>
      <w:proofErr w:type="spellStart"/>
      <w:r>
        <w:t>Pharmsy</w:t>
      </w:r>
      <w:r w:rsidR="00736D3A">
        <w:t>n</w:t>
      </w:r>
      <w:r>
        <w:t>thez</w:t>
      </w:r>
      <w:proofErr w:type="spellEnd"/>
      <w:r>
        <w:t xml:space="preserve"> to develop </w:t>
      </w:r>
      <w:proofErr w:type="spellStart"/>
      <w:r>
        <w:t>Epolong</w:t>
      </w:r>
      <w:proofErr w:type="spellEnd"/>
      <w:r w:rsidR="00442F7E">
        <w:t xml:space="preserve"> </w:t>
      </w:r>
      <w:r w:rsidR="00416D36">
        <w:t>(</w:t>
      </w:r>
      <w:r w:rsidR="00416D36" w:rsidRPr="003331C9">
        <w:t xml:space="preserve">also known as </w:t>
      </w:r>
      <w:proofErr w:type="spellStart"/>
      <w:r w:rsidR="00416D36" w:rsidRPr="003331C9">
        <w:t>ErepoXen</w:t>
      </w:r>
      <w:proofErr w:type="spellEnd"/>
      <w:r w:rsidR="00736D3A">
        <w:t>™ or PSA-EPO</w:t>
      </w:r>
      <w:r w:rsidR="00416D36">
        <w:t>)</w:t>
      </w:r>
      <w:r>
        <w:t>,</w:t>
      </w:r>
      <w:r w:rsidR="00416D36">
        <w:t xml:space="preserve"> a</w:t>
      </w:r>
      <w:r>
        <w:t xml:space="preserve"> </w:t>
      </w:r>
      <w:proofErr w:type="spellStart"/>
      <w:r w:rsidR="00416D36">
        <w:t>p</w:t>
      </w:r>
      <w:r w:rsidR="00416D36" w:rsidRPr="00416D36">
        <w:t>olysialylated</w:t>
      </w:r>
      <w:proofErr w:type="spellEnd"/>
      <w:r w:rsidR="00416D36" w:rsidRPr="00416D36">
        <w:t xml:space="preserve"> form of recombinant human erythropoietin</w:t>
      </w:r>
      <w:r w:rsidR="00B96B08">
        <w:t>,</w:t>
      </w:r>
      <w:r w:rsidR="00E72264">
        <w:t xml:space="preserve"> </w:t>
      </w:r>
      <w:r w:rsidR="00D412B4">
        <w:t xml:space="preserve">a hormone produced by the kidneys to </w:t>
      </w:r>
      <w:r w:rsidR="00190E04">
        <w:t>promote</w:t>
      </w:r>
      <w:r w:rsidR="00D412B4">
        <w:t xml:space="preserve"> blood cell production</w:t>
      </w:r>
      <w:r w:rsidR="00416D36">
        <w:t>.</w:t>
      </w:r>
      <w:r w:rsidR="00416D36" w:rsidRPr="00416D36">
        <w:t xml:space="preserve"> </w:t>
      </w:r>
      <w:r w:rsidR="00B36839">
        <w:t xml:space="preserve">Pharmsynthez reported in its press release that </w:t>
      </w:r>
      <w:proofErr w:type="spellStart"/>
      <w:r w:rsidR="00416D36">
        <w:t>Epolong</w:t>
      </w:r>
      <w:proofErr w:type="spellEnd"/>
      <w:r w:rsidR="00416D36">
        <w:t xml:space="preserve"> is under investigation </w:t>
      </w:r>
      <w:r w:rsidR="00190E04">
        <w:t>with the goal of</w:t>
      </w:r>
      <w:r w:rsidR="00416D36">
        <w:t xml:space="preserve"> reduc</w:t>
      </w:r>
      <w:r w:rsidR="00190E04">
        <w:t>ing</w:t>
      </w:r>
      <w:r w:rsidR="00416D36">
        <w:t xml:space="preserve"> the required </w:t>
      </w:r>
      <w:r w:rsidR="00190E04">
        <w:t>dosing frequency</w:t>
      </w:r>
      <w:r w:rsidR="007E4BD2">
        <w:t xml:space="preserve"> </w:t>
      </w:r>
      <w:r w:rsidR="00B7372C">
        <w:t>and reducing</w:t>
      </w:r>
      <w:r w:rsidR="00B72A47">
        <w:t xml:space="preserve"> potential</w:t>
      </w:r>
      <w:r w:rsidR="00190E04">
        <w:t xml:space="preserve"> </w:t>
      </w:r>
      <w:r w:rsidR="00416D36">
        <w:t>side effects</w:t>
      </w:r>
      <w:r w:rsidR="00190E04">
        <w:t>,</w:t>
      </w:r>
      <w:r w:rsidR="00442F7E">
        <w:t xml:space="preserve"> </w:t>
      </w:r>
      <w:r w:rsidR="008D773D">
        <w:t xml:space="preserve">as </w:t>
      </w:r>
      <w:r w:rsidR="00190E04">
        <w:t xml:space="preserve">compared to </w:t>
      </w:r>
      <w:r w:rsidR="00416D36">
        <w:t xml:space="preserve">existing </w:t>
      </w:r>
      <w:r w:rsidR="00190E04">
        <w:t>EPO products</w:t>
      </w:r>
      <w:r w:rsidR="00416D36">
        <w:t>.</w:t>
      </w:r>
    </w:p>
    <w:p w14:paraId="74DD7102" w14:textId="6E454CAA" w:rsidR="005C6E25" w:rsidRDefault="005C6E25" w:rsidP="00A613F9">
      <w:pPr>
        <w:widowControl w:val="0"/>
        <w:autoSpaceDE w:val="0"/>
        <w:autoSpaceDN w:val="0"/>
        <w:adjustRightInd w:val="0"/>
        <w:spacing w:after="0" w:line="240" w:lineRule="auto"/>
        <w:jc w:val="both"/>
      </w:pPr>
    </w:p>
    <w:p w14:paraId="739B082C" w14:textId="4AEFE1F3" w:rsidR="005C6E25" w:rsidRDefault="00B36839" w:rsidP="005C6E25">
      <w:pPr>
        <w:widowControl w:val="0"/>
        <w:autoSpaceDE w:val="0"/>
        <w:autoSpaceDN w:val="0"/>
        <w:adjustRightInd w:val="0"/>
        <w:spacing w:after="0" w:line="240" w:lineRule="auto"/>
        <w:jc w:val="both"/>
      </w:pPr>
      <w:r>
        <w:t>As reported in the press release issued by Pharmsynthez, t</w:t>
      </w:r>
      <w:r w:rsidR="00416D36">
        <w:t>he pivotal Phase 3 multi-center randomized study was conducted in Russia by Pharm</w:t>
      </w:r>
      <w:r w:rsidR="00736D3A">
        <w:t>s</w:t>
      </w:r>
      <w:r w:rsidR="00416D36">
        <w:t xml:space="preserve">ynthez and was designed </w:t>
      </w:r>
      <w:r w:rsidR="005C6E25">
        <w:t xml:space="preserve">to study the efficacy, safety and tolerability of </w:t>
      </w:r>
      <w:proofErr w:type="spellStart"/>
      <w:r w:rsidR="005C6E25">
        <w:t>Epolong</w:t>
      </w:r>
      <w:proofErr w:type="spellEnd"/>
      <w:r w:rsidR="005C6E25">
        <w:t xml:space="preserve"> in comparison with Aranesp</w:t>
      </w:r>
      <w:r w:rsidR="00E15BA2">
        <w:t>®</w:t>
      </w:r>
      <w:r w:rsidR="005C6E25">
        <w:t xml:space="preserve"> (darbepoetin alfa), the</w:t>
      </w:r>
      <w:r w:rsidR="00416D36">
        <w:t xml:space="preserve"> current</w:t>
      </w:r>
      <w:r w:rsidR="005C6E25">
        <w:t xml:space="preserve"> leader in the long-acting erythropoietin segment. The study </w:t>
      </w:r>
      <w:r w:rsidR="00416D36">
        <w:t xml:space="preserve">enrolled approximately </w:t>
      </w:r>
      <w:r w:rsidR="005C6E25">
        <w:t xml:space="preserve">150 patients with CKD </w:t>
      </w:r>
      <w:r w:rsidR="00416D36">
        <w:t>across</w:t>
      </w:r>
      <w:r w:rsidR="005C6E25">
        <w:t xml:space="preserve"> 36 medical institutions. The results of the study </w:t>
      </w:r>
      <w:r w:rsidR="007E4BD2">
        <w:t xml:space="preserve">indicated </w:t>
      </w:r>
      <w:r w:rsidR="005C6E25">
        <w:t xml:space="preserve">that </w:t>
      </w:r>
      <w:proofErr w:type="spellStart"/>
      <w:r w:rsidR="005C6E25">
        <w:t>Epolong</w:t>
      </w:r>
      <w:proofErr w:type="spellEnd"/>
      <w:r w:rsidR="005C6E25">
        <w:t xml:space="preserve"> </w:t>
      </w:r>
      <w:r w:rsidR="007E4BD2">
        <w:t>was non-inferior</w:t>
      </w:r>
      <w:r w:rsidR="005C6E25">
        <w:t xml:space="preserve"> </w:t>
      </w:r>
      <w:r w:rsidR="007E4BD2">
        <w:t xml:space="preserve">to </w:t>
      </w:r>
      <w:r w:rsidR="005C6E25">
        <w:t>Aranesp</w:t>
      </w:r>
      <w:r w:rsidR="007E4BD2">
        <w:t xml:space="preserve"> with respect to primary and secondary endpoints</w:t>
      </w:r>
      <w:r w:rsidR="005C6E25">
        <w:t xml:space="preserve">. </w:t>
      </w:r>
      <w:r w:rsidR="00305BC6">
        <w:t>Furthermore</w:t>
      </w:r>
      <w:r w:rsidR="005C6E25">
        <w:t xml:space="preserve">, the proportion of patients who </w:t>
      </w:r>
      <w:r w:rsidR="00807706">
        <w:t xml:space="preserve">achieved </w:t>
      </w:r>
      <w:r w:rsidR="005C6E25">
        <w:t xml:space="preserve">the target hemoglobin </w:t>
      </w:r>
      <w:r w:rsidR="00807706">
        <w:t xml:space="preserve">range </w:t>
      </w:r>
      <w:r w:rsidR="005C6E25">
        <w:t>(10</w:t>
      </w:r>
      <w:r w:rsidR="00807706">
        <w:t>.</w:t>
      </w:r>
      <w:r w:rsidR="005C6E25">
        <w:t>0-12</w:t>
      </w:r>
      <w:r w:rsidR="00807706">
        <w:t>.</w:t>
      </w:r>
      <w:r w:rsidR="005C6E25">
        <w:t>0 g</w:t>
      </w:r>
      <w:r w:rsidR="00807706">
        <w:t>/dL</w:t>
      </w:r>
      <w:r w:rsidR="005C6E25">
        <w:t xml:space="preserve"> inclusive) during the evaluation period was </w:t>
      </w:r>
      <w:r w:rsidR="00807706">
        <w:t xml:space="preserve">74% in the </w:t>
      </w:r>
      <w:proofErr w:type="spellStart"/>
      <w:r w:rsidR="00807706">
        <w:t>Epolong</w:t>
      </w:r>
      <w:proofErr w:type="spellEnd"/>
      <w:r w:rsidR="00442F7E">
        <w:t xml:space="preserve"> group</w:t>
      </w:r>
      <w:r w:rsidR="00807706">
        <w:t xml:space="preserve"> versus </w:t>
      </w:r>
      <w:r w:rsidR="005C6E25">
        <w:t>52% in the Aranesp group</w:t>
      </w:r>
      <w:r w:rsidR="00442F7E">
        <w:t>.</w:t>
      </w:r>
      <w:r w:rsidR="005C6E25">
        <w:t xml:space="preserve"> </w:t>
      </w:r>
      <w:r w:rsidR="00452FB5">
        <w:t>Pharmsynthez also reported that t</w:t>
      </w:r>
      <w:r w:rsidR="005C6E25">
        <w:t xml:space="preserve">he study revealed that the proportion of patients who exceeded the </w:t>
      </w:r>
      <w:r w:rsidR="000163A7">
        <w:t xml:space="preserve">target </w:t>
      </w:r>
      <w:r w:rsidR="005C6E25">
        <w:t>threshold level of hemoglobin (12</w:t>
      </w:r>
      <w:r w:rsidR="00807706">
        <w:t>.</w:t>
      </w:r>
      <w:r w:rsidR="005C6E25">
        <w:t>0 g/</w:t>
      </w:r>
      <w:r w:rsidR="00807706">
        <w:t>dL</w:t>
      </w:r>
      <w:r w:rsidR="005C6E25">
        <w:t xml:space="preserve">) was </w:t>
      </w:r>
      <w:r w:rsidR="005C6E25" w:rsidRPr="00D727DA">
        <w:t xml:space="preserve">3.5 times </w:t>
      </w:r>
      <w:r w:rsidR="00D727DA" w:rsidRPr="003331C9">
        <w:t>greater</w:t>
      </w:r>
      <w:r w:rsidR="005C6E25" w:rsidRPr="00D727DA">
        <w:t xml:space="preserve"> </w:t>
      </w:r>
      <w:r w:rsidR="00385984">
        <w:t xml:space="preserve">in the Aranesp group </w:t>
      </w:r>
      <w:r w:rsidR="005C6E25" w:rsidRPr="00D727DA">
        <w:t xml:space="preserve">than in the </w:t>
      </w:r>
      <w:proofErr w:type="spellStart"/>
      <w:r w:rsidR="00D727DA" w:rsidRPr="003331C9">
        <w:t>Epolong</w:t>
      </w:r>
      <w:proofErr w:type="spellEnd"/>
      <w:r w:rsidR="00D727DA" w:rsidRPr="00D727DA">
        <w:t xml:space="preserve"> </w:t>
      </w:r>
      <w:r w:rsidR="005C6E25" w:rsidRPr="00D727DA">
        <w:t>group (34.7%</w:t>
      </w:r>
      <w:r w:rsidR="00D727DA" w:rsidRPr="003331C9">
        <w:t xml:space="preserve"> versus 10.0%</w:t>
      </w:r>
      <w:r w:rsidR="007E4BD2">
        <w:t>, respectively</w:t>
      </w:r>
      <w:r w:rsidR="005C6E25" w:rsidRPr="00D727DA">
        <w:t>).</w:t>
      </w:r>
      <w:r w:rsidR="005C6E25">
        <w:t xml:space="preserve"> </w:t>
      </w:r>
    </w:p>
    <w:p w14:paraId="41C4A6C3" w14:textId="303E4CF9" w:rsidR="00F12867" w:rsidRDefault="00F12867" w:rsidP="00A613F9">
      <w:pPr>
        <w:widowControl w:val="0"/>
        <w:autoSpaceDE w:val="0"/>
        <w:autoSpaceDN w:val="0"/>
        <w:adjustRightInd w:val="0"/>
        <w:spacing w:after="0" w:line="240" w:lineRule="auto"/>
        <w:jc w:val="both"/>
      </w:pPr>
    </w:p>
    <w:p w14:paraId="0F9B6386" w14:textId="6BBE181F" w:rsidR="00805247" w:rsidRDefault="001E54C8" w:rsidP="00502D17">
      <w:pPr>
        <w:widowControl w:val="0"/>
        <w:autoSpaceDE w:val="0"/>
        <w:autoSpaceDN w:val="0"/>
        <w:adjustRightInd w:val="0"/>
        <w:spacing w:after="0" w:line="240" w:lineRule="auto"/>
        <w:jc w:val="both"/>
      </w:pPr>
      <w:r>
        <w:t>“</w:t>
      </w:r>
      <w:r w:rsidR="00D05FC7">
        <w:t xml:space="preserve">The </w:t>
      </w:r>
      <w:proofErr w:type="spellStart"/>
      <w:r w:rsidR="00E66F86">
        <w:t>PolyXen</w:t>
      </w:r>
      <w:proofErr w:type="spellEnd"/>
      <w:r w:rsidR="00E66F86">
        <w:t xml:space="preserve"> </w:t>
      </w:r>
      <w:r w:rsidR="00D05FC7">
        <w:t xml:space="preserve">platform </w:t>
      </w:r>
      <w:r w:rsidR="00E66F86">
        <w:t>continues to demonstrate broad utility and ability</w:t>
      </w:r>
      <w:r w:rsidR="00E66F86" w:rsidRPr="00E66F86">
        <w:t xml:space="preserve"> to modulate the pharmacokinetic and pharmacodynamic profiles of protein drugs</w:t>
      </w:r>
      <w:r w:rsidR="009F6CF4">
        <w:t xml:space="preserve">. </w:t>
      </w:r>
      <w:r w:rsidR="00E66F86">
        <w:t>We are pleased with the positive results Pharmsynthez has</w:t>
      </w:r>
      <w:r w:rsidR="003E0437">
        <w:t xml:space="preserve"> reported and</w:t>
      </w:r>
      <w:r w:rsidR="00D05FC7">
        <w:t xml:space="preserve"> we look forward to the outcome of their registration filing</w:t>
      </w:r>
      <w:r w:rsidR="00D727DA">
        <w:t xml:space="preserve"> in Russia</w:t>
      </w:r>
      <w:r w:rsidR="00436079">
        <w:t xml:space="preserve"> for </w:t>
      </w:r>
      <w:proofErr w:type="spellStart"/>
      <w:r w:rsidR="00436079">
        <w:t>Epolong</w:t>
      </w:r>
      <w:proofErr w:type="spellEnd"/>
      <w:r w:rsidR="00201E24">
        <w:t>, which they</w:t>
      </w:r>
      <w:r w:rsidR="001E5E22">
        <w:t xml:space="preserve"> expect</w:t>
      </w:r>
      <w:r w:rsidR="00201E24">
        <w:t xml:space="preserve"> to submit</w:t>
      </w:r>
      <w:r w:rsidR="001E5E22">
        <w:t xml:space="preserve"> </w:t>
      </w:r>
      <w:r w:rsidR="00415A27">
        <w:t>in 2021</w:t>
      </w:r>
      <w:r w:rsidR="002A4A16">
        <w:t xml:space="preserve">,” commented </w:t>
      </w:r>
      <w:hyperlink r:id="rId10" w:history="1">
        <w:r w:rsidR="002A4A16" w:rsidRPr="00A613F9">
          <w:rPr>
            <w:rStyle w:val="Hyperlink"/>
            <w:rFonts w:asciiTheme="minorHAnsi" w:hAnsiTheme="minorHAnsi" w:cstheme="minorHAnsi"/>
          </w:rPr>
          <w:t>Jeffrey Eisenberg, Chief Executive Officer</w:t>
        </w:r>
      </w:hyperlink>
      <w:r w:rsidR="002A4A16" w:rsidRPr="00A613F9">
        <w:rPr>
          <w:rFonts w:asciiTheme="minorHAnsi" w:hAnsiTheme="minorHAnsi" w:cstheme="minorHAnsi"/>
        </w:rPr>
        <w:t xml:space="preserve"> of Xenetic</w:t>
      </w:r>
      <w:r w:rsidR="002A4A16">
        <w:rPr>
          <w:rFonts w:asciiTheme="minorHAnsi" w:hAnsiTheme="minorHAnsi" w:cstheme="minorHAnsi"/>
        </w:rPr>
        <w:t>.</w:t>
      </w:r>
    </w:p>
    <w:p w14:paraId="789EFC5D" w14:textId="06448069" w:rsidR="00416D36" w:rsidRDefault="00416D36" w:rsidP="00502D17">
      <w:pPr>
        <w:widowControl w:val="0"/>
        <w:autoSpaceDE w:val="0"/>
        <w:autoSpaceDN w:val="0"/>
        <w:adjustRightInd w:val="0"/>
        <w:spacing w:after="0" w:line="240" w:lineRule="auto"/>
        <w:jc w:val="both"/>
      </w:pPr>
    </w:p>
    <w:p w14:paraId="0CFF031B" w14:textId="0D80B0F7" w:rsidR="00416D36" w:rsidRDefault="000B62AA" w:rsidP="00502D17">
      <w:pPr>
        <w:widowControl w:val="0"/>
        <w:autoSpaceDE w:val="0"/>
        <w:autoSpaceDN w:val="0"/>
        <w:adjustRightInd w:val="0"/>
        <w:spacing w:after="0" w:line="240" w:lineRule="auto"/>
        <w:jc w:val="both"/>
        <w:rPr>
          <w:rFonts w:asciiTheme="minorHAnsi" w:hAnsiTheme="minorHAnsi" w:cstheme="minorHAnsi"/>
        </w:rPr>
      </w:pPr>
      <w:r w:rsidRPr="000B62AA">
        <w:rPr>
          <w:rFonts w:asciiTheme="minorHAnsi" w:hAnsiTheme="minorHAnsi" w:cstheme="minorHAnsi"/>
        </w:rPr>
        <w:t xml:space="preserve">In clinical and preclinical settings, therapeutic proteins </w:t>
      </w:r>
      <w:proofErr w:type="spellStart"/>
      <w:r w:rsidRPr="000B62AA">
        <w:rPr>
          <w:rFonts w:asciiTheme="minorHAnsi" w:hAnsiTheme="minorHAnsi" w:cstheme="minorHAnsi"/>
        </w:rPr>
        <w:t>polysialylated</w:t>
      </w:r>
      <w:proofErr w:type="spellEnd"/>
      <w:r w:rsidRPr="000B62AA">
        <w:rPr>
          <w:rFonts w:asciiTheme="minorHAnsi" w:hAnsiTheme="minorHAnsi" w:cstheme="minorHAnsi"/>
        </w:rPr>
        <w:t xml:space="preserve"> with the </w:t>
      </w:r>
      <w:proofErr w:type="spellStart"/>
      <w:r w:rsidRPr="000B62AA">
        <w:rPr>
          <w:rFonts w:asciiTheme="minorHAnsi" w:hAnsiTheme="minorHAnsi" w:cstheme="minorHAnsi"/>
        </w:rPr>
        <w:t>PolyXen</w:t>
      </w:r>
      <w:proofErr w:type="spellEnd"/>
      <w:r w:rsidRPr="000B62AA">
        <w:rPr>
          <w:rFonts w:asciiTheme="minorHAnsi" w:hAnsiTheme="minorHAnsi" w:cstheme="minorHAnsi"/>
        </w:rPr>
        <w:t xml:space="preserve"> platform have been shown to have extended circulating half-life, improved thermodynamic stability and resistance to proteases, while retaining pharmacological activity. </w:t>
      </w:r>
      <w:proofErr w:type="spellStart"/>
      <w:r w:rsidR="00BA0B6C" w:rsidRPr="00BA0B6C">
        <w:rPr>
          <w:rFonts w:asciiTheme="minorHAnsi" w:hAnsiTheme="minorHAnsi" w:cstheme="minorHAnsi"/>
        </w:rPr>
        <w:t>PolyXen</w:t>
      </w:r>
      <w:proofErr w:type="spellEnd"/>
      <w:r w:rsidR="00BA0B6C" w:rsidRPr="00BA0B6C">
        <w:rPr>
          <w:rFonts w:asciiTheme="minorHAnsi" w:hAnsiTheme="minorHAnsi" w:cstheme="minorHAnsi"/>
        </w:rPr>
        <w:t xml:space="preserve"> has been demonstrated in human clinical </w:t>
      </w:r>
      <w:r w:rsidR="00BA0B6C" w:rsidRPr="00BA0B6C">
        <w:rPr>
          <w:rFonts w:asciiTheme="minorHAnsi" w:hAnsiTheme="minorHAnsi" w:cstheme="minorHAnsi"/>
        </w:rPr>
        <w:lastRenderedPageBreak/>
        <w:t>trials to confer prolonged half-life on biotherapeutics such as recombinant human erythropoietin and recombinant Factor VIII ("</w:t>
      </w:r>
      <w:proofErr w:type="spellStart"/>
      <w:r w:rsidR="00BA0B6C" w:rsidRPr="00BA0B6C">
        <w:rPr>
          <w:rFonts w:asciiTheme="minorHAnsi" w:hAnsiTheme="minorHAnsi" w:cstheme="minorHAnsi"/>
        </w:rPr>
        <w:t>rFVIII</w:t>
      </w:r>
      <w:proofErr w:type="spellEnd"/>
      <w:r w:rsidR="00BA0B6C" w:rsidRPr="00BA0B6C">
        <w:rPr>
          <w:rFonts w:asciiTheme="minorHAnsi" w:hAnsiTheme="minorHAnsi" w:cstheme="minorHAnsi"/>
        </w:rPr>
        <w:t>"</w:t>
      </w:r>
      <w:r w:rsidR="00BA0B6C" w:rsidRPr="00047073">
        <w:rPr>
          <w:rFonts w:asciiTheme="minorHAnsi" w:hAnsiTheme="minorHAnsi" w:cstheme="minorHAnsi"/>
        </w:rPr>
        <w:t>)</w:t>
      </w:r>
      <w:r w:rsidR="00764A3D" w:rsidRPr="00BA0B6C">
        <w:rPr>
          <w:rFonts w:asciiTheme="minorHAnsi" w:hAnsiTheme="minorHAnsi" w:cstheme="minorHAnsi"/>
        </w:rPr>
        <w:t>.</w:t>
      </w:r>
      <w:r w:rsidR="00764A3D">
        <w:rPr>
          <w:rFonts w:asciiTheme="minorHAnsi" w:hAnsiTheme="minorHAnsi" w:cstheme="minorHAnsi"/>
        </w:rPr>
        <w:t xml:space="preserve"> </w:t>
      </w:r>
      <w:proofErr w:type="spellStart"/>
      <w:r w:rsidR="00F14393">
        <w:rPr>
          <w:rFonts w:asciiTheme="minorHAnsi" w:hAnsiTheme="minorHAnsi" w:cstheme="minorHAnsi"/>
        </w:rPr>
        <w:t>PolyXen</w:t>
      </w:r>
      <w:proofErr w:type="spellEnd"/>
      <w:r w:rsidR="00F14393">
        <w:rPr>
          <w:rFonts w:asciiTheme="minorHAnsi" w:hAnsiTheme="minorHAnsi" w:cstheme="minorHAnsi"/>
        </w:rPr>
        <w:t xml:space="preserve"> has potential utility in other molecule classes such as peptides and small molecules. </w:t>
      </w:r>
      <w:r w:rsidR="00E15BA2" w:rsidRPr="00547DAB">
        <w:rPr>
          <w:rFonts w:asciiTheme="minorHAnsi" w:hAnsiTheme="minorHAnsi" w:cstheme="minorHAnsi"/>
        </w:rPr>
        <w:t xml:space="preserve">The Company </w:t>
      </w:r>
      <w:r w:rsidR="00E15BA2">
        <w:rPr>
          <w:rFonts w:asciiTheme="minorHAnsi" w:hAnsiTheme="minorHAnsi" w:cstheme="minorHAnsi"/>
        </w:rPr>
        <w:t xml:space="preserve">is leveraging its </w:t>
      </w:r>
      <w:proofErr w:type="spellStart"/>
      <w:r w:rsidR="00E15BA2">
        <w:rPr>
          <w:rFonts w:asciiTheme="minorHAnsi" w:hAnsiTheme="minorHAnsi" w:cstheme="minorHAnsi"/>
        </w:rPr>
        <w:t>PolyXen</w:t>
      </w:r>
      <w:proofErr w:type="spellEnd"/>
      <w:r w:rsidR="00E15BA2">
        <w:rPr>
          <w:rFonts w:asciiTheme="minorHAnsi" w:hAnsiTheme="minorHAnsi" w:cstheme="minorHAnsi"/>
        </w:rPr>
        <w:t xml:space="preserve"> technology through </w:t>
      </w:r>
      <w:r w:rsidR="00E15BA2" w:rsidRPr="00547DAB">
        <w:rPr>
          <w:rFonts w:asciiTheme="minorHAnsi" w:hAnsiTheme="minorHAnsi" w:cstheme="minorHAnsi"/>
        </w:rPr>
        <w:t xml:space="preserve">an exclusive license agreement with Takeda Pharmaceuticals Co. Ltd. in the field of coagulation disorders and </w:t>
      </w:r>
      <w:r w:rsidR="00E15BA2">
        <w:rPr>
          <w:rFonts w:asciiTheme="minorHAnsi" w:hAnsiTheme="minorHAnsi" w:cstheme="minorHAnsi"/>
        </w:rPr>
        <w:t>receives</w:t>
      </w:r>
      <w:r w:rsidR="00E15BA2" w:rsidRPr="00547DAB">
        <w:rPr>
          <w:rFonts w:asciiTheme="minorHAnsi" w:hAnsiTheme="minorHAnsi" w:cstheme="minorHAnsi"/>
        </w:rPr>
        <w:t xml:space="preserve"> royalty payments under this agreement.</w:t>
      </w:r>
      <w:r w:rsidR="00E15BA2">
        <w:rPr>
          <w:rFonts w:asciiTheme="minorHAnsi" w:hAnsiTheme="minorHAnsi" w:cstheme="minorHAnsi"/>
        </w:rPr>
        <w:t xml:space="preserve"> </w:t>
      </w:r>
    </w:p>
    <w:p w14:paraId="453B427B" w14:textId="77777777" w:rsidR="001F6992" w:rsidRDefault="001F6992" w:rsidP="001F6992">
      <w:pPr>
        <w:widowControl w:val="0"/>
        <w:autoSpaceDE w:val="0"/>
        <w:autoSpaceDN w:val="0"/>
        <w:adjustRightInd w:val="0"/>
        <w:spacing w:after="0" w:line="240" w:lineRule="auto"/>
        <w:jc w:val="both"/>
        <w:rPr>
          <w:rFonts w:asciiTheme="minorHAnsi" w:hAnsiTheme="minorHAnsi" w:cstheme="minorHAnsi"/>
          <w:b/>
          <w:i/>
          <w:iCs/>
          <w:u w:val="single"/>
        </w:rPr>
      </w:pPr>
    </w:p>
    <w:p w14:paraId="5C16D70F" w14:textId="77777777" w:rsidR="00EE4B7C" w:rsidRPr="00F14393" w:rsidRDefault="00EE4B7C" w:rsidP="00F14393">
      <w:pPr>
        <w:spacing w:after="0" w:line="240" w:lineRule="auto"/>
        <w:rPr>
          <w:rFonts w:asciiTheme="minorHAnsi" w:eastAsia="Times New Roman" w:hAnsiTheme="minorHAnsi" w:cstheme="minorHAnsi"/>
        </w:rPr>
      </w:pPr>
      <w:bookmarkStart w:id="0" w:name="a_016"/>
      <w:bookmarkStart w:id="1" w:name="a_017"/>
      <w:bookmarkEnd w:id="0"/>
      <w:bookmarkEnd w:id="1"/>
      <w:r w:rsidRPr="00F14393">
        <w:rPr>
          <w:rFonts w:asciiTheme="minorHAnsi" w:eastAsia="Times New Roman" w:hAnsiTheme="minorHAnsi" w:cstheme="minorHAnsi"/>
          <w:b/>
          <w:bCs/>
        </w:rPr>
        <w:t>About Pharmsynthez</w:t>
      </w:r>
    </w:p>
    <w:p w14:paraId="73453748" w14:textId="6751AE86" w:rsidR="00EE4B7C" w:rsidRPr="00F14393" w:rsidRDefault="00EE4B7C" w:rsidP="00F14393">
      <w:pPr>
        <w:spacing w:after="0" w:line="240" w:lineRule="auto"/>
        <w:jc w:val="both"/>
        <w:rPr>
          <w:rFonts w:asciiTheme="minorHAnsi" w:eastAsia="Times New Roman" w:hAnsiTheme="minorHAnsi" w:cstheme="minorHAnsi"/>
        </w:rPr>
      </w:pPr>
      <w:r>
        <w:rPr>
          <w:rFonts w:asciiTheme="minorHAnsi" w:eastAsia="Times New Roman" w:hAnsiTheme="minorHAnsi" w:cstheme="minorHAnsi"/>
        </w:rPr>
        <w:br/>
      </w:r>
      <w:r w:rsidRPr="00F14393">
        <w:rPr>
          <w:rFonts w:asciiTheme="minorHAnsi" w:eastAsia="Times New Roman" w:hAnsiTheme="minorHAnsi" w:cstheme="minorHAnsi"/>
        </w:rPr>
        <w:t xml:space="preserve">Pharmsynthez PJSC (MOEX: LIFE) is a Russian pharmaceutical company that develops new medicines, drug technologies for organ-specific delivery, and innovative methods of manufacturing pharmaceutical ingredients. The company is engaged in production and sale of both medicines for the treatment of respiratory diseases (original OM) and active pharmaceutical ingredients (API). The company has a research and production complex in </w:t>
      </w:r>
      <w:proofErr w:type="spellStart"/>
      <w:r w:rsidRPr="00F14393">
        <w:rPr>
          <w:rFonts w:asciiTheme="minorHAnsi" w:eastAsia="Times New Roman" w:hAnsiTheme="minorHAnsi" w:cstheme="minorHAnsi"/>
        </w:rPr>
        <w:t>Kapitolovo</w:t>
      </w:r>
      <w:proofErr w:type="spellEnd"/>
      <w:r w:rsidRPr="00F14393">
        <w:rPr>
          <w:rFonts w:asciiTheme="minorHAnsi" w:eastAsia="Times New Roman" w:hAnsiTheme="minorHAnsi" w:cstheme="minorHAnsi"/>
        </w:rPr>
        <w:t>, commissioned in 2001. Pharmsynthez actively cooperates with North American, Canadian and European companies in the field of chemical compounds and API production.</w:t>
      </w:r>
    </w:p>
    <w:p w14:paraId="36DA9A94" w14:textId="577039AE" w:rsidR="009C14E7" w:rsidRPr="00665ECC" w:rsidRDefault="00EE4B7C" w:rsidP="009C14E7">
      <w:pPr>
        <w:spacing w:after="0" w:line="240" w:lineRule="auto"/>
        <w:jc w:val="both"/>
        <w:rPr>
          <w:rFonts w:asciiTheme="minorHAnsi" w:hAnsiTheme="minorHAnsi" w:cstheme="minorHAnsi"/>
          <w:b/>
          <w:bCs/>
        </w:rPr>
      </w:pPr>
      <w:r>
        <w:rPr>
          <w:rFonts w:asciiTheme="minorHAnsi" w:hAnsiTheme="minorHAnsi" w:cstheme="minorHAnsi"/>
          <w:b/>
          <w:bCs/>
        </w:rPr>
        <w:br/>
      </w:r>
      <w:r w:rsidR="009C14E7" w:rsidRPr="00665ECC">
        <w:rPr>
          <w:rFonts w:asciiTheme="minorHAnsi" w:hAnsiTheme="minorHAnsi" w:cstheme="minorHAnsi"/>
          <w:b/>
          <w:bCs/>
        </w:rPr>
        <w:t>About Xenetic Biosciences</w:t>
      </w:r>
    </w:p>
    <w:p w14:paraId="7B68F987" w14:textId="77777777" w:rsidR="009C14E7" w:rsidRPr="00547DAB" w:rsidRDefault="009C14E7" w:rsidP="009C14E7">
      <w:pPr>
        <w:spacing w:after="0" w:line="240" w:lineRule="auto"/>
        <w:jc w:val="both"/>
        <w:rPr>
          <w:rFonts w:asciiTheme="minorHAnsi" w:hAnsiTheme="minorHAnsi" w:cstheme="minorHAnsi"/>
        </w:rPr>
      </w:pPr>
      <w:r>
        <w:rPr>
          <w:rFonts w:asciiTheme="minorHAnsi" w:hAnsiTheme="minorHAnsi" w:cstheme="minorHAnsi"/>
        </w:rPr>
        <w:br/>
      </w:r>
      <w:r w:rsidRPr="00547DAB">
        <w:rPr>
          <w:rFonts w:asciiTheme="minorHAnsi" w:hAnsiTheme="minorHAnsi" w:cstheme="minorHAnsi"/>
        </w:rPr>
        <w:t>Xenetic Biosciences, Inc. is a biopharmaceutical company focused on progressing XCART</w:t>
      </w:r>
      <w:r>
        <w:rPr>
          <w:rFonts w:asciiTheme="minorHAnsi" w:hAnsiTheme="minorHAnsi" w:cstheme="minorHAnsi"/>
        </w:rPr>
        <w:t>™</w:t>
      </w:r>
      <w:r w:rsidRPr="00547DAB">
        <w:rPr>
          <w:rFonts w:asciiTheme="minorHAnsi" w:hAnsiTheme="minorHAnsi" w:cstheme="minorHAnsi"/>
        </w:rPr>
        <w:t>, a personalized CAR T platform technology engineered to target patient-</w:t>
      </w:r>
      <w:r>
        <w:rPr>
          <w:rFonts w:asciiTheme="minorHAnsi" w:hAnsiTheme="minorHAnsi" w:cstheme="minorHAnsi"/>
        </w:rPr>
        <w:t xml:space="preserve"> and tumor-</w:t>
      </w:r>
      <w:r w:rsidRPr="00547DAB">
        <w:rPr>
          <w:rFonts w:asciiTheme="minorHAnsi" w:hAnsiTheme="minorHAnsi" w:cstheme="minorHAnsi"/>
        </w:rPr>
        <w:t>specific neoantigens. The Company is initially advancing cell-based therapeutics targeting the unique B-cell receptor on the surface of an individual patient’s malignant tumor cells for the treatment of B-cell lymphomas. XCART</w:t>
      </w:r>
      <w:r>
        <w:rPr>
          <w:rFonts w:asciiTheme="minorHAnsi" w:hAnsiTheme="minorHAnsi" w:cstheme="minorHAnsi"/>
        </w:rPr>
        <w:t>™</w:t>
      </w:r>
      <w:r w:rsidRPr="00547DAB">
        <w:rPr>
          <w:rFonts w:asciiTheme="minorHAnsi" w:hAnsiTheme="minorHAnsi" w:cstheme="minorHAnsi"/>
        </w:rPr>
        <w:t xml:space="preserve"> has the potential to fuel a robust pipeline of therapeutic assets targeting high-value oncology indications. </w:t>
      </w:r>
    </w:p>
    <w:p w14:paraId="0539A11D" w14:textId="77777777" w:rsidR="009C14E7" w:rsidRDefault="009C14E7" w:rsidP="009C14E7">
      <w:pPr>
        <w:pStyle w:val="NormalWeb"/>
        <w:spacing w:before="0" w:beforeAutospacing="0" w:after="0" w:afterAutospacing="0"/>
        <w:jc w:val="both"/>
        <w:rPr>
          <w:rFonts w:asciiTheme="minorHAnsi" w:eastAsia="Calibri" w:hAnsiTheme="minorHAnsi" w:cstheme="minorHAnsi"/>
          <w:sz w:val="22"/>
          <w:szCs w:val="22"/>
        </w:rPr>
      </w:pPr>
      <w:r>
        <w:rPr>
          <w:rFonts w:asciiTheme="minorHAnsi" w:eastAsia="Calibri" w:hAnsiTheme="minorHAnsi" w:cstheme="minorHAnsi"/>
          <w:sz w:val="22"/>
          <w:szCs w:val="22"/>
        </w:rPr>
        <w:br/>
      </w:r>
      <w:r w:rsidRPr="00547DAB">
        <w:rPr>
          <w:rFonts w:asciiTheme="minorHAnsi" w:eastAsia="Calibri" w:hAnsiTheme="minorHAnsi" w:cstheme="minorHAnsi"/>
          <w:sz w:val="22"/>
          <w:szCs w:val="22"/>
        </w:rPr>
        <w:t xml:space="preserve">Additionally, Xenetic is leveraging </w:t>
      </w:r>
      <w:proofErr w:type="spellStart"/>
      <w:r w:rsidRPr="00547DAB">
        <w:rPr>
          <w:rFonts w:asciiTheme="minorHAnsi" w:eastAsia="Calibri" w:hAnsiTheme="minorHAnsi" w:cstheme="minorHAnsi"/>
          <w:sz w:val="22"/>
          <w:szCs w:val="22"/>
        </w:rPr>
        <w:t>PolyXen</w:t>
      </w:r>
      <w:proofErr w:type="spellEnd"/>
      <w:r>
        <w:rPr>
          <w:rFonts w:asciiTheme="minorHAnsi" w:eastAsia="Calibri" w:hAnsiTheme="minorHAnsi" w:cstheme="minorHAnsi"/>
          <w:sz w:val="22"/>
          <w:szCs w:val="22"/>
        </w:rPr>
        <w:t>®</w:t>
      </w:r>
      <w:r w:rsidRPr="00547DAB">
        <w:rPr>
          <w:rFonts w:asciiTheme="minorHAnsi" w:eastAsia="Calibri" w:hAnsiTheme="minorHAnsi" w:cstheme="minorHAnsi"/>
          <w:sz w:val="22"/>
          <w:szCs w:val="22"/>
        </w:rPr>
        <w:t xml:space="preserve">, its proprietary drug delivery platform, by partnering with biotechnology and pharmaceutical companies. </w:t>
      </w:r>
      <w:proofErr w:type="spellStart"/>
      <w:r w:rsidRPr="00547DAB">
        <w:rPr>
          <w:rFonts w:asciiTheme="minorHAnsi" w:eastAsia="Calibri" w:hAnsiTheme="minorHAnsi" w:cstheme="minorHAnsi"/>
          <w:sz w:val="22"/>
          <w:szCs w:val="22"/>
        </w:rPr>
        <w:t>PolyXen</w:t>
      </w:r>
      <w:proofErr w:type="spellEnd"/>
      <w:r>
        <w:rPr>
          <w:rFonts w:asciiTheme="minorHAnsi" w:eastAsia="Calibri" w:hAnsiTheme="minorHAnsi" w:cstheme="minorHAnsi"/>
          <w:sz w:val="22"/>
          <w:szCs w:val="22"/>
        </w:rPr>
        <w:t>®</w:t>
      </w:r>
      <w:r w:rsidRPr="00547DAB">
        <w:rPr>
          <w:rFonts w:asciiTheme="minorHAnsi" w:eastAsia="Calibri" w:hAnsiTheme="minorHAnsi" w:cstheme="minorHAnsi"/>
          <w:sz w:val="22"/>
          <w:szCs w:val="22"/>
        </w:rPr>
        <w:t xml:space="preserve"> has demonstrated its ability to improve the half-life and other pharmacological properties of next-generation biologic drugs. The Company has an exclusive license agreement with Takeda Pharmaceuticals Co. Ltd. in the field of coagulation disorders and </w:t>
      </w:r>
      <w:r>
        <w:rPr>
          <w:rFonts w:asciiTheme="minorHAnsi" w:eastAsia="Calibri" w:hAnsiTheme="minorHAnsi" w:cstheme="minorHAnsi"/>
          <w:sz w:val="22"/>
          <w:szCs w:val="22"/>
        </w:rPr>
        <w:t>receives</w:t>
      </w:r>
      <w:r w:rsidRPr="00547DAB">
        <w:rPr>
          <w:rFonts w:asciiTheme="minorHAnsi" w:eastAsia="Calibri" w:hAnsiTheme="minorHAnsi" w:cstheme="minorHAnsi"/>
          <w:sz w:val="22"/>
          <w:szCs w:val="22"/>
        </w:rPr>
        <w:t xml:space="preserve"> royalty payments under this agreement.</w:t>
      </w:r>
    </w:p>
    <w:p w14:paraId="0EE68CC3" w14:textId="77777777" w:rsidR="009C14E7" w:rsidRPr="00665ECC" w:rsidRDefault="009C14E7" w:rsidP="009C14E7">
      <w:pPr>
        <w:pStyle w:val="NormalWeb"/>
        <w:spacing w:before="0" w:beforeAutospacing="0" w:after="0" w:afterAutospacing="0"/>
        <w:jc w:val="both"/>
        <w:rPr>
          <w:rFonts w:asciiTheme="minorHAnsi" w:hAnsiTheme="minorHAnsi" w:cstheme="minorHAnsi"/>
          <w:sz w:val="22"/>
          <w:szCs w:val="22"/>
        </w:rPr>
      </w:pPr>
      <w:r w:rsidRPr="00547DAB">
        <w:rPr>
          <w:rFonts w:asciiTheme="minorHAnsi" w:eastAsia="Calibri" w:hAnsiTheme="minorHAnsi" w:cstheme="minorHAnsi"/>
          <w:sz w:val="22"/>
          <w:szCs w:val="22"/>
        </w:rPr>
        <w:t xml:space="preserve"> </w:t>
      </w:r>
    </w:p>
    <w:p w14:paraId="3DB2C34C" w14:textId="77777777" w:rsidR="009C14E7" w:rsidRPr="00665ECC" w:rsidRDefault="009C14E7" w:rsidP="009C14E7">
      <w:pPr>
        <w:spacing w:after="0"/>
        <w:rPr>
          <w:rFonts w:asciiTheme="minorHAnsi" w:hAnsiTheme="minorHAnsi" w:cstheme="minorHAnsi"/>
        </w:rPr>
      </w:pPr>
      <w:r w:rsidRPr="00665ECC">
        <w:rPr>
          <w:rFonts w:asciiTheme="minorHAnsi" w:hAnsiTheme="minorHAnsi" w:cstheme="minorHAnsi"/>
        </w:rPr>
        <w:t>For more information, please visit the Company's website at </w:t>
      </w:r>
      <w:hyperlink r:id="rId11" w:history="1">
        <w:r w:rsidRPr="00665ECC">
          <w:rPr>
            <w:rStyle w:val="Hyperlink"/>
            <w:rFonts w:asciiTheme="minorHAnsi" w:hAnsiTheme="minorHAnsi" w:cstheme="minorHAnsi"/>
          </w:rPr>
          <w:t>www.xeneticbio.com</w:t>
        </w:r>
      </w:hyperlink>
      <w:r w:rsidRPr="00665ECC">
        <w:rPr>
          <w:rFonts w:asciiTheme="minorHAnsi" w:hAnsiTheme="minorHAnsi" w:cstheme="minorHAnsi"/>
        </w:rPr>
        <w:t xml:space="preserve"> and connect on </w:t>
      </w:r>
      <w:hyperlink r:id="rId12" w:history="1">
        <w:r w:rsidRPr="00665ECC">
          <w:rPr>
            <w:rStyle w:val="Hyperlink"/>
            <w:rFonts w:asciiTheme="minorHAnsi" w:hAnsiTheme="minorHAnsi" w:cstheme="minorHAnsi"/>
          </w:rPr>
          <w:t>Twitter</w:t>
        </w:r>
      </w:hyperlink>
      <w:r w:rsidRPr="00665ECC">
        <w:rPr>
          <w:rFonts w:asciiTheme="minorHAnsi" w:hAnsiTheme="minorHAnsi" w:cstheme="minorHAnsi"/>
        </w:rPr>
        <w:t xml:space="preserve">, </w:t>
      </w:r>
      <w:hyperlink r:id="rId13" w:history="1">
        <w:r w:rsidRPr="00665ECC">
          <w:rPr>
            <w:rStyle w:val="Hyperlink"/>
            <w:rFonts w:asciiTheme="minorHAnsi" w:hAnsiTheme="minorHAnsi" w:cstheme="minorHAnsi"/>
          </w:rPr>
          <w:t>LinkedIn</w:t>
        </w:r>
      </w:hyperlink>
      <w:r w:rsidRPr="00665ECC">
        <w:rPr>
          <w:rFonts w:asciiTheme="minorHAnsi" w:hAnsiTheme="minorHAnsi" w:cstheme="minorHAnsi"/>
        </w:rPr>
        <w:t xml:space="preserve">, and  </w:t>
      </w:r>
      <w:hyperlink r:id="rId14" w:history="1">
        <w:r w:rsidRPr="00665ECC">
          <w:rPr>
            <w:rStyle w:val="Hyperlink"/>
            <w:rFonts w:asciiTheme="minorHAnsi" w:hAnsiTheme="minorHAnsi" w:cstheme="minorHAnsi"/>
          </w:rPr>
          <w:t>Facebook</w:t>
        </w:r>
      </w:hyperlink>
      <w:r w:rsidRPr="00665ECC">
        <w:rPr>
          <w:rFonts w:asciiTheme="minorHAnsi" w:hAnsiTheme="minorHAnsi" w:cstheme="minorHAnsi"/>
        </w:rPr>
        <w:t>.</w:t>
      </w:r>
    </w:p>
    <w:p w14:paraId="0DFB05C4" w14:textId="77777777" w:rsidR="009C14E7" w:rsidRPr="00311717" w:rsidRDefault="009C14E7" w:rsidP="009C14E7">
      <w:pPr>
        <w:pStyle w:val="NormalWeb"/>
        <w:shd w:val="clear" w:color="auto" w:fill="FFFFFF"/>
        <w:spacing w:after="300"/>
        <w:jc w:val="both"/>
        <w:rPr>
          <w:rFonts w:asciiTheme="minorHAnsi" w:hAnsiTheme="minorHAnsi" w:cstheme="minorHAnsi"/>
          <w:b/>
          <w:bCs/>
          <w:sz w:val="22"/>
          <w:szCs w:val="22"/>
        </w:rPr>
      </w:pPr>
      <w:r w:rsidRPr="00CB63BA">
        <w:rPr>
          <w:rFonts w:asciiTheme="minorHAnsi" w:hAnsiTheme="minorHAnsi" w:cstheme="minorHAnsi"/>
          <w:b/>
          <w:bCs/>
          <w:sz w:val="22"/>
          <w:szCs w:val="22"/>
        </w:rPr>
        <w:t>Forward-Looking Statements</w:t>
      </w:r>
      <w:r>
        <w:rPr>
          <w:rFonts w:asciiTheme="minorHAnsi" w:hAnsiTheme="minorHAnsi" w:cstheme="minorHAnsi"/>
          <w:b/>
          <w:bCs/>
          <w:sz w:val="22"/>
          <w:szCs w:val="22"/>
        </w:rPr>
        <w:t xml:space="preserve"> </w:t>
      </w:r>
    </w:p>
    <w:p w14:paraId="40F46F99" w14:textId="39D37A18" w:rsidR="009C14E7" w:rsidRPr="00311717" w:rsidRDefault="00B36839" w:rsidP="009C14E7">
      <w:pPr>
        <w:spacing w:after="0" w:line="240" w:lineRule="auto"/>
        <w:jc w:val="both"/>
        <w:rPr>
          <w:rFonts w:asciiTheme="minorHAnsi" w:hAnsiTheme="minorHAnsi"/>
        </w:rPr>
      </w:pPr>
      <w:r w:rsidRPr="00B36839">
        <w:rPr>
          <w:rFonts w:asciiTheme="minorHAnsi" w:hAnsiTheme="minorHAnsi" w:cstheme="minorHAnsi"/>
          <w:bCs/>
        </w:rPr>
        <w:t xml:space="preserve">This press release contains forward-looking statements for purposes of the safe harbor provisions of the Private Securities Litigation Reform Act of 1995. All statements contained in this press release other than statements of historical facts may constitute forward-looking statements within the meaning of the federal securities laws. These statements can be identified by words such as "expects," "plans," "projects," "will," "may," "anticipates," "believes," "should," "intends," "estimates," and other words of similar meaning, including, but not limited to, statements regarding: expectations regarding </w:t>
      </w:r>
      <w:proofErr w:type="spellStart"/>
      <w:r w:rsidRPr="00EB1415">
        <w:rPr>
          <w:rFonts w:asciiTheme="minorHAnsi" w:hAnsiTheme="minorHAnsi" w:cstheme="minorHAnsi"/>
          <w:bCs/>
        </w:rPr>
        <w:t>Epolong’s</w:t>
      </w:r>
      <w:proofErr w:type="spellEnd"/>
      <w:r w:rsidRPr="00EB1415">
        <w:rPr>
          <w:rFonts w:asciiTheme="minorHAnsi" w:hAnsiTheme="minorHAnsi" w:cstheme="minorHAnsi"/>
          <w:bCs/>
        </w:rPr>
        <w:t xml:space="preserve"> investigation and goal of reducing the required dosing frequency</w:t>
      </w:r>
      <w:r w:rsidR="00EB1415" w:rsidRPr="001701B6">
        <w:rPr>
          <w:rFonts w:asciiTheme="minorHAnsi" w:hAnsiTheme="minorHAnsi" w:cstheme="minorHAnsi"/>
          <w:bCs/>
        </w:rPr>
        <w:t xml:space="preserve"> and</w:t>
      </w:r>
      <w:r w:rsidRPr="00EB1415">
        <w:rPr>
          <w:rFonts w:asciiTheme="minorHAnsi" w:hAnsiTheme="minorHAnsi" w:cstheme="minorHAnsi"/>
          <w:bCs/>
        </w:rPr>
        <w:t xml:space="preserve"> </w:t>
      </w:r>
      <w:r w:rsidR="00EB1415" w:rsidRPr="001701B6">
        <w:rPr>
          <w:rFonts w:asciiTheme="minorHAnsi" w:hAnsiTheme="minorHAnsi" w:cstheme="minorHAnsi"/>
          <w:bCs/>
        </w:rPr>
        <w:t xml:space="preserve">reducing potential </w:t>
      </w:r>
      <w:r w:rsidRPr="00EB1415">
        <w:rPr>
          <w:rFonts w:asciiTheme="minorHAnsi" w:hAnsiTheme="minorHAnsi" w:cstheme="minorHAnsi"/>
          <w:bCs/>
        </w:rPr>
        <w:t xml:space="preserve">side effects compared to existing EPO products; our belief that the </w:t>
      </w:r>
      <w:proofErr w:type="spellStart"/>
      <w:r w:rsidRPr="00EB1415">
        <w:rPr>
          <w:rFonts w:asciiTheme="minorHAnsi" w:hAnsiTheme="minorHAnsi" w:cstheme="minorHAnsi"/>
          <w:bCs/>
        </w:rPr>
        <w:t>PolyXen</w:t>
      </w:r>
      <w:proofErr w:type="spellEnd"/>
      <w:r w:rsidRPr="00EB1415">
        <w:rPr>
          <w:rFonts w:asciiTheme="minorHAnsi" w:hAnsiTheme="minorHAnsi" w:cstheme="minorHAnsi"/>
          <w:bCs/>
        </w:rPr>
        <w:t xml:space="preserve"> platform continues to demonstrate broad utility and ability to modulate the pharmacokinetic and pharmacodynamic profiles of protein drugs; expectations regarding the outcome of </w:t>
      </w:r>
      <w:proofErr w:type="spellStart"/>
      <w:r w:rsidRPr="00EB1415">
        <w:rPr>
          <w:rFonts w:asciiTheme="minorHAnsi" w:hAnsiTheme="minorHAnsi" w:cstheme="minorHAnsi"/>
          <w:bCs/>
        </w:rPr>
        <w:t>Pharmsynthez’s</w:t>
      </w:r>
      <w:proofErr w:type="spellEnd"/>
      <w:r w:rsidRPr="00EB1415">
        <w:rPr>
          <w:rFonts w:asciiTheme="minorHAnsi" w:hAnsiTheme="minorHAnsi" w:cstheme="minorHAnsi"/>
          <w:bCs/>
        </w:rPr>
        <w:t xml:space="preserve"> registration filing in Russia for </w:t>
      </w:r>
      <w:proofErr w:type="spellStart"/>
      <w:r w:rsidRPr="00EB1415">
        <w:rPr>
          <w:rFonts w:asciiTheme="minorHAnsi" w:hAnsiTheme="minorHAnsi" w:cstheme="minorHAnsi"/>
          <w:bCs/>
        </w:rPr>
        <w:t>Epolong</w:t>
      </w:r>
      <w:proofErr w:type="spellEnd"/>
      <w:r w:rsidRPr="00EB1415">
        <w:rPr>
          <w:rFonts w:asciiTheme="minorHAnsi" w:hAnsiTheme="minorHAnsi" w:cstheme="minorHAnsi"/>
          <w:bCs/>
        </w:rPr>
        <w:t xml:space="preserve"> and timing of such registration filing, which is expected to be submitted in 2021;  our plans to initially apply the XCART </w:t>
      </w:r>
      <w:r w:rsidRPr="00EB1415">
        <w:rPr>
          <w:rFonts w:asciiTheme="minorHAnsi" w:hAnsiTheme="minorHAnsi" w:cstheme="minorHAnsi"/>
          <w:bCs/>
        </w:rPr>
        <w:lastRenderedPageBreak/>
        <w:t xml:space="preserve">technology to advance cell-based therapeutics by targeting the unique B-cell receptor on the surface of an individual patient’s malignant tumor cells for the treatment of B-cell lymphomas; our expectations that XCART has the potential to fuel a robust pipeline of therapeutic assets targeting high-value oncology indications; our plans to leverage </w:t>
      </w:r>
      <w:proofErr w:type="spellStart"/>
      <w:r w:rsidRPr="00EB1415">
        <w:rPr>
          <w:rFonts w:asciiTheme="minorHAnsi" w:hAnsiTheme="minorHAnsi" w:cstheme="minorHAnsi"/>
          <w:bCs/>
        </w:rPr>
        <w:t>PolyXen</w:t>
      </w:r>
      <w:proofErr w:type="spellEnd"/>
      <w:r w:rsidRPr="00EB1415">
        <w:rPr>
          <w:rFonts w:asciiTheme="minorHAnsi" w:hAnsiTheme="minorHAnsi" w:cstheme="minorHAnsi"/>
          <w:bCs/>
        </w:rPr>
        <w:t>® by partnering with biotechnology and pharmaceutical companies; and our expectation regarding receipt of royalty payments</w:t>
      </w:r>
      <w:r w:rsidRPr="00B36839">
        <w:rPr>
          <w:rFonts w:asciiTheme="minorHAnsi" w:hAnsiTheme="minorHAnsi" w:cstheme="minorHAnsi"/>
          <w:bCs/>
        </w:rPr>
        <w:t xml:space="preserve"> under the exclusive license agreement with Takeda Pharmaceuticals Co. Ltd. Any forward-looking statements contained herein are based on current </w:t>
      </w:r>
      <w:proofErr w:type="gramStart"/>
      <w:r w:rsidRPr="00B36839">
        <w:rPr>
          <w:rFonts w:asciiTheme="minorHAnsi" w:hAnsiTheme="minorHAnsi" w:cstheme="minorHAnsi"/>
          <w:bCs/>
        </w:rPr>
        <w:t>expectations, and</w:t>
      </w:r>
      <w:proofErr w:type="gramEnd"/>
      <w:r w:rsidRPr="00B36839">
        <w:rPr>
          <w:rFonts w:asciiTheme="minorHAnsi" w:hAnsiTheme="minorHAnsi" w:cstheme="minorHAnsi"/>
          <w:bCs/>
        </w:rPr>
        <w:t xml:space="preserve"> are subject to a number of risks and uncertainties. Many factors could cause our actual activities, performance, achievements, or results to differ materially from the activities and results anticipated in forward-looking statements. Important factors that could cause actual activities, performance, achievements, or results to differ materially from such plans, estimates or expectations include, among others, (1) unexpected costs, charges or expenses resulting from the acquisition of XCART; (2) uncertainty of the expected financial performance of the Company following completion of the acquisition of XCART; (3) failure to realize the anticipated potential of the XCART or </w:t>
      </w:r>
      <w:proofErr w:type="spellStart"/>
      <w:r w:rsidRPr="00B36839">
        <w:rPr>
          <w:rFonts w:asciiTheme="minorHAnsi" w:hAnsiTheme="minorHAnsi" w:cstheme="minorHAnsi"/>
          <w:bCs/>
        </w:rPr>
        <w:t>PolyXen</w:t>
      </w:r>
      <w:proofErr w:type="spellEnd"/>
      <w:r w:rsidRPr="00B36839">
        <w:rPr>
          <w:rFonts w:asciiTheme="minorHAnsi" w:hAnsiTheme="minorHAnsi" w:cstheme="minorHAnsi"/>
          <w:bCs/>
        </w:rPr>
        <w:t xml:space="preserve"> technology; (4) the ability of the Company to implement its business strategy; (5) failure of the Pharmsynthez to timely register </w:t>
      </w:r>
      <w:proofErr w:type="spellStart"/>
      <w:r w:rsidRPr="00B36839">
        <w:rPr>
          <w:rFonts w:asciiTheme="minorHAnsi" w:hAnsiTheme="minorHAnsi" w:cstheme="minorHAnsi"/>
          <w:bCs/>
        </w:rPr>
        <w:t>Epolong</w:t>
      </w:r>
      <w:proofErr w:type="spellEnd"/>
      <w:r w:rsidRPr="00B36839">
        <w:rPr>
          <w:rFonts w:asciiTheme="minorHAnsi" w:hAnsiTheme="minorHAnsi" w:cstheme="minorHAnsi"/>
          <w:bCs/>
        </w:rPr>
        <w:t xml:space="preserve"> in Russia, or at all; and (6) other risk factors as detailed from time to time in the Company’s reports filed with the SEC, including its annual report on Form 10-K, periodic quarterly reports on Form 10-Q, periodic current reports on Form 8-K and other documents filed with the SEC. The foregoing list of important factors is not exclusive. In addition, forward-looking statements may also be adversely affected by general market factors, general economic and business conditions, including potential adverse effects of public health issues, such as the COVID-19 outbreak on economic activity, competitive product development, product availability, federal and state regulations and legislation, the regulatory process for new product candidates and indications, manufacturing issues that may arise, patent positions and litigation, among other factors. The forward-looking statements contained in this press release speak only as of the date the statements were made, and the Company does not undertake any obligation to update forward-looking statements, except as required by law.</w:t>
      </w:r>
    </w:p>
    <w:p w14:paraId="7C6A122D" w14:textId="52B651C0" w:rsidR="009C14E7" w:rsidRPr="003642E1" w:rsidRDefault="00B36839" w:rsidP="009C14E7">
      <w:pPr>
        <w:pStyle w:val="NormalWeb"/>
        <w:spacing w:before="0" w:beforeAutospacing="0" w:after="0" w:afterAutospacing="0"/>
        <w:jc w:val="both"/>
        <w:rPr>
          <w:rFonts w:asciiTheme="minorHAnsi" w:hAnsiTheme="minorHAnsi"/>
          <w:lang w:val="fr-FR"/>
        </w:rPr>
      </w:pPr>
      <w:r>
        <w:rPr>
          <w:rFonts w:asciiTheme="minorHAnsi" w:hAnsiTheme="minorHAnsi"/>
          <w:b/>
          <w:lang w:val="fr-FR"/>
        </w:rPr>
        <w:br/>
      </w:r>
      <w:proofErr w:type="gramStart"/>
      <w:r w:rsidR="009C14E7" w:rsidRPr="003642E1">
        <w:rPr>
          <w:rFonts w:asciiTheme="minorHAnsi" w:hAnsiTheme="minorHAnsi"/>
          <w:b/>
          <w:lang w:val="fr-FR"/>
        </w:rPr>
        <w:t>Contact:</w:t>
      </w:r>
      <w:proofErr w:type="gramEnd"/>
    </w:p>
    <w:p w14:paraId="0C484123" w14:textId="77777777" w:rsidR="009C14E7" w:rsidRDefault="009C14E7" w:rsidP="009C14E7">
      <w:pPr>
        <w:spacing w:after="0" w:line="240" w:lineRule="auto"/>
        <w:jc w:val="both"/>
        <w:rPr>
          <w:rFonts w:asciiTheme="minorHAnsi" w:hAnsiTheme="minorHAnsi"/>
          <w:lang w:val="fr-FR"/>
        </w:rPr>
      </w:pPr>
    </w:p>
    <w:p w14:paraId="4AF787B3" w14:textId="77777777" w:rsidR="009C14E7" w:rsidRPr="003642E1" w:rsidRDefault="009C14E7" w:rsidP="009C14E7">
      <w:pPr>
        <w:spacing w:after="0" w:line="240" w:lineRule="auto"/>
        <w:jc w:val="both"/>
        <w:rPr>
          <w:rFonts w:asciiTheme="minorHAnsi" w:hAnsiTheme="minorHAnsi"/>
          <w:lang w:val="fr-FR"/>
        </w:rPr>
      </w:pPr>
      <w:r>
        <w:rPr>
          <w:rFonts w:asciiTheme="minorHAnsi" w:hAnsiTheme="minorHAnsi"/>
          <w:lang w:val="fr-FR"/>
        </w:rPr>
        <w:t>JTC Team, LLC</w:t>
      </w:r>
    </w:p>
    <w:p w14:paraId="151DA968" w14:textId="77777777" w:rsidR="009C14E7" w:rsidRPr="00311717" w:rsidRDefault="009C14E7" w:rsidP="009C14E7">
      <w:pPr>
        <w:spacing w:after="0" w:line="240" w:lineRule="auto"/>
        <w:jc w:val="both"/>
        <w:rPr>
          <w:rFonts w:asciiTheme="minorHAnsi" w:hAnsiTheme="minorHAnsi"/>
        </w:rPr>
      </w:pPr>
      <w:r w:rsidRPr="00311717">
        <w:rPr>
          <w:rFonts w:asciiTheme="minorHAnsi" w:hAnsiTheme="minorHAnsi"/>
        </w:rPr>
        <w:t>Jenene Thomas</w:t>
      </w:r>
    </w:p>
    <w:p w14:paraId="2DF8CA48" w14:textId="77777777" w:rsidR="009C14E7" w:rsidRDefault="009C14E7" w:rsidP="009C14E7">
      <w:pPr>
        <w:spacing w:after="0" w:line="240" w:lineRule="auto"/>
        <w:jc w:val="both"/>
        <w:rPr>
          <w:rFonts w:asciiTheme="minorHAnsi" w:hAnsiTheme="minorHAnsi"/>
        </w:rPr>
      </w:pPr>
      <w:r w:rsidRPr="00311717">
        <w:rPr>
          <w:rFonts w:asciiTheme="minorHAnsi" w:hAnsiTheme="minorHAnsi"/>
        </w:rPr>
        <w:t>(</w:t>
      </w:r>
      <w:r w:rsidRPr="00205502">
        <w:rPr>
          <w:rFonts w:asciiTheme="minorHAnsi" w:hAnsiTheme="minorHAnsi"/>
        </w:rPr>
        <w:t>833) 475-8247</w:t>
      </w:r>
    </w:p>
    <w:p w14:paraId="3C74FB48" w14:textId="77777777" w:rsidR="009C14E7" w:rsidRPr="00205502" w:rsidRDefault="009C14E7" w:rsidP="009C14E7">
      <w:pPr>
        <w:spacing w:after="0" w:line="240" w:lineRule="auto"/>
        <w:jc w:val="both"/>
        <w:rPr>
          <w:rStyle w:val="Hyperlink"/>
          <w:rFonts w:asciiTheme="minorHAnsi" w:hAnsiTheme="minorHAnsi"/>
        </w:rPr>
      </w:pPr>
      <w:r>
        <w:rPr>
          <w:rStyle w:val="Hyperlink"/>
          <w:rFonts w:asciiTheme="minorHAnsi" w:hAnsiTheme="minorHAnsi"/>
        </w:rPr>
        <w:fldChar w:fldCharType="begin"/>
      </w:r>
      <w:r>
        <w:rPr>
          <w:rStyle w:val="Hyperlink"/>
          <w:rFonts w:asciiTheme="minorHAnsi" w:hAnsiTheme="minorHAnsi"/>
        </w:rPr>
        <w:instrText xml:space="preserve"> HYPERLINK "mailto:xbio@jtcir.com" </w:instrText>
      </w:r>
      <w:r>
        <w:rPr>
          <w:rStyle w:val="Hyperlink"/>
          <w:rFonts w:asciiTheme="minorHAnsi" w:hAnsiTheme="minorHAnsi"/>
        </w:rPr>
        <w:fldChar w:fldCharType="separate"/>
      </w:r>
      <w:r w:rsidRPr="00033FC9">
        <w:rPr>
          <w:rStyle w:val="Hyperlink"/>
          <w:rFonts w:asciiTheme="minorHAnsi" w:hAnsiTheme="minorHAnsi"/>
        </w:rPr>
        <w:t>xbio</w:t>
      </w:r>
      <w:r w:rsidRPr="0088761C">
        <w:rPr>
          <w:rStyle w:val="Hyperlink"/>
          <w:rFonts w:asciiTheme="minorHAnsi" w:hAnsiTheme="minorHAnsi"/>
        </w:rPr>
        <w:t>@jtcir.com</w:t>
      </w:r>
      <w:r w:rsidRPr="00205502">
        <w:rPr>
          <w:rStyle w:val="Hyperlink"/>
          <w:rFonts w:asciiTheme="minorHAnsi" w:hAnsiTheme="minorHAnsi"/>
        </w:rPr>
        <w:t xml:space="preserve"> </w:t>
      </w:r>
    </w:p>
    <w:p w14:paraId="6ED8CBCD" w14:textId="77777777" w:rsidR="009C14E7" w:rsidRDefault="009C14E7" w:rsidP="009C14E7">
      <w:pPr>
        <w:pStyle w:val="NormalWeb"/>
        <w:shd w:val="clear" w:color="auto" w:fill="FFFFFF"/>
        <w:jc w:val="both"/>
      </w:pPr>
      <w:r>
        <w:rPr>
          <w:rStyle w:val="Hyperlink"/>
          <w:rFonts w:asciiTheme="minorHAnsi" w:eastAsia="Calibri" w:hAnsiTheme="minorHAnsi"/>
          <w:sz w:val="22"/>
          <w:szCs w:val="22"/>
        </w:rPr>
        <w:fldChar w:fldCharType="end"/>
      </w:r>
      <w:r w:rsidRPr="00311717">
        <w:rPr>
          <w:rFonts w:asciiTheme="minorHAnsi" w:eastAsia="Calibri" w:hAnsiTheme="minorHAnsi"/>
          <w:sz w:val="22"/>
          <w:szCs w:val="22"/>
        </w:rPr>
        <w:t>Source: Xenetic Biosciences, Inc.</w:t>
      </w:r>
    </w:p>
    <w:p w14:paraId="6250B9E9" w14:textId="1DCD5DA9" w:rsidR="002E24D5" w:rsidRPr="008C32A7" w:rsidRDefault="002E24D5" w:rsidP="002113F7">
      <w:pPr>
        <w:spacing w:after="0" w:line="240" w:lineRule="auto"/>
        <w:jc w:val="both"/>
        <w:rPr>
          <w:rFonts w:asciiTheme="minorHAnsi" w:hAnsiTheme="minorHAnsi"/>
        </w:rPr>
      </w:pPr>
    </w:p>
    <w:sectPr w:rsidR="002E24D5" w:rsidRPr="008C32A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9C929" w14:textId="77777777" w:rsidR="008757C4" w:rsidRDefault="008757C4" w:rsidP="0021273E">
      <w:pPr>
        <w:spacing w:after="0" w:line="240" w:lineRule="auto"/>
      </w:pPr>
      <w:r>
        <w:separator/>
      </w:r>
    </w:p>
  </w:endnote>
  <w:endnote w:type="continuationSeparator" w:id="0">
    <w:p w14:paraId="1C8940BA" w14:textId="77777777" w:rsidR="008757C4" w:rsidRDefault="008757C4" w:rsidP="00212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ato-Light">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6EE9C" w14:textId="77777777" w:rsidR="00C355B4" w:rsidRDefault="00C355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3EF29" w14:textId="77777777" w:rsidR="00C355B4" w:rsidRDefault="00C355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586E4" w14:textId="77777777" w:rsidR="00C355B4" w:rsidRDefault="00C355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71046" w14:textId="77777777" w:rsidR="008757C4" w:rsidRDefault="008757C4" w:rsidP="0021273E">
      <w:pPr>
        <w:spacing w:after="0" w:line="240" w:lineRule="auto"/>
      </w:pPr>
      <w:r>
        <w:separator/>
      </w:r>
    </w:p>
  </w:footnote>
  <w:footnote w:type="continuationSeparator" w:id="0">
    <w:p w14:paraId="77CC3BD4" w14:textId="77777777" w:rsidR="008757C4" w:rsidRDefault="008757C4" w:rsidP="00212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151F5" w14:textId="77777777" w:rsidR="00C355B4" w:rsidRDefault="00C355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6080A" w14:textId="77777777" w:rsidR="0021273E" w:rsidRDefault="0021273E">
    <w:pPr>
      <w:pStyle w:val="Header"/>
    </w:pPr>
    <w:r>
      <w:rPr>
        <w:rFonts w:ascii="Arial" w:hAnsi="Arial" w:cs="Arial"/>
        <w:noProof/>
        <w:color w:val="00ADEF"/>
        <w:sz w:val="52"/>
        <w:szCs w:val="52"/>
      </w:rPr>
      <w:drawing>
        <wp:inline distT="0" distB="0" distL="0" distR="0" wp14:anchorId="14BEF2AC" wp14:editId="7C706980">
          <wp:extent cx="1798320" cy="590550"/>
          <wp:effectExtent l="0" t="0" r="0" b="0"/>
          <wp:docPr id="2" name="Picture 2" descr="Xenetic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enetic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2751" cy="592005"/>
                  </a:xfrm>
                  <a:prstGeom prst="rect">
                    <a:avLst/>
                  </a:prstGeom>
                  <a:noFill/>
                  <a:ln>
                    <a:noFill/>
                  </a:ln>
                </pic:spPr>
              </pic:pic>
            </a:graphicData>
          </a:graphic>
        </wp:inline>
      </w:drawing>
    </w:r>
  </w:p>
  <w:p w14:paraId="23DF4452" w14:textId="77777777" w:rsidR="0021273E" w:rsidRDefault="002127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F3381" w14:textId="77777777" w:rsidR="00C355B4" w:rsidRDefault="00C355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E13035"/>
    <w:multiLevelType w:val="hybridMultilevel"/>
    <w:tmpl w:val="24122AF6"/>
    <w:lvl w:ilvl="0" w:tplc="A970A8A8">
      <w:numFmt w:val="bullet"/>
      <w:lvlText w:val="-"/>
      <w:lvlJc w:val="left"/>
      <w:pPr>
        <w:ind w:left="720" w:hanging="360"/>
      </w:pPr>
      <w:rPr>
        <w:rFonts w:ascii="Calibri" w:eastAsia="Calibr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4162C"/>
    <w:multiLevelType w:val="hybridMultilevel"/>
    <w:tmpl w:val="0CB6E618"/>
    <w:lvl w:ilvl="0" w:tplc="E4D0859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62801"/>
    <w:multiLevelType w:val="hybridMultilevel"/>
    <w:tmpl w:val="FB9061DE"/>
    <w:lvl w:ilvl="0" w:tplc="B6CA037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152AE5"/>
    <w:multiLevelType w:val="hybridMultilevel"/>
    <w:tmpl w:val="BC8CB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A52EA3"/>
    <w:multiLevelType w:val="hybridMultilevel"/>
    <w:tmpl w:val="9F04CFB0"/>
    <w:lvl w:ilvl="0" w:tplc="A970A8A8">
      <w:numFmt w:val="bullet"/>
      <w:lvlText w:val="-"/>
      <w:lvlJc w:val="left"/>
      <w:pPr>
        <w:ind w:left="720" w:hanging="360"/>
      </w:pPr>
      <w:rPr>
        <w:rFonts w:ascii="Calibri" w:eastAsia="Calibr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903BF5"/>
    <w:multiLevelType w:val="hybridMultilevel"/>
    <w:tmpl w:val="59FA1E8E"/>
    <w:lvl w:ilvl="0" w:tplc="E03AB2B4">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1CE3434"/>
    <w:multiLevelType w:val="hybridMultilevel"/>
    <w:tmpl w:val="7F602114"/>
    <w:lvl w:ilvl="0" w:tplc="80DE526C">
      <w:numFmt w:val="bullet"/>
      <w:lvlText w:val="-"/>
      <w:lvlJc w:val="left"/>
      <w:pPr>
        <w:ind w:left="720" w:hanging="360"/>
      </w:pPr>
      <w:rPr>
        <w:rFonts w:ascii="Calibri" w:eastAsia="Calibr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972B9C"/>
    <w:multiLevelType w:val="hybridMultilevel"/>
    <w:tmpl w:val="17ECFDB8"/>
    <w:lvl w:ilvl="0" w:tplc="3E3C0F7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B84912"/>
    <w:multiLevelType w:val="hybridMultilevel"/>
    <w:tmpl w:val="F65E40B4"/>
    <w:lvl w:ilvl="0" w:tplc="1B143AD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A12208"/>
    <w:multiLevelType w:val="hybridMultilevel"/>
    <w:tmpl w:val="A04AAE6A"/>
    <w:lvl w:ilvl="0" w:tplc="C748899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755EFA"/>
    <w:multiLevelType w:val="hybridMultilevel"/>
    <w:tmpl w:val="9AA06940"/>
    <w:lvl w:ilvl="0" w:tplc="5AEEC28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E0140E"/>
    <w:multiLevelType w:val="hybridMultilevel"/>
    <w:tmpl w:val="1472D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F71127"/>
    <w:multiLevelType w:val="hybridMultilevel"/>
    <w:tmpl w:val="DC3A5632"/>
    <w:lvl w:ilvl="0" w:tplc="B4A8440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EE472A"/>
    <w:multiLevelType w:val="hybridMultilevel"/>
    <w:tmpl w:val="D11A8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CE83F0A"/>
    <w:multiLevelType w:val="hybridMultilevel"/>
    <w:tmpl w:val="40AEE7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6AB4DF4"/>
    <w:multiLevelType w:val="hybridMultilevel"/>
    <w:tmpl w:val="D5047F00"/>
    <w:lvl w:ilvl="0" w:tplc="ABEE44A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B36FA3"/>
    <w:multiLevelType w:val="hybridMultilevel"/>
    <w:tmpl w:val="27985A9C"/>
    <w:lvl w:ilvl="0" w:tplc="6102E8F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A40474"/>
    <w:multiLevelType w:val="hybridMultilevel"/>
    <w:tmpl w:val="968CDC40"/>
    <w:lvl w:ilvl="0" w:tplc="6C50BCCC">
      <w:numFmt w:val="bullet"/>
      <w:lvlText w:val="-"/>
      <w:lvlJc w:val="left"/>
      <w:pPr>
        <w:ind w:left="410" w:hanging="360"/>
      </w:pPr>
      <w:rPr>
        <w:rFonts w:ascii="Calibri" w:eastAsia="Calibr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num w:numId="1">
    <w:abstractNumId w:val="3"/>
  </w:num>
  <w:num w:numId="2">
    <w:abstractNumId w:val="9"/>
  </w:num>
  <w:num w:numId="3">
    <w:abstractNumId w:val="8"/>
  </w:num>
  <w:num w:numId="4">
    <w:abstractNumId w:val="5"/>
  </w:num>
  <w:num w:numId="5">
    <w:abstractNumId w:val="12"/>
  </w:num>
  <w:num w:numId="6">
    <w:abstractNumId w:val="15"/>
  </w:num>
  <w:num w:numId="7">
    <w:abstractNumId w:val="2"/>
  </w:num>
  <w:num w:numId="8">
    <w:abstractNumId w:val="7"/>
  </w:num>
  <w:num w:numId="9">
    <w:abstractNumId w:val="13"/>
  </w:num>
  <w:num w:numId="10">
    <w:abstractNumId w:val="6"/>
  </w:num>
  <w:num w:numId="11">
    <w:abstractNumId w:val="11"/>
  </w:num>
  <w:num w:numId="12">
    <w:abstractNumId w:val="17"/>
  </w:num>
  <w:num w:numId="13">
    <w:abstractNumId w:val="16"/>
  </w:num>
  <w:num w:numId="14">
    <w:abstractNumId w:val="14"/>
  </w:num>
  <w:num w:numId="15">
    <w:abstractNumId w:val="4"/>
  </w:num>
  <w:num w:numId="16">
    <w:abstractNumId w:val="0"/>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llPagesExceptFirst" w:val="True"/>
    <w:docVar w:name="DocIDClientMatter" w:val="False"/>
    <w:docVar w:name="DocIDType" w:val="AllPagesExceptFirst"/>
    <w:docVar w:name="LegacyDocIDRemoved" w:val="True"/>
  </w:docVars>
  <w:rsids>
    <w:rsidRoot w:val="0021273E"/>
    <w:rsid w:val="0000315B"/>
    <w:rsid w:val="000100B9"/>
    <w:rsid w:val="00013936"/>
    <w:rsid w:val="000163A7"/>
    <w:rsid w:val="00026808"/>
    <w:rsid w:val="00030793"/>
    <w:rsid w:val="00031119"/>
    <w:rsid w:val="000409D4"/>
    <w:rsid w:val="00040FCC"/>
    <w:rsid w:val="000431AF"/>
    <w:rsid w:val="00045244"/>
    <w:rsid w:val="00045B42"/>
    <w:rsid w:val="00046E69"/>
    <w:rsid w:val="00047073"/>
    <w:rsid w:val="000474EA"/>
    <w:rsid w:val="00050EC0"/>
    <w:rsid w:val="00051DEE"/>
    <w:rsid w:val="00053E61"/>
    <w:rsid w:val="0005606E"/>
    <w:rsid w:val="00056D43"/>
    <w:rsid w:val="00057C80"/>
    <w:rsid w:val="00071213"/>
    <w:rsid w:val="00083E9C"/>
    <w:rsid w:val="000929BD"/>
    <w:rsid w:val="000A7E15"/>
    <w:rsid w:val="000B62AA"/>
    <w:rsid w:val="000B7523"/>
    <w:rsid w:val="000C2217"/>
    <w:rsid w:val="000C5C67"/>
    <w:rsid w:val="000D17E7"/>
    <w:rsid w:val="000D1FB9"/>
    <w:rsid w:val="000D63BB"/>
    <w:rsid w:val="000D7E12"/>
    <w:rsid w:val="000E1202"/>
    <w:rsid w:val="000E32E9"/>
    <w:rsid w:val="000F22BF"/>
    <w:rsid w:val="000F4465"/>
    <w:rsid w:val="000F6259"/>
    <w:rsid w:val="000F7B0C"/>
    <w:rsid w:val="001014CD"/>
    <w:rsid w:val="00102423"/>
    <w:rsid w:val="00103D66"/>
    <w:rsid w:val="00106A45"/>
    <w:rsid w:val="00115766"/>
    <w:rsid w:val="0011686D"/>
    <w:rsid w:val="0013798C"/>
    <w:rsid w:val="00144F94"/>
    <w:rsid w:val="00145982"/>
    <w:rsid w:val="00150E32"/>
    <w:rsid w:val="00153869"/>
    <w:rsid w:val="00154CA7"/>
    <w:rsid w:val="00155965"/>
    <w:rsid w:val="001601B5"/>
    <w:rsid w:val="001601BE"/>
    <w:rsid w:val="001701B6"/>
    <w:rsid w:val="00174CE2"/>
    <w:rsid w:val="00175AA5"/>
    <w:rsid w:val="00181B9C"/>
    <w:rsid w:val="00190E04"/>
    <w:rsid w:val="00191922"/>
    <w:rsid w:val="00191B26"/>
    <w:rsid w:val="001922C5"/>
    <w:rsid w:val="00195BB3"/>
    <w:rsid w:val="00195ECA"/>
    <w:rsid w:val="001A27C7"/>
    <w:rsid w:val="001A3DC7"/>
    <w:rsid w:val="001B5FF4"/>
    <w:rsid w:val="001C05D1"/>
    <w:rsid w:val="001C0FFE"/>
    <w:rsid w:val="001C228E"/>
    <w:rsid w:val="001C522E"/>
    <w:rsid w:val="001D1B42"/>
    <w:rsid w:val="001D3365"/>
    <w:rsid w:val="001D6052"/>
    <w:rsid w:val="001D60B3"/>
    <w:rsid w:val="001D663D"/>
    <w:rsid w:val="001E2BCA"/>
    <w:rsid w:val="001E54C8"/>
    <w:rsid w:val="001E5E22"/>
    <w:rsid w:val="001E7AC6"/>
    <w:rsid w:val="001F2717"/>
    <w:rsid w:val="001F370A"/>
    <w:rsid w:val="001F377B"/>
    <w:rsid w:val="001F5CE5"/>
    <w:rsid w:val="001F6992"/>
    <w:rsid w:val="001F7DB8"/>
    <w:rsid w:val="00201204"/>
    <w:rsid w:val="00201E24"/>
    <w:rsid w:val="0020744D"/>
    <w:rsid w:val="002106F0"/>
    <w:rsid w:val="002113F7"/>
    <w:rsid w:val="0021273E"/>
    <w:rsid w:val="00222444"/>
    <w:rsid w:val="00231525"/>
    <w:rsid w:val="00233F69"/>
    <w:rsid w:val="00234157"/>
    <w:rsid w:val="00243037"/>
    <w:rsid w:val="0024487D"/>
    <w:rsid w:val="00244D70"/>
    <w:rsid w:val="0024764A"/>
    <w:rsid w:val="002610D3"/>
    <w:rsid w:val="00261F97"/>
    <w:rsid w:val="002635C4"/>
    <w:rsid w:val="002638F9"/>
    <w:rsid w:val="00263915"/>
    <w:rsid w:val="002723C3"/>
    <w:rsid w:val="00272A58"/>
    <w:rsid w:val="002736BD"/>
    <w:rsid w:val="00275255"/>
    <w:rsid w:val="0028171C"/>
    <w:rsid w:val="002858F8"/>
    <w:rsid w:val="00290CC9"/>
    <w:rsid w:val="002939A9"/>
    <w:rsid w:val="002A022C"/>
    <w:rsid w:val="002A2DA2"/>
    <w:rsid w:val="002A4A16"/>
    <w:rsid w:val="002A5E8A"/>
    <w:rsid w:val="002B0D1E"/>
    <w:rsid w:val="002B4A6F"/>
    <w:rsid w:val="002B5AA1"/>
    <w:rsid w:val="002B72F6"/>
    <w:rsid w:val="002C1584"/>
    <w:rsid w:val="002C4FE2"/>
    <w:rsid w:val="002C5157"/>
    <w:rsid w:val="002C59DA"/>
    <w:rsid w:val="002D3105"/>
    <w:rsid w:val="002D412E"/>
    <w:rsid w:val="002D4429"/>
    <w:rsid w:val="002D794C"/>
    <w:rsid w:val="002E0BC8"/>
    <w:rsid w:val="002E196A"/>
    <w:rsid w:val="002E212E"/>
    <w:rsid w:val="002E2218"/>
    <w:rsid w:val="002E2295"/>
    <w:rsid w:val="002E24D5"/>
    <w:rsid w:val="002E46DA"/>
    <w:rsid w:val="002E5979"/>
    <w:rsid w:val="002E79EB"/>
    <w:rsid w:val="002F0E0B"/>
    <w:rsid w:val="002F57B6"/>
    <w:rsid w:val="002F7D40"/>
    <w:rsid w:val="002F7F68"/>
    <w:rsid w:val="003006C7"/>
    <w:rsid w:val="0030518F"/>
    <w:rsid w:val="00305BC6"/>
    <w:rsid w:val="00313FAB"/>
    <w:rsid w:val="0031411C"/>
    <w:rsid w:val="00320F54"/>
    <w:rsid w:val="00321426"/>
    <w:rsid w:val="00326334"/>
    <w:rsid w:val="00327592"/>
    <w:rsid w:val="003304C7"/>
    <w:rsid w:val="003331C9"/>
    <w:rsid w:val="003366A9"/>
    <w:rsid w:val="00336773"/>
    <w:rsid w:val="0034055A"/>
    <w:rsid w:val="0034262C"/>
    <w:rsid w:val="003619B7"/>
    <w:rsid w:val="00371D01"/>
    <w:rsid w:val="0037225D"/>
    <w:rsid w:val="00375C65"/>
    <w:rsid w:val="00384843"/>
    <w:rsid w:val="00384F7F"/>
    <w:rsid w:val="00385984"/>
    <w:rsid w:val="00391F09"/>
    <w:rsid w:val="00392FCC"/>
    <w:rsid w:val="00396920"/>
    <w:rsid w:val="003A458E"/>
    <w:rsid w:val="003A4CF7"/>
    <w:rsid w:val="003A6817"/>
    <w:rsid w:val="003B25A0"/>
    <w:rsid w:val="003B29DB"/>
    <w:rsid w:val="003B308D"/>
    <w:rsid w:val="003C07F1"/>
    <w:rsid w:val="003C2403"/>
    <w:rsid w:val="003C34A1"/>
    <w:rsid w:val="003C39E0"/>
    <w:rsid w:val="003C4DAD"/>
    <w:rsid w:val="003D68F4"/>
    <w:rsid w:val="003D7F22"/>
    <w:rsid w:val="003E0437"/>
    <w:rsid w:val="003E333B"/>
    <w:rsid w:val="003E39DB"/>
    <w:rsid w:val="003F17BA"/>
    <w:rsid w:val="003F54C7"/>
    <w:rsid w:val="003F6830"/>
    <w:rsid w:val="0040077D"/>
    <w:rsid w:val="00405282"/>
    <w:rsid w:val="0040732F"/>
    <w:rsid w:val="0040769E"/>
    <w:rsid w:val="00415A27"/>
    <w:rsid w:val="00416D36"/>
    <w:rsid w:val="0042653D"/>
    <w:rsid w:val="00436079"/>
    <w:rsid w:val="00442D77"/>
    <w:rsid w:val="00442F7E"/>
    <w:rsid w:val="00452FB5"/>
    <w:rsid w:val="0045798A"/>
    <w:rsid w:val="00461493"/>
    <w:rsid w:val="00462E29"/>
    <w:rsid w:val="0046677B"/>
    <w:rsid w:val="004678AE"/>
    <w:rsid w:val="00470B8E"/>
    <w:rsid w:val="004736E2"/>
    <w:rsid w:val="00477749"/>
    <w:rsid w:val="004812BF"/>
    <w:rsid w:val="00485DE0"/>
    <w:rsid w:val="00491903"/>
    <w:rsid w:val="00493469"/>
    <w:rsid w:val="004A3650"/>
    <w:rsid w:val="004A6067"/>
    <w:rsid w:val="004B083F"/>
    <w:rsid w:val="004B1C3B"/>
    <w:rsid w:val="004B4210"/>
    <w:rsid w:val="004B49AF"/>
    <w:rsid w:val="004B7867"/>
    <w:rsid w:val="004C2AB8"/>
    <w:rsid w:val="004C4B10"/>
    <w:rsid w:val="004C4C33"/>
    <w:rsid w:val="004C64CF"/>
    <w:rsid w:val="004C7DD8"/>
    <w:rsid w:val="004D0C14"/>
    <w:rsid w:val="004D5E6A"/>
    <w:rsid w:val="004E2FD2"/>
    <w:rsid w:val="004E4350"/>
    <w:rsid w:val="004F7002"/>
    <w:rsid w:val="00502D17"/>
    <w:rsid w:val="00505C71"/>
    <w:rsid w:val="005115EC"/>
    <w:rsid w:val="0051566F"/>
    <w:rsid w:val="00521729"/>
    <w:rsid w:val="00522636"/>
    <w:rsid w:val="00526450"/>
    <w:rsid w:val="00535C9C"/>
    <w:rsid w:val="005436FC"/>
    <w:rsid w:val="005455C3"/>
    <w:rsid w:val="00547BC9"/>
    <w:rsid w:val="00551640"/>
    <w:rsid w:val="005559CA"/>
    <w:rsid w:val="00556A23"/>
    <w:rsid w:val="00561BC1"/>
    <w:rsid w:val="00561D77"/>
    <w:rsid w:val="0056295A"/>
    <w:rsid w:val="00563921"/>
    <w:rsid w:val="00565C3D"/>
    <w:rsid w:val="00582E16"/>
    <w:rsid w:val="005836C3"/>
    <w:rsid w:val="005843A5"/>
    <w:rsid w:val="005858B0"/>
    <w:rsid w:val="00591A4C"/>
    <w:rsid w:val="005A240F"/>
    <w:rsid w:val="005A6848"/>
    <w:rsid w:val="005B3119"/>
    <w:rsid w:val="005B3184"/>
    <w:rsid w:val="005C5D52"/>
    <w:rsid w:val="005C6E25"/>
    <w:rsid w:val="005D2AB2"/>
    <w:rsid w:val="005D539F"/>
    <w:rsid w:val="005E00B3"/>
    <w:rsid w:val="005E5E75"/>
    <w:rsid w:val="005E6780"/>
    <w:rsid w:val="005F6151"/>
    <w:rsid w:val="00600115"/>
    <w:rsid w:val="0060169B"/>
    <w:rsid w:val="006028FA"/>
    <w:rsid w:val="00604514"/>
    <w:rsid w:val="00604B7B"/>
    <w:rsid w:val="00607CB3"/>
    <w:rsid w:val="00610552"/>
    <w:rsid w:val="00617FC7"/>
    <w:rsid w:val="006225BB"/>
    <w:rsid w:val="00630782"/>
    <w:rsid w:val="00630D2C"/>
    <w:rsid w:val="0063487B"/>
    <w:rsid w:val="006466EB"/>
    <w:rsid w:val="00653CBF"/>
    <w:rsid w:val="00654509"/>
    <w:rsid w:val="0065515B"/>
    <w:rsid w:val="00656E29"/>
    <w:rsid w:val="00660AD6"/>
    <w:rsid w:val="0066166B"/>
    <w:rsid w:val="0067122F"/>
    <w:rsid w:val="0068068D"/>
    <w:rsid w:val="00681447"/>
    <w:rsid w:val="006854B9"/>
    <w:rsid w:val="00686389"/>
    <w:rsid w:val="006901A0"/>
    <w:rsid w:val="00692545"/>
    <w:rsid w:val="00692A6E"/>
    <w:rsid w:val="00696243"/>
    <w:rsid w:val="00697185"/>
    <w:rsid w:val="00697B2A"/>
    <w:rsid w:val="006A0448"/>
    <w:rsid w:val="006A3387"/>
    <w:rsid w:val="006A3537"/>
    <w:rsid w:val="006A6362"/>
    <w:rsid w:val="006B1EC1"/>
    <w:rsid w:val="006B4952"/>
    <w:rsid w:val="006B5FD0"/>
    <w:rsid w:val="006C2B68"/>
    <w:rsid w:val="006D528C"/>
    <w:rsid w:val="006E165B"/>
    <w:rsid w:val="006F2AE6"/>
    <w:rsid w:val="006F689C"/>
    <w:rsid w:val="007038CD"/>
    <w:rsid w:val="007118DD"/>
    <w:rsid w:val="0071473A"/>
    <w:rsid w:val="00716343"/>
    <w:rsid w:val="0071669F"/>
    <w:rsid w:val="0072178D"/>
    <w:rsid w:val="0073305E"/>
    <w:rsid w:val="00733DE7"/>
    <w:rsid w:val="00736D3A"/>
    <w:rsid w:val="00742ED3"/>
    <w:rsid w:val="00746E5D"/>
    <w:rsid w:val="007531A7"/>
    <w:rsid w:val="007560E5"/>
    <w:rsid w:val="0076124F"/>
    <w:rsid w:val="0076157E"/>
    <w:rsid w:val="00762EF2"/>
    <w:rsid w:val="00764A3D"/>
    <w:rsid w:val="00770752"/>
    <w:rsid w:val="00770F14"/>
    <w:rsid w:val="007729BC"/>
    <w:rsid w:val="00775343"/>
    <w:rsid w:val="00780756"/>
    <w:rsid w:val="00780C5D"/>
    <w:rsid w:val="00782866"/>
    <w:rsid w:val="00782A1B"/>
    <w:rsid w:val="007904F1"/>
    <w:rsid w:val="00792887"/>
    <w:rsid w:val="00792DC9"/>
    <w:rsid w:val="00793DC5"/>
    <w:rsid w:val="00794FC7"/>
    <w:rsid w:val="00796147"/>
    <w:rsid w:val="007A765E"/>
    <w:rsid w:val="007A7E59"/>
    <w:rsid w:val="007B2C6C"/>
    <w:rsid w:val="007B3D10"/>
    <w:rsid w:val="007B7F07"/>
    <w:rsid w:val="007C5711"/>
    <w:rsid w:val="007C71AF"/>
    <w:rsid w:val="007C7E3A"/>
    <w:rsid w:val="007D1EF2"/>
    <w:rsid w:val="007D3849"/>
    <w:rsid w:val="007D56AB"/>
    <w:rsid w:val="007E0EC6"/>
    <w:rsid w:val="007E28C6"/>
    <w:rsid w:val="007E4BD2"/>
    <w:rsid w:val="007F27DF"/>
    <w:rsid w:val="007F6422"/>
    <w:rsid w:val="007F68DD"/>
    <w:rsid w:val="007F749E"/>
    <w:rsid w:val="00800122"/>
    <w:rsid w:val="00800D24"/>
    <w:rsid w:val="008013CD"/>
    <w:rsid w:val="0080476F"/>
    <w:rsid w:val="00805247"/>
    <w:rsid w:val="00807706"/>
    <w:rsid w:val="00811B15"/>
    <w:rsid w:val="008171C8"/>
    <w:rsid w:val="00821414"/>
    <w:rsid w:val="00824A5F"/>
    <w:rsid w:val="00832C45"/>
    <w:rsid w:val="008330DA"/>
    <w:rsid w:val="0084098F"/>
    <w:rsid w:val="0084423B"/>
    <w:rsid w:val="0084582E"/>
    <w:rsid w:val="00846554"/>
    <w:rsid w:val="00846F2A"/>
    <w:rsid w:val="008506D6"/>
    <w:rsid w:val="0085128D"/>
    <w:rsid w:val="00851CF1"/>
    <w:rsid w:val="00853144"/>
    <w:rsid w:val="008545A9"/>
    <w:rsid w:val="00872FBE"/>
    <w:rsid w:val="00874A49"/>
    <w:rsid w:val="008757C4"/>
    <w:rsid w:val="00875BBB"/>
    <w:rsid w:val="00877EB3"/>
    <w:rsid w:val="008834D4"/>
    <w:rsid w:val="00891C53"/>
    <w:rsid w:val="00894CF3"/>
    <w:rsid w:val="00896F7A"/>
    <w:rsid w:val="008A0F00"/>
    <w:rsid w:val="008B053B"/>
    <w:rsid w:val="008B7778"/>
    <w:rsid w:val="008C32A7"/>
    <w:rsid w:val="008C5FAC"/>
    <w:rsid w:val="008D0C70"/>
    <w:rsid w:val="008D6226"/>
    <w:rsid w:val="008D773D"/>
    <w:rsid w:val="008E2974"/>
    <w:rsid w:val="008F44F5"/>
    <w:rsid w:val="00903B04"/>
    <w:rsid w:val="009067EC"/>
    <w:rsid w:val="00910D12"/>
    <w:rsid w:val="009123BA"/>
    <w:rsid w:val="009155E7"/>
    <w:rsid w:val="0091582B"/>
    <w:rsid w:val="00916933"/>
    <w:rsid w:val="00921211"/>
    <w:rsid w:val="0092388D"/>
    <w:rsid w:val="0093349F"/>
    <w:rsid w:val="00934160"/>
    <w:rsid w:val="0093782E"/>
    <w:rsid w:val="00941AAF"/>
    <w:rsid w:val="00941D24"/>
    <w:rsid w:val="0094260A"/>
    <w:rsid w:val="00947163"/>
    <w:rsid w:val="009505B0"/>
    <w:rsid w:val="00950D1E"/>
    <w:rsid w:val="009534B2"/>
    <w:rsid w:val="0095596D"/>
    <w:rsid w:val="00956AC9"/>
    <w:rsid w:val="009618A7"/>
    <w:rsid w:val="009628BD"/>
    <w:rsid w:val="00963286"/>
    <w:rsid w:val="009723AE"/>
    <w:rsid w:val="00975244"/>
    <w:rsid w:val="009752C4"/>
    <w:rsid w:val="009757AC"/>
    <w:rsid w:val="00975ED7"/>
    <w:rsid w:val="00976175"/>
    <w:rsid w:val="00977885"/>
    <w:rsid w:val="0098364D"/>
    <w:rsid w:val="0098663F"/>
    <w:rsid w:val="00987714"/>
    <w:rsid w:val="009953E4"/>
    <w:rsid w:val="009967D8"/>
    <w:rsid w:val="00996914"/>
    <w:rsid w:val="009A4B3C"/>
    <w:rsid w:val="009A5F77"/>
    <w:rsid w:val="009B0E0B"/>
    <w:rsid w:val="009B4B62"/>
    <w:rsid w:val="009B50EB"/>
    <w:rsid w:val="009C14E7"/>
    <w:rsid w:val="009C5551"/>
    <w:rsid w:val="009C6175"/>
    <w:rsid w:val="009D037A"/>
    <w:rsid w:val="009D5AF5"/>
    <w:rsid w:val="009E3EF4"/>
    <w:rsid w:val="009E57CC"/>
    <w:rsid w:val="009E63E6"/>
    <w:rsid w:val="009E734A"/>
    <w:rsid w:val="009F6313"/>
    <w:rsid w:val="009F6CF4"/>
    <w:rsid w:val="009F6FE1"/>
    <w:rsid w:val="00A03A9E"/>
    <w:rsid w:val="00A04CE7"/>
    <w:rsid w:val="00A137AA"/>
    <w:rsid w:val="00A15AE0"/>
    <w:rsid w:val="00A16497"/>
    <w:rsid w:val="00A16CE2"/>
    <w:rsid w:val="00A20578"/>
    <w:rsid w:val="00A22AFD"/>
    <w:rsid w:val="00A25A52"/>
    <w:rsid w:val="00A25E8B"/>
    <w:rsid w:val="00A2628E"/>
    <w:rsid w:val="00A30575"/>
    <w:rsid w:val="00A32009"/>
    <w:rsid w:val="00A35023"/>
    <w:rsid w:val="00A40A0D"/>
    <w:rsid w:val="00A4202D"/>
    <w:rsid w:val="00A42B53"/>
    <w:rsid w:val="00A44399"/>
    <w:rsid w:val="00A4683F"/>
    <w:rsid w:val="00A516BD"/>
    <w:rsid w:val="00A52146"/>
    <w:rsid w:val="00A52D60"/>
    <w:rsid w:val="00A613F9"/>
    <w:rsid w:val="00A62AD8"/>
    <w:rsid w:val="00A62D0B"/>
    <w:rsid w:val="00A65CFB"/>
    <w:rsid w:val="00A70A42"/>
    <w:rsid w:val="00A846A8"/>
    <w:rsid w:val="00A84A2F"/>
    <w:rsid w:val="00A862A4"/>
    <w:rsid w:val="00A95409"/>
    <w:rsid w:val="00A96582"/>
    <w:rsid w:val="00AA0AF2"/>
    <w:rsid w:val="00AA0E0B"/>
    <w:rsid w:val="00AA38F1"/>
    <w:rsid w:val="00AA4142"/>
    <w:rsid w:val="00AA7F09"/>
    <w:rsid w:val="00AB074A"/>
    <w:rsid w:val="00AB5C60"/>
    <w:rsid w:val="00AC120B"/>
    <w:rsid w:val="00AC1B48"/>
    <w:rsid w:val="00AC4558"/>
    <w:rsid w:val="00AD17DE"/>
    <w:rsid w:val="00AD2834"/>
    <w:rsid w:val="00AD5533"/>
    <w:rsid w:val="00AE4006"/>
    <w:rsid w:val="00AE5197"/>
    <w:rsid w:val="00AF7601"/>
    <w:rsid w:val="00B111A3"/>
    <w:rsid w:val="00B144E1"/>
    <w:rsid w:val="00B16EA2"/>
    <w:rsid w:val="00B20179"/>
    <w:rsid w:val="00B21B7A"/>
    <w:rsid w:val="00B274BE"/>
    <w:rsid w:val="00B31AC8"/>
    <w:rsid w:val="00B3287D"/>
    <w:rsid w:val="00B362D1"/>
    <w:rsid w:val="00B36839"/>
    <w:rsid w:val="00B4070F"/>
    <w:rsid w:val="00B44DAB"/>
    <w:rsid w:val="00B502C4"/>
    <w:rsid w:val="00B56F20"/>
    <w:rsid w:val="00B63F30"/>
    <w:rsid w:val="00B72A47"/>
    <w:rsid w:val="00B7372C"/>
    <w:rsid w:val="00B819FA"/>
    <w:rsid w:val="00B82807"/>
    <w:rsid w:val="00B83668"/>
    <w:rsid w:val="00B84817"/>
    <w:rsid w:val="00B95624"/>
    <w:rsid w:val="00B96B08"/>
    <w:rsid w:val="00B9796D"/>
    <w:rsid w:val="00BA0B6C"/>
    <w:rsid w:val="00BA1EAD"/>
    <w:rsid w:val="00BA4FDB"/>
    <w:rsid w:val="00BA6FFD"/>
    <w:rsid w:val="00BB26DF"/>
    <w:rsid w:val="00BB45EA"/>
    <w:rsid w:val="00BB7FE2"/>
    <w:rsid w:val="00BD403C"/>
    <w:rsid w:val="00BD5173"/>
    <w:rsid w:val="00BE1474"/>
    <w:rsid w:val="00BE7CA5"/>
    <w:rsid w:val="00BF09E3"/>
    <w:rsid w:val="00BF3F11"/>
    <w:rsid w:val="00C0108A"/>
    <w:rsid w:val="00C04E5A"/>
    <w:rsid w:val="00C118AF"/>
    <w:rsid w:val="00C2031A"/>
    <w:rsid w:val="00C22D0F"/>
    <w:rsid w:val="00C25ACB"/>
    <w:rsid w:val="00C277DC"/>
    <w:rsid w:val="00C27B1E"/>
    <w:rsid w:val="00C33221"/>
    <w:rsid w:val="00C355B4"/>
    <w:rsid w:val="00C3636B"/>
    <w:rsid w:val="00C36F1A"/>
    <w:rsid w:val="00C44061"/>
    <w:rsid w:val="00C51320"/>
    <w:rsid w:val="00C53634"/>
    <w:rsid w:val="00C53E7E"/>
    <w:rsid w:val="00C53F0A"/>
    <w:rsid w:val="00C61EE6"/>
    <w:rsid w:val="00C7651E"/>
    <w:rsid w:val="00C8043E"/>
    <w:rsid w:val="00C806BF"/>
    <w:rsid w:val="00C808FF"/>
    <w:rsid w:val="00C81341"/>
    <w:rsid w:val="00C818C0"/>
    <w:rsid w:val="00C86CE3"/>
    <w:rsid w:val="00C93342"/>
    <w:rsid w:val="00C93573"/>
    <w:rsid w:val="00C93E55"/>
    <w:rsid w:val="00CA33DD"/>
    <w:rsid w:val="00CA76DE"/>
    <w:rsid w:val="00CB0BE8"/>
    <w:rsid w:val="00CB2A37"/>
    <w:rsid w:val="00CB5668"/>
    <w:rsid w:val="00CB5F0B"/>
    <w:rsid w:val="00CB64BD"/>
    <w:rsid w:val="00CB6E89"/>
    <w:rsid w:val="00CB771A"/>
    <w:rsid w:val="00CC0278"/>
    <w:rsid w:val="00CC7480"/>
    <w:rsid w:val="00CD31A2"/>
    <w:rsid w:val="00CD4497"/>
    <w:rsid w:val="00CD464C"/>
    <w:rsid w:val="00CD5712"/>
    <w:rsid w:val="00CD5C78"/>
    <w:rsid w:val="00CE18B6"/>
    <w:rsid w:val="00CE269C"/>
    <w:rsid w:val="00CE2FB7"/>
    <w:rsid w:val="00CE5D35"/>
    <w:rsid w:val="00CF27B7"/>
    <w:rsid w:val="00CF33D1"/>
    <w:rsid w:val="00CF4F58"/>
    <w:rsid w:val="00CF6F21"/>
    <w:rsid w:val="00CF7F4F"/>
    <w:rsid w:val="00D0105C"/>
    <w:rsid w:val="00D04F9D"/>
    <w:rsid w:val="00D0514B"/>
    <w:rsid w:val="00D05FC7"/>
    <w:rsid w:val="00D065BA"/>
    <w:rsid w:val="00D10F01"/>
    <w:rsid w:val="00D13424"/>
    <w:rsid w:val="00D202CA"/>
    <w:rsid w:val="00D22291"/>
    <w:rsid w:val="00D30E05"/>
    <w:rsid w:val="00D374CA"/>
    <w:rsid w:val="00D412B4"/>
    <w:rsid w:val="00D43E2B"/>
    <w:rsid w:val="00D4448F"/>
    <w:rsid w:val="00D46798"/>
    <w:rsid w:val="00D55900"/>
    <w:rsid w:val="00D574B8"/>
    <w:rsid w:val="00D60C9A"/>
    <w:rsid w:val="00D60FD8"/>
    <w:rsid w:val="00D65CBA"/>
    <w:rsid w:val="00D66A31"/>
    <w:rsid w:val="00D6763F"/>
    <w:rsid w:val="00D67779"/>
    <w:rsid w:val="00D72356"/>
    <w:rsid w:val="00D727DA"/>
    <w:rsid w:val="00D7608C"/>
    <w:rsid w:val="00D8183D"/>
    <w:rsid w:val="00D906A2"/>
    <w:rsid w:val="00D93248"/>
    <w:rsid w:val="00DA313A"/>
    <w:rsid w:val="00DA3C8D"/>
    <w:rsid w:val="00DA4C18"/>
    <w:rsid w:val="00DA544A"/>
    <w:rsid w:val="00DA7D4F"/>
    <w:rsid w:val="00DB0A1B"/>
    <w:rsid w:val="00DB6E72"/>
    <w:rsid w:val="00DD00F9"/>
    <w:rsid w:val="00DD0213"/>
    <w:rsid w:val="00DD2A5E"/>
    <w:rsid w:val="00DD336D"/>
    <w:rsid w:val="00DD3F9A"/>
    <w:rsid w:val="00DE3DB1"/>
    <w:rsid w:val="00DE64CA"/>
    <w:rsid w:val="00DE7B90"/>
    <w:rsid w:val="00DF2B9D"/>
    <w:rsid w:val="00E07833"/>
    <w:rsid w:val="00E1238A"/>
    <w:rsid w:val="00E15BA2"/>
    <w:rsid w:val="00E23D37"/>
    <w:rsid w:val="00E26879"/>
    <w:rsid w:val="00E30E06"/>
    <w:rsid w:val="00E31CB6"/>
    <w:rsid w:val="00E339CA"/>
    <w:rsid w:val="00E36266"/>
    <w:rsid w:val="00E36D65"/>
    <w:rsid w:val="00E37640"/>
    <w:rsid w:val="00E46DC6"/>
    <w:rsid w:val="00E46EAE"/>
    <w:rsid w:val="00E54452"/>
    <w:rsid w:val="00E57A59"/>
    <w:rsid w:val="00E606D2"/>
    <w:rsid w:val="00E613C8"/>
    <w:rsid w:val="00E619CC"/>
    <w:rsid w:val="00E61B17"/>
    <w:rsid w:val="00E6500E"/>
    <w:rsid w:val="00E65D42"/>
    <w:rsid w:val="00E66F86"/>
    <w:rsid w:val="00E72264"/>
    <w:rsid w:val="00E757EA"/>
    <w:rsid w:val="00E86616"/>
    <w:rsid w:val="00E86D8C"/>
    <w:rsid w:val="00E903A6"/>
    <w:rsid w:val="00E9170A"/>
    <w:rsid w:val="00E91720"/>
    <w:rsid w:val="00E957D4"/>
    <w:rsid w:val="00E96CFE"/>
    <w:rsid w:val="00EA317C"/>
    <w:rsid w:val="00EA3916"/>
    <w:rsid w:val="00EA3C1E"/>
    <w:rsid w:val="00EA6A40"/>
    <w:rsid w:val="00EB1415"/>
    <w:rsid w:val="00EB192B"/>
    <w:rsid w:val="00EB39A2"/>
    <w:rsid w:val="00EB553C"/>
    <w:rsid w:val="00EB6E26"/>
    <w:rsid w:val="00EB7C18"/>
    <w:rsid w:val="00EC2AA9"/>
    <w:rsid w:val="00ED17F1"/>
    <w:rsid w:val="00ED1E80"/>
    <w:rsid w:val="00ED2A56"/>
    <w:rsid w:val="00ED50C6"/>
    <w:rsid w:val="00ED6BAF"/>
    <w:rsid w:val="00ED7138"/>
    <w:rsid w:val="00ED722B"/>
    <w:rsid w:val="00EE4B7C"/>
    <w:rsid w:val="00EE7C0D"/>
    <w:rsid w:val="00EF3827"/>
    <w:rsid w:val="00EF7941"/>
    <w:rsid w:val="00F0069B"/>
    <w:rsid w:val="00F00B13"/>
    <w:rsid w:val="00F018D4"/>
    <w:rsid w:val="00F03D83"/>
    <w:rsid w:val="00F0503F"/>
    <w:rsid w:val="00F06731"/>
    <w:rsid w:val="00F12867"/>
    <w:rsid w:val="00F14393"/>
    <w:rsid w:val="00F15768"/>
    <w:rsid w:val="00F17F9E"/>
    <w:rsid w:val="00F203CC"/>
    <w:rsid w:val="00F2046E"/>
    <w:rsid w:val="00F27BD0"/>
    <w:rsid w:val="00F30679"/>
    <w:rsid w:val="00F30800"/>
    <w:rsid w:val="00F34A3A"/>
    <w:rsid w:val="00F3577B"/>
    <w:rsid w:val="00F43368"/>
    <w:rsid w:val="00F46D70"/>
    <w:rsid w:val="00F50956"/>
    <w:rsid w:val="00F55CAD"/>
    <w:rsid w:val="00F6024F"/>
    <w:rsid w:val="00F603DA"/>
    <w:rsid w:val="00F62F1F"/>
    <w:rsid w:val="00F64265"/>
    <w:rsid w:val="00F75AD2"/>
    <w:rsid w:val="00F77BE9"/>
    <w:rsid w:val="00F806E5"/>
    <w:rsid w:val="00F8185E"/>
    <w:rsid w:val="00F84835"/>
    <w:rsid w:val="00F86B7D"/>
    <w:rsid w:val="00F874E7"/>
    <w:rsid w:val="00F91F96"/>
    <w:rsid w:val="00F9362F"/>
    <w:rsid w:val="00F94258"/>
    <w:rsid w:val="00F94269"/>
    <w:rsid w:val="00FA39CB"/>
    <w:rsid w:val="00FA4D12"/>
    <w:rsid w:val="00FB0569"/>
    <w:rsid w:val="00FB1316"/>
    <w:rsid w:val="00FB518D"/>
    <w:rsid w:val="00FC2EE6"/>
    <w:rsid w:val="00FC4717"/>
    <w:rsid w:val="00FD34BC"/>
    <w:rsid w:val="00FF7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B7ADD"/>
  <w15:chartTrackingRefBased/>
  <w15:docId w15:val="{D51DDFAB-0A5E-4B41-B0C4-D2F2F5EA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73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7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73E"/>
  </w:style>
  <w:style w:type="paragraph" w:styleId="Footer">
    <w:name w:val="footer"/>
    <w:basedOn w:val="Normal"/>
    <w:link w:val="FooterChar"/>
    <w:uiPriority w:val="99"/>
    <w:unhideWhenUsed/>
    <w:rsid w:val="002127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73E"/>
  </w:style>
  <w:style w:type="character" w:styleId="Hyperlink">
    <w:name w:val="Hyperlink"/>
    <w:unhideWhenUsed/>
    <w:rsid w:val="0021273E"/>
    <w:rPr>
      <w:color w:val="0000FF"/>
      <w:u w:val="single"/>
    </w:rPr>
  </w:style>
  <w:style w:type="paragraph" w:styleId="NormalWeb">
    <w:name w:val="Normal (Web)"/>
    <w:basedOn w:val="Normal"/>
    <w:uiPriority w:val="99"/>
    <w:unhideWhenUsed/>
    <w:rsid w:val="0021273E"/>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link w:val="ListParagraphChar"/>
    <w:uiPriority w:val="34"/>
    <w:qFormat/>
    <w:rsid w:val="0021273E"/>
    <w:pPr>
      <w:ind w:left="720"/>
      <w:contextualSpacing/>
    </w:pPr>
  </w:style>
  <w:style w:type="paragraph" w:styleId="FootnoteText">
    <w:name w:val="footnote text"/>
    <w:basedOn w:val="Normal"/>
    <w:link w:val="FootnoteTextChar"/>
    <w:uiPriority w:val="99"/>
    <w:semiHidden/>
    <w:unhideWhenUsed/>
    <w:rsid w:val="002127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273E"/>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1273E"/>
    <w:rPr>
      <w:vertAlign w:val="superscript"/>
    </w:rPr>
  </w:style>
  <w:style w:type="paragraph" w:styleId="BalloonText">
    <w:name w:val="Balloon Text"/>
    <w:basedOn w:val="Normal"/>
    <w:link w:val="BalloonTextChar"/>
    <w:uiPriority w:val="99"/>
    <w:semiHidden/>
    <w:unhideWhenUsed/>
    <w:rsid w:val="00535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C9C"/>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F7DB8"/>
    <w:rPr>
      <w:sz w:val="16"/>
      <w:szCs w:val="16"/>
    </w:rPr>
  </w:style>
  <w:style w:type="paragraph" w:styleId="CommentText">
    <w:name w:val="annotation text"/>
    <w:basedOn w:val="Normal"/>
    <w:link w:val="CommentTextChar"/>
    <w:uiPriority w:val="99"/>
    <w:semiHidden/>
    <w:unhideWhenUsed/>
    <w:rsid w:val="001F7DB8"/>
    <w:pPr>
      <w:spacing w:line="240" w:lineRule="auto"/>
    </w:pPr>
    <w:rPr>
      <w:sz w:val="20"/>
      <w:szCs w:val="20"/>
    </w:rPr>
  </w:style>
  <w:style w:type="character" w:customStyle="1" w:styleId="CommentTextChar">
    <w:name w:val="Comment Text Char"/>
    <w:basedOn w:val="DefaultParagraphFont"/>
    <w:link w:val="CommentText"/>
    <w:uiPriority w:val="99"/>
    <w:semiHidden/>
    <w:rsid w:val="001F7DB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F7DB8"/>
    <w:rPr>
      <w:b/>
      <w:bCs/>
    </w:rPr>
  </w:style>
  <w:style w:type="character" w:customStyle="1" w:styleId="CommentSubjectChar">
    <w:name w:val="Comment Subject Char"/>
    <w:basedOn w:val="CommentTextChar"/>
    <w:link w:val="CommentSubject"/>
    <w:uiPriority w:val="99"/>
    <w:semiHidden/>
    <w:rsid w:val="001F7DB8"/>
    <w:rPr>
      <w:rFonts w:ascii="Calibri" w:eastAsia="Calibri" w:hAnsi="Calibri" w:cs="Times New Roman"/>
      <w:b/>
      <w:bCs/>
      <w:sz w:val="20"/>
      <w:szCs w:val="20"/>
    </w:rPr>
  </w:style>
  <w:style w:type="character" w:customStyle="1" w:styleId="DocID">
    <w:name w:val="DocID"/>
    <w:basedOn w:val="DefaultParagraphFont"/>
    <w:rsid w:val="00551640"/>
    <w:rPr>
      <w:rFonts w:ascii="Times New Roman" w:hAnsi="Times New Roman" w:cs="Times New Roman"/>
      <w:b w:val="0"/>
      <w:bCs/>
      <w:i w:val="0"/>
      <w:caps w:val="0"/>
      <w:vanish w:val="0"/>
      <w:color w:val="000000"/>
      <w:sz w:val="18"/>
      <w:u w:val="none"/>
    </w:rPr>
  </w:style>
  <w:style w:type="character" w:customStyle="1" w:styleId="ListParagraphChar">
    <w:name w:val="List Paragraph Char"/>
    <w:basedOn w:val="DefaultParagraphFont"/>
    <w:link w:val="ListParagraph"/>
    <w:uiPriority w:val="34"/>
    <w:rsid w:val="008171C8"/>
    <w:rPr>
      <w:rFonts w:ascii="Calibri" w:eastAsia="Calibri" w:hAnsi="Calibri" w:cs="Times New Roman"/>
    </w:rPr>
  </w:style>
  <w:style w:type="character" w:customStyle="1" w:styleId="UnresolvedMention1">
    <w:name w:val="Unresolved Mention1"/>
    <w:basedOn w:val="DefaultParagraphFont"/>
    <w:uiPriority w:val="99"/>
    <w:semiHidden/>
    <w:unhideWhenUsed/>
    <w:rsid w:val="008E2974"/>
    <w:rPr>
      <w:color w:val="605E5C"/>
      <w:shd w:val="clear" w:color="auto" w:fill="E1DFDD"/>
    </w:rPr>
  </w:style>
  <w:style w:type="paragraph" w:styleId="Revision">
    <w:name w:val="Revision"/>
    <w:hidden/>
    <w:uiPriority w:val="99"/>
    <w:semiHidden/>
    <w:rsid w:val="00222444"/>
    <w:pPr>
      <w:spacing w:after="0" w:line="240" w:lineRule="auto"/>
    </w:pPr>
    <w:rPr>
      <w:rFonts w:ascii="Calibri" w:eastAsia="Calibri" w:hAnsi="Calibri" w:cs="Times New Roman"/>
    </w:rPr>
  </w:style>
  <w:style w:type="character" w:customStyle="1" w:styleId="css-901oao">
    <w:name w:val="css-901oao"/>
    <w:basedOn w:val="DefaultParagraphFont"/>
    <w:rsid w:val="00234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2102113">
      <w:bodyDiv w:val="1"/>
      <w:marLeft w:val="0"/>
      <w:marRight w:val="0"/>
      <w:marTop w:val="0"/>
      <w:marBottom w:val="0"/>
      <w:divBdr>
        <w:top w:val="none" w:sz="0" w:space="0" w:color="auto"/>
        <w:left w:val="none" w:sz="0" w:space="0" w:color="auto"/>
        <w:bottom w:val="none" w:sz="0" w:space="0" w:color="auto"/>
        <w:right w:val="none" w:sz="0" w:space="0" w:color="auto"/>
      </w:divBdr>
    </w:div>
    <w:div w:id="1829054908">
      <w:bodyDiv w:val="1"/>
      <w:marLeft w:val="0"/>
      <w:marRight w:val="0"/>
      <w:marTop w:val="0"/>
      <w:marBottom w:val="0"/>
      <w:divBdr>
        <w:top w:val="none" w:sz="0" w:space="0" w:color="auto"/>
        <w:left w:val="none" w:sz="0" w:space="0" w:color="auto"/>
        <w:bottom w:val="none" w:sz="0" w:space="0" w:color="auto"/>
        <w:right w:val="none" w:sz="0" w:space="0" w:color="auto"/>
      </w:divBdr>
      <w:divsChild>
        <w:div w:id="539980300">
          <w:marLeft w:val="0"/>
          <w:marRight w:val="0"/>
          <w:marTop w:val="0"/>
          <w:marBottom w:val="0"/>
          <w:divBdr>
            <w:top w:val="none" w:sz="0" w:space="0" w:color="auto"/>
            <w:left w:val="none" w:sz="0" w:space="0" w:color="auto"/>
            <w:bottom w:val="none" w:sz="0" w:space="0" w:color="auto"/>
            <w:right w:val="none" w:sz="0" w:space="0" w:color="auto"/>
          </w:divBdr>
          <w:divsChild>
            <w:div w:id="1335494874">
              <w:marLeft w:val="0"/>
              <w:marRight w:val="0"/>
              <w:marTop w:val="0"/>
              <w:marBottom w:val="0"/>
              <w:divBdr>
                <w:top w:val="none" w:sz="0" w:space="0" w:color="auto"/>
                <w:left w:val="none" w:sz="0" w:space="0" w:color="auto"/>
                <w:bottom w:val="none" w:sz="0" w:space="0" w:color="auto"/>
                <w:right w:val="none" w:sz="0" w:space="0" w:color="auto"/>
              </w:divBdr>
              <w:divsChild>
                <w:div w:id="2062096071">
                  <w:marLeft w:val="0"/>
                  <w:marRight w:val="0"/>
                  <w:marTop w:val="0"/>
                  <w:marBottom w:val="0"/>
                  <w:divBdr>
                    <w:top w:val="none" w:sz="0" w:space="0" w:color="auto"/>
                    <w:left w:val="none" w:sz="0" w:space="0" w:color="auto"/>
                    <w:bottom w:val="none" w:sz="0" w:space="0" w:color="auto"/>
                    <w:right w:val="none" w:sz="0" w:space="0" w:color="auto"/>
                  </w:divBdr>
                  <w:divsChild>
                    <w:div w:id="651063654">
                      <w:marLeft w:val="0"/>
                      <w:marRight w:val="0"/>
                      <w:marTop w:val="0"/>
                      <w:marBottom w:val="0"/>
                      <w:divBdr>
                        <w:top w:val="none" w:sz="0" w:space="0" w:color="auto"/>
                        <w:left w:val="none" w:sz="0" w:space="0" w:color="auto"/>
                        <w:bottom w:val="none" w:sz="0" w:space="0" w:color="auto"/>
                        <w:right w:val="none" w:sz="0" w:space="0" w:color="auto"/>
                      </w:divBdr>
                      <w:divsChild>
                        <w:div w:id="11130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inkedin.com/company/10102456"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twitter.com/XeneticBi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xeneticbio.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xeneticbio.com/about/management-tea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xeneticbio.sites.equisolve.com/" TargetMode="External"/><Relationship Id="rId14" Type="http://schemas.openxmlformats.org/officeDocument/2006/relationships/hyperlink" Target="https://www.facebook.com/xeneticbio/"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gif"/><Relationship Id="rId1" Type="http://schemas.openxmlformats.org/officeDocument/2006/relationships/hyperlink" Target="http://www.xeneticbio.com/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 A C T I V E ! 8 0 3 1 8 9 9 5 . 2 < / d o c u m e n t i d >  
     < s e n d e r i d > C C G I L E S < / s e n d e r i d >  
     < s e n d e r e m a i l > C A I T L I N . S I M K I N S @ H K L A W . C O M < / s e n d e r e m a i l >  
     < l a s t m o d i f i e d > 2 0 2 0 - 1 1 - 1 2 T 1 0 : 3 1 : 0 0 . 0 0 0 0 0 0 0 - 0 5 : 0 0 < / l a s t m o d i f i e d >  
     < d a t a b a s e > A C T I V E < / 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BA7D8-39E5-4A15-BA33-17848BBFC26F}">
  <ds:schemaRefs>
    <ds:schemaRef ds:uri="http://www.imanage.com/work/xmlschema"/>
  </ds:schemaRefs>
</ds:datastoreItem>
</file>

<file path=customXml/itemProps2.xml><?xml version="1.0" encoding="utf-8"?>
<ds:datastoreItem xmlns:ds="http://schemas.openxmlformats.org/officeDocument/2006/customXml" ds:itemID="{9D695C28-6C86-4EBC-95C4-1C011B9F2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1481</Words>
  <Characters>8446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Crawford</dc:creator>
  <cp:keywords/>
  <dc:description/>
  <cp:lastModifiedBy>Jenene Thomas</cp:lastModifiedBy>
  <cp:revision>2</cp:revision>
  <cp:lastPrinted>2020-11-12T19:14:00Z</cp:lastPrinted>
  <dcterms:created xsi:type="dcterms:W3CDTF">2020-12-09T00:20:00Z</dcterms:created>
  <dcterms:modified xsi:type="dcterms:W3CDTF">2020-12-09T00:20:00Z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ber">
    <vt:lpwstr>80318995</vt:lpwstr>
  </property>
  <property fmtid="{D5CDD505-2E9C-101B-9397-08002B2CF9AE}" pid="3" name="DocumentVersion">
    <vt:lpwstr>2</vt:lpwstr>
  </property>
  <property fmtid="{D5CDD505-2E9C-101B-9397-08002B2CF9AE}" pid="4" name="ClientNumber">
    <vt:lpwstr>156312</vt:lpwstr>
  </property>
  <property fmtid="{D5CDD505-2E9C-101B-9397-08002B2CF9AE}" pid="5" name="MatterNumber">
    <vt:lpwstr>00002</vt:lpwstr>
  </property>
  <property fmtid="{D5CDD505-2E9C-101B-9397-08002B2CF9AE}" pid="6" name="ClientName">
    <vt:lpwstr>Xenetic Biosciences, Inc.</vt:lpwstr>
  </property>
  <property fmtid="{D5CDD505-2E9C-101B-9397-08002B2CF9AE}" pid="7" name="MatterName">
    <vt:lpwstr>SEC Reporting</vt:lpwstr>
  </property>
  <property fmtid="{D5CDD505-2E9C-101B-9397-08002B2CF9AE}" pid="8" name="DatabaseName">
    <vt:lpwstr>ACTIVE</vt:lpwstr>
  </property>
  <property fmtid="{D5CDD505-2E9C-101B-9397-08002B2CF9AE}" pid="9" name="TypistName">
    <vt:lpwstr>CCGILES</vt:lpwstr>
  </property>
  <property fmtid="{D5CDD505-2E9C-101B-9397-08002B2CF9AE}" pid="10" name="AuthorName">
    <vt:lpwstr>CCGILES</vt:lpwstr>
  </property>
  <property fmtid="{D5CDD505-2E9C-101B-9397-08002B2CF9AE}" pid="11" name="InUseBy">
    <vt:lpwstr/>
  </property>
  <property fmtid="{D5CDD505-2E9C-101B-9397-08002B2CF9AE}" pid="12" name="EditDate">
    <vt:lpwstr>11/10/2020 2:36:54 PM</vt:lpwstr>
  </property>
  <property fmtid="{D5CDD505-2E9C-101B-9397-08002B2CF9AE}" pid="13" name="EditTime">
    <vt:lpwstr/>
  </property>
  <property fmtid="{D5CDD505-2E9C-101B-9397-08002B2CF9AE}" pid="14" name="IsiManageWork">
    <vt:lpwstr>True</vt:lpwstr>
  </property>
</Properties>
</file>