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app0.xml" ContentType="application/vnd.openxmlformats-officedocument.extended-properties+xml"/>
</Types>
</file>

<file path=_rels/.rels><?xml version="1.0" encoding="UTF-8" standalone="yes"?>
<Relationships xmlns="http://schemas.openxmlformats.org/package/2006/relationships"><Relationship Id="d68fee8e1" Type="http://schemas.openxmlformats.org/officeDocument/2006/extended-properties" Target="docProps/app0.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2E975" w14:textId="77777777" w:rsidR="00DB364C" w:rsidRDefault="00DB364C">
      <w:pPr>
        <w:spacing w:after="140"/>
        <w:jc w:val="right"/>
        <w:rPr>
          <w:rFonts w:ascii="Arial" w:eastAsia="Arial" w:hAnsi="Arial" w:cs="Arial"/>
          <w:b/>
          <w:sz w:val="18"/>
        </w:rPr>
      </w:pPr>
      <w:bookmarkStart w:id="0" w:name="Press_Release"/>
      <w:bookmarkEnd w:id="0"/>
    </w:p>
    <w:tbl>
      <w:tblPr>
        <w:tblW w:w="10760" w:type="dxa"/>
        <w:tblInd w:w="60" w:type="dxa"/>
        <w:tblLayout w:type="fixed"/>
        <w:tblCellMar>
          <w:left w:w="10" w:type="dxa"/>
          <w:right w:w="10" w:type="dxa"/>
        </w:tblCellMar>
        <w:tblLook w:val="04A0" w:firstRow="1" w:lastRow="0" w:firstColumn="1" w:lastColumn="0" w:noHBand="0" w:noVBand="1"/>
      </w:tblPr>
      <w:tblGrid>
        <w:gridCol w:w="3960"/>
        <w:gridCol w:w="280"/>
        <w:gridCol w:w="3160"/>
        <w:gridCol w:w="280"/>
        <w:gridCol w:w="3080"/>
      </w:tblGrid>
      <w:tr w:rsidR="00DB364C" w14:paraId="05BB1C84" w14:textId="77777777" w:rsidTr="425B8586">
        <w:trPr>
          <w:trHeight w:hRule="exact" w:val="300"/>
        </w:trPr>
        <w:tc>
          <w:tcPr>
            <w:tcW w:w="3960" w:type="dxa"/>
            <w:tcMar>
              <w:left w:w="60" w:type="dxa"/>
              <w:right w:w="0" w:type="dxa"/>
            </w:tcMar>
            <w:vAlign w:val="bottom"/>
          </w:tcPr>
          <w:p w14:paraId="48C31009" w14:textId="77777777" w:rsidR="00DB364C" w:rsidRDefault="00DB364C">
            <w:pPr>
              <w:keepNext/>
              <w:keepLines/>
              <w:spacing w:before="40" w:after="40"/>
            </w:pPr>
          </w:p>
        </w:tc>
        <w:tc>
          <w:tcPr>
            <w:tcW w:w="280" w:type="dxa"/>
            <w:tcMar>
              <w:left w:w="60" w:type="dxa"/>
              <w:right w:w="0" w:type="dxa"/>
            </w:tcMar>
            <w:vAlign w:val="bottom"/>
          </w:tcPr>
          <w:p w14:paraId="7E4AFDA3" w14:textId="77777777" w:rsidR="00DB364C" w:rsidRDefault="00DB364C">
            <w:pPr>
              <w:keepNext/>
              <w:keepLines/>
              <w:spacing w:before="40" w:after="40"/>
            </w:pPr>
          </w:p>
        </w:tc>
        <w:tc>
          <w:tcPr>
            <w:tcW w:w="3160" w:type="dxa"/>
            <w:tcMar>
              <w:left w:w="60" w:type="dxa"/>
              <w:right w:w="0" w:type="dxa"/>
            </w:tcMar>
            <w:vAlign w:val="bottom"/>
          </w:tcPr>
          <w:p w14:paraId="1DF14449" w14:textId="77777777" w:rsidR="00DB364C" w:rsidRDefault="00DB364C">
            <w:pPr>
              <w:keepNext/>
              <w:keepLines/>
              <w:spacing w:before="40" w:after="40"/>
            </w:pPr>
          </w:p>
        </w:tc>
        <w:tc>
          <w:tcPr>
            <w:tcW w:w="280" w:type="dxa"/>
            <w:tcMar>
              <w:left w:w="60" w:type="dxa"/>
              <w:right w:w="0" w:type="dxa"/>
            </w:tcMar>
            <w:vAlign w:val="bottom"/>
          </w:tcPr>
          <w:p w14:paraId="4BD577EA" w14:textId="77777777" w:rsidR="00DB364C" w:rsidRDefault="00DB364C">
            <w:pPr>
              <w:keepNext/>
              <w:keepLines/>
              <w:spacing w:before="40" w:after="40"/>
            </w:pPr>
          </w:p>
        </w:tc>
        <w:tc>
          <w:tcPr>
            <w:tcW w:w="3080" w:type="dxa"/>
            <w:tcMar>
              <w:left w:w="60" w:type="dxa"/>
              <w:right w:w="0" w:type="dxa"/>
            </w:tcMar>
            <w:vAlign w:val="bottom"/>
          </w:tcPr>
          <w:p w14:paraId="57662C37" w14:textId="77777777" w:rsidR="00DB364C" w:rsidRDefault="00DB364C">
            <w:pPr>
              <w:keepNext/>
              <w:keepLines/>
              <w:spacing w:before="40" w:after="40"/>
            </w:pPr>
          </w:p>
        </w:tc>
      </w:tr>
      <w:tr w:rsidR="00DB364C" w14:paraId="426F1984" w14:textId="77777777" w:rsidTr="425B8586">
        <w:trPr>
          <w:trHeight w:hRule="exact" w:val="1062"/>
        </w:trPr>
        <w:tc>
          <w:tcPr>
            <w:tcW w:w="3960" w:type="dxa"/>
            <w:tcMar>
              <w:left w:w="60" w:type="dxa"/>
              <w:right w:w="40" w:type="dxa"/>
            </w:tcMar>
          </w:tcPr>
          <w:p w14:paraId="7641A1F5" w14:textId="77777777" w:rsidR="00DB364C" w:rsidRDefault="007603EB">
            <w:pPr>
              <w:keepLines/>
              <w:spacing w:before="40" w:after="40" w:line="288" w:lineRule="auto"/>
            </w:pPr>
            <w:r>
              <w:rPr>
                <w:noProof/>
              </w:rPr>
              <w:drawing>
                <wp:inline distT="0" distB="0" distL="0" distR="0" wp14:anchorId="6E864CD6" wp14:editId="313EB045">
                  <wp:extent cx="1003300" cy="482600"/>
                  <wp:effectExtent l="0" t="0" r="0" b="0"/>
                  <wp:docPr id="725324702" name="Image - 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 Image1.jpeg"/>
                          <pic:cNvPicPr/>
                        </pic:nvPicPr>
                        <pic:blipFill>
                          <a:blip r:embed="rId11">
                            <a:extLst>
                              <a:ext uri="{28A0092B-C50C-407E-A947-70E740481C1C}">
                                <a14:useLocalDpi xmlns:a14="http://schemas.microsoft.com/office/drawing/2010/main" val="0"/>
                              </a:ext>
                            </a:extLst>
                          </a:blip>
                          <a:stretch>
                            <a:fillRect/>
                          </a:stretch>
                        </pic:blipFill>
                        <pic:spPr>
                          <a:xfrm>
                            <a:off x="0" y="0"/>
                            <a:ext cx="1003300" cy="482600"/>
                          </a:xfrm>
                          <a:prstGeom prst="rect">
                            <a:avLst/>
                          </a:prstGeom>
                        </pic:spPr>
                      </pic:pic>
                    </a:graphicData>
                  </a:graphic>
                </wp:inline>
              </w:drawing>
            </w:r>
          </w:p>
        </w:tc>
        <w:tc>
          <w:tcPr>
            <w:tcW w:w="280" w:type="dxa"/>
            <w:tcMar>
              <w:left w:w="60" w:type="dxa"/>
              <w:right w:w="0" w:type="dxa"/>
            </w:tcMar>
            <w:vAlign w:val="bottom"/>
          </w:tcPr>
          <w:p w14:paraId="4EEF2213" w14:textId="77777777" w:rsidR="00DB364C" w:rsidRDefault="00DB364C">
            <w:pPr>
              <w:keepLines/>
              <w:spacing w:before="40" w:after="40"/>
            </w:pPr>
          </w:p>
        </w:tc>
        <w:tc>
          <w:tcPr>
            <w:tcW w:w="3160" w:type="dxa"/>
            <w:tcMar>
              <w:left w:w="60" w:type="dxa"/>
              <w:right w:w="0" w:type="dxa"/>
            </w:tcMar>
          </w:tcPr>
          <w:p w14:paraId="46FB064C" w14:textId="77777777" w:rsidR="00DB364C" w:rsidRDefault="00DB364C">
            <w:pPr>
              <w:keepLines/>
              <w:spacing w:before="40" w:after="40"/>
            </w:pPr>
          </w:p>
        </w:tc>
        <w:tc>
          <w:tcPr>
            <w:tcW w:w="280" w:type="dxa"/>
            <w:tcMar>
              <w:left w:w="60" w:type="dxa"/>
              <w:right w:w="0" w:type="dxa"/>
            </w:tcMar>
            <w:vAlign w:val="bottom"/>
          </w:tcPr>
          <w:p w14:paraId="272D71D2" w14:textId="77777777" w:rsidR="00DB364C" w:rsidRDefault="00DB364C">
            <w:pPr>
              <w:keepLines/>
              <w:spacing w:before="40" w:after="40"/>
            </w:pPr>
          </w:p>
        </w:tc>
        <w:tc>
          <w:tcPr>
            <w:tcW w:w="3080" w:type="dxa"/>
            <w:tcMar>
              <w:left w:w="60" w:type="dxa"/>
              <w:right w:w="40" w:type="dxa"/>
            </w:tcMar>
            <w:vAlign w:val="bottom"/>
          </w:tcPr>
          <w:p w14:paraId="15744176" w14:textId="77777777" w:rsidR="00DB364C" w:rsidRDefault="007603EB">
            <w:pPr>
              <w:keepLines/>
              <w:spacing w:before="40" w:line="288" w:lineRule="auto"/>
              <w:rPr>
                <w:rFonts w:ascii="Arial" w:eastAsia="Arial" w:hAnsi="Arial" w:cs="Arial"/>
                <w:b/>
                <w:sz w:val="18"/>
              </w:rPr>
            </w:pPr>
            <w:r>
              <w:rPr>
                <w:rFonts w:ascii="Arial" w:eastAsia="Arial" w:hAnsi="Arial" w:cs="Arial"/>
                <w:b/>
                <w:sz w:val="18"/>
              </w:rPr>
              <w:t>The Mosaic Company</w:t>
            </w:r>
          </w:p>
          <w:p w14:paraId="27FFF9E0" w14:textId="77777777" w:rsidR="00DB364C" w:rsidRDefault="007603EB">
            <w:pPr>
              <w:keepLines/>
              <w:spacing w:line="288" w:lineRule="auto"/>
              <w:rPr>
                <w:rFonts w:ascii="Arial" w:eastAsia="Arial" w:hAnsi="Arial" w:cs="Arial"/>
                <w:sz w:val="18"/>
              </w:rPr>
            </w:pPr>
            <w:r>
              <w:rPr>
                <w:rFonts w:ascii="Arial" w:eastAsia="Arial" w:hAnsi="Arial" w:cs="Arial"/>
                <w:sz w:val="18"/>
              </w:rPr>
              <w:t>101 E. Kennedy Blvd., Suite 2500</w:t>
            </w:r>
          </w:p>
          <w:p w14:paraId="2221CE15" w14:textId="77777777" w:rsidR="00DB364C" w:rsidRDefault="007603EB">
            <w:pPr>
              <w:keepLines/>
              <w:spacing w:line="288" w:lineRule="auto"/>
              <w:rPr>
                <w:rFonts w:ascii="Arial" w:eastAsia="Arial" w:hAnsi="Arial" w:cs="Arial"/>
                <w:sz w:val="18"/>
              </w:rPr>
            </w:pPr>
            <w:r>
              <w:rPr>
                <w:rFonts w:ascii="Arial" w:eastAsia="Arial" w:hAnsi="Arial" w:cs="Arial"/>
                <w:sz w:val="18"/>
              </w:rPr>
              <w:t>Tampa, FL 33602</w:t>
            </w:r>
          </w:p>
          <w:p w14:paraId="05EBCEF4" w14:textId="77777777" w:rsidR="00DB364C" w:rsidRDefault="007603EB">
            <w:pPr>
              <w:keepLines/>
              <w:spacing w:after="40" w:line="288" w:lineRule="auto"/>
              <w:rPr>
                <w:rFonts w:ascii="Arial" w:eastAsia="Arial" w:hAnsi="Arial" w:cs="Arial"/>
                <w:sz w:val="18"/>
              </w:rPr>
            </w:pPr>
            <w:r>
              <w:rPr>
                <w:rFonts w:ascii="Arial" w:eastAsia="Arial" w:hAnsi="Arial" w:cs="Arial"/>
                <w:sz w:val="18"/>
              </w:rPr>
              <w:t>www.mosaicco.com</w:t>
            </w:r>
          </w:p>
        </w:tc>
      </w:tr>
    </w:tbl>
    <w:p w14:paraId="3B32C39B" w14:textId="77777777" w:rsidR="00DB364C" w:rsidRDefault="00DB364C">
      <w:pPr>
        <w:spacing w:line="180" w:lineRule="exact"/>
      </w:pPr>
    </w:p>
    <w:tbl>
      <w:tblPr>
        <w:tblW w:w="10780" w:type="dxa"/>
        <w:tblInd w:w="60" w:type="dxa"/>
        <w:tblLayout w:type="fixed"/>
        <w:tblCellMar>
          <w:left w:w="10" w:type="dxa"/>
          <w:right w:w="10" w:type="dxa"/>
        </w:tblCellMar>
        <w:tblLook w:val="04A0" w:firstRow="1" w:lastRow="0" w:firstColumn="1" w:lastColumn="0" w:noHBand="0" w:noVBand="1"/>
      </w:tblPr>
      <w:tblGrid>
        <w:gridCol w:w="4000"/>
        <w:gridCol w:w="280"/>
        <w:gridCol w:w="3140"/>
        <w:gridCol w:w="280"/>
        <w:gridCol w:w="3080"/>
      </w:tblGrid>
      <w:tr w:rsidR="00DB364C" w14:paraId="1AA4EC3A" w14:textId="77777777">
        <w:trPr>
          <w:trHeight w:hRule="exact" w:val="300"/>
        </w:trPr>
        <w:tc>
          <w:tcPr>
            <w:tcW w:w="4000" w:type="dxa"/>
            <w:tcMar>
              <w:left w:w="60" w:type="dxa"/>
              <w:right w:w="40" w:type="dxa"/>
            </w:tcMar>
            <w:vAlign w:val="bottom"/>
          </w:tcPr>
          <w:p w14:paraId="2586E54E" w14:textId="77777777" w:rsidR="00DB364C" w:rsidRDefault="007603EB">
            <w:pPr>
              <w:keepNext/>
              <w:keepLines/>
              <w:spacing w:before="40" w:after="40"/>
              <w:rPr>
                <w:rFonts w:ascii="Arial" w:eastAsia="Arial" w:hAnsi="Arial" w:cs="Arial"/>
                <w:b/>
                <w:sz w:val="18"/>
              </w:rPr>
            </w:pPr>
            <w:r>
              <w:rPr>
                <w:rFonts w:ascii="Arial" w:eastAsia="Arial" w:hAnsi="Arial" w:cs="Arial"/>
                <w:b/>
                <w:color w:val="000000"/>
                <w:sz w:val="18"/>
              </w:rPr>
              <w:t>FOR IMMEDIATE RELEASE</w:t>
            </w:r>
          </w:p>
        </w:tc>
        <w:tc>
          <w:tcPr>
            <w:tcW w:w="280" w:type="dxa"/>
            <w:tcMar>
              <w:left w:w="60" w:type="dxa"/>
              <w:right w:w="0" w:type="dxa"/>
            </w:tcMar>
            <w:vAlign w:val="bottom"/>
          </w:tcPr>
          <w:p w14:paraId="4317AC90" w14:textId="77777777" w:rsidR="00DB364C" w:rsidRDefault="00DB364C">
            <w:pPr>
              <w:keepNext/>
              <w:keepLines/>
              <w:spacing w:before="40" w:after="40"/>
            </w:pPr>
          </w:p>
        </w:tc>
        <w:tc>
          <w:tcPr>
            <w:tcW w:w="3140" w:type="dxa"/>
            <w:tcMar>
              <w:left w:w="60" w:type="dxa"/>
              <w:right w:w="0" w:type="dxa"/>
            </w:tcMar>
            <w:vAlign w:val="bottom"/>
          </w:tcPr>
          <w:p w14:paraId="7E43F83C" w14:textId="77777777" w:rsidR="00DB364C" w:rsidRDefault="00DB364C">
            <w:pPr>
              <w:keepNext/>
              <w:keepLines/>
              <w:spacing w:before="40" w:after="40"/>
            </w:pPr>
          </w:p>
        </w:tc>
        <w:tc>
          <w:tcPr>
            <w:tcW w:w="280" w:type="dxa"/>
            <w:tcMar>
              <w:left w:w="60" w:type="dxa"/>
              <w:right w:w="0" w:type="dxa"/>
            </w:tcMar>
            <w:vAlign w:val="bottom"/>
          </w:tcPr>
          <w:p w14:paraId="10971388" w14:textId="77777777" w:rsidR="00DB364C" w:rsidRDefault="00DB364C">
            <w:pPr>
              <w:keepNext/>
              <w:keepLines/>
              <w:spacing w:before="40" w:after="40"/>
            </w:pPr>
          </w:p>
        </w:tc>
        <w:tc>
          <w:tcPr>
            <w:tcW w:w="3080" w:type="dxa"/>
            <w:tcMar>
              <w:left w:w="60" w:type="dxa"/>
              <w:right w:w="0" w:type="dxa"/>
            </w:tcMar>
            <w:vAlign w:val="bottom"/>
          </w:tcPr>
          <w:p w14:paraId="0ED4F418" w14:textId="77777777" w:rsidR="00DB364C" w:rsidRDefault="00DB364C">
            <w:pPr>
              <w:keepNext/>
              <w:keepLines/>
              <w:spacing w:before="40" w:after="40"/>
            </w:pPr>
          </w:p>
        </w:tc>
      </w:tr>
      <w:tr w:rsidR="00DB364C" w14:paraId="6FC554F1" w14:textId="77777777">
        <w:trPr>
          <w:trHeight w:hRule="exact" w:val="300"/>
        </w:trPr>
        <w:tc>
          <w:tcPr>
            <w:tcW w:w="4000" w:type="dxa"/>
            <w:tcMar>
              <w:left w:w="60" w:type="dxa"/>
              <w:right w:w="0" w:type="dxa"/>
            </w:tcMar>
            <w:vAlign w:val="bottom"/>
          </w:tcPr>
          <w:p w14:paraId="440726B1" w14:textId="77777777" w:rsidR="00DB364C" w:rsidRDefault="00DB364C">
            <w:pPr>
              <w:keepNext/>
              <w:keepLines/>
              <w:spacing w:before="40" w:after="40"/>
            </w:pPr>
          </w:p>
        </w:tc>
        <w:tc>
          <w:tcPr>
            <w:tcW w:w="280" w:type="dxa"/>
            <w:tcMar>
              <w:left w:w="60" w:type="dxa"/>
              <w:right w:w="0" w:type="dxa"/>
            </w:tcMar>
            <w:vAlign w:val="bottom"/>
          </w:tcPr>
          <w:p w14:paraId="616421ED" w14:textId="77777777" w:rsidR="00DB364C" w:rsidRDefault="00DB364C">
            <w:pPr>
              <w:keepNext/>
              <w:keepLines/>
              <w:spacing w:before="40" w:after="40"/>
            </w:pPr>
          </w:p>
        </w:tc>
        <w:tc>
          <w:tcPr>
            <w:tcW w:w="3140" w:type="dxa"/>
            <w:tcMar>
              <w:left w:w="60" w:type="dxa"/>
              <w:right w:w="0" w:type="dxa"/>
            </w:tcMar>
            <w:vAlign w:val="bottom"/>
          </w:tcPr>
          <w:p w14:paraId="597661D4" w14:textId="77777777" w:rsidR="00DB364C" w:rsidRDefault="00DB364C">
            <w:pPr>
              <w:keepNext/>
              <w:keepLines/>
              <w:spacing w:before="40" w:after="40"/>
            </w:pPr>
          </w:p>
        </w:tc>
        <w:tc>
          <w:tcPr>
            <w:tcW w:w="280" w:type="dxa"/>
            <w:tcMar>
              <w:left w:w="60" w:type="dxa"/>
              <w:right w:w="0" w:type="dxa"/>
            </w:tcMar>
            <w:vAlign w:val="bottom"/>
          </w:tcPr>
          <w:p w14:paraId="2D93EEF6" w14:textId="77777777" w:rsidR="00DB364C" w:rsidRDefault="00DB364C">
            <w:pPr>
              <w:keepNext/>
              <w:keepLines/>
              <w:spacing w:before="40" w:after="40"/>
            </w:pPr>
          </w:p>
        </w:tc>
        <w:tc>
          <w:tcPr>
            <w:tcW w:w="3080" w:type="dxa"/>
            <w:tcMar>
              <w:left w:w="60" w:type="dxa"/>
              <w:right w:w="0" w:type="dxa"/>
            </w:tcMar>
            <w:vAlign w:val="bottom"/>
          </w:tcPr>
          <w:p w14:paraId="1F433141" w14:textId="77777777" w:rsidR="00DB364C" w:rsidRDefault="00DB364C">
            <w:pPr>
              <w:keepNext/>
              <w:keepLines/>
              <w:spacing w:before="40" w:after="40"/>
            </w:pPr>
          </w:p>
        </w:tc>
      </w:tr>
      <w:tr w:rsidR="00DB364C" w14:paraId="195E18D5" w14:textId="77777777" w:rsidTr="00DD0C47">
        <w:trPr>
          <w:trHeight w:hRule="exact" w:val="1377"/>
        </w:trPr>
        <w:tc>
          <w:tcPr>
            <w:tcW w:w="4000" w:type="dxa"/>
            <w:tcMar>
              <w:left w:w="60" w:type="dxa"/>
              <w:right w:w="40" w:type="dxa"/>
            </w:tcMar>
            <w:vAlign w:val="bottom"/>
          </w:tcPr>
          <w:p w14:paraId="00588296" w14:textId="77777777" w:rsidR="00DB364C" w:rsidRDefault="007603EB">
            <w:pPr>
              <w:keepLines/>
              <w:spacing w:before="40" w:line="288" w:lineRule="auto"/>
              <w:rPr>
                <w:rFonts w:ascii="Arial" w:eastAsia="Arial" w:hAnsi="Arial" w:cs="Arial"/>
                <w:b/>
                <w:sz w:val="18"/>
              </w:rPr>
            </w:pPr>
            <w:r>
              <w:rPr>
                <w:rFonts w:ascii="Arial" w:eastAsia="Arial" w:hAnsi="Arial" w:cs="Arial"/>
                <w:b/>
                <w:color w:val="000000"/>
                <w:sz w:val="18"/>
                <w:u w:val="single" w:color="000000"/>
              </w:rPr>
              <w:t>Media</w:t>
            </w:r>
          </w:p>
          <w:p w14:paraId="5E9670A8" w14:textId="77777777" w:rsidR="00DB364C" w:rsidRDefault="007603EB">
            <w:pPr>
              <w:keepLines/>
              <w:spacing w:line="288" w:lineRule="auto"/>
              <w:rPr>
                <w:rFonts w:ascii="Arial" w:eastAsia="Arial" w:hAnsi="Arial" w:cs="Arial"/>
                <w:sz w:val="18"/>
              </w:rPr>
            </w:pPr>
            <w:r>
              <w:rPr>
                <w:rFonts w:ascii="Arial" w:eastAsia="Arial" w:hAnsi="Arial" w:cs="Arial"/>
                <w:sz w:val="18"/>
              </w:rPr>
              <w:t>Ben Pratt</w:t>
            </w:r>
          </w:p>
          <w:p w14:paraId="4C6CD7C4" w14:textId="77777777" w:rsidR="00DB364C" w:rsidRDefault="007603EB">
            <w:pPr>
              <w:keepLines/>
              <w:spacing w:line="288" w:lineRule="auto"/>
              <w:rPr>
                <w:rFonts w:ascii="Arial" w:eastAsia="Arial" w:hAnsi="Arial" w:cs="Arial"/>
                <w:sz w:val="18"/>
              </w:rPr>
            </w:pPr>
            <w:r>
              <w:rPr>
                <w:rFonts w:ascii="Arial" w:eastAsia="Arial" w:hAnsi="Arial" w:cs="Arial"/>
                <w:sz w:val="18"/>
              </w:rPr>
              <w:t>The Mosaic Company</w:t>
            </w:r>
          </w:p>
          <w:p w14:paraId="069E504D" w14:textId="77777777" w:rsidR="00DB364C" w:rsidRDefault="007603EB">
            <w:pPr>
              <w:keepLines/>
              <w:spacing w:line="288" w:lineRule="auto"/>
              <w:rPr>
                <w:rFonts w:ascii="Arial" w:eastAsia="Arial" w:hAnsi="Arial" w:cs="Arial"/>
                <w:sz w:val="18"/>
              </w:rPr>
            </w:pPr>
            <w:r>
              <w:rPr>
                <w:rFonts w:ascii="Arial" w:eastAsia="Arial" w:hAnsi="Arial" w:cs="Arial"/>
                <w:sz w:val="18"/>
              </w:rPr>
              <w:t>813-775-4206</w:t>
            </w:r>
          </w:p>
          <w:p w14:paraId="027B4223" w14:textId="77777777" w:rsidR="00DB364C" w:rsidRDefault="007603EB">
            <w:pPr>
              <w:keepLines/>
              <w:spacing w:after="40" w:line="288" w:lineRule="auto"/>
              <w:rPr>
                <w:rFonts w:ascii="Arial" w:eastAsia="Arial" w:hAnsi="Arial" w:cs="Arial"/>
                <w:sz w:val="18"/>
              </w:rPr>
            </w:pPr>
            <w:r>
              <w:rPr>
                <w:rFonts w:ascii="Arial" w:eastAsia="Arial" w:hAnsi="Arial" w:cs="Arial"/>
                <w:color w:val="000000"/>
                <w:sz w:val="18"/>
                <w:u w:val="single" w:color="000000"/>
              </w:rPr>
              <w:t>benjamin.pratt@mosaicco.com</w:t>
            </w:r>
          </w:p>
        </w:tc>
        <w:tc>
          <w:tcPr>
            <w:tcW w:w="280" w:type="dxa"/>
            <w:tcMar>
              <w:left w:w="60" w:type="dxa"/>
              <w:right w:w="0" w:type="dxa"/>
            </w:tcMar>
            <w:vAlign w:val="bottom"/>
          </w:tcPr>
          <w:p w14:paraId="4DA4F9FA" w14:textId="77777777" w:rsidR="00DB364C" w:rsidRDefault="00DB364C">
            <w:pPr>
              <w:keepLines/>
              <w:spacing w:before="40" w:after="40"/>
            </w:pPr>
          </w:p>
        </w:tc>
        <w:tc>
          <w:tcPr>
            <w:tcW w:w="3140" w:type="dxa"/>
            <w:tcMar>
              <w:left w:w="60" w:type="dxa"/>
              <w:right w:w="40" w:type="dxa"/>
            </w:tcMar>
            <w:vAlign w:val="bottom"/>
          </w:tcPr>
          <w:p w14:paraId="4D16CDAE" w14:textId="77777777" w:rsidR="00DB364C" w:rsidRDefault="007603EB">
            <w:pPr>
              <w:keepLines/>
              <w:spacing w:before="40" w:line="288" w:lineRule="auto"/>
              <w:rPr>
                <w:rFonts w:ascii="Arial" w:eastAsia="Arial" w:hAnsi="Arial" w:cs="Arial"/>
                <w:b/>
                <w:sz w:val="18"/>
              </w:rPr>
            </w:pPr>
            <w:r>
              <w:rPr>
                <w:rFonts w:ascii="Arial" w:eastAsia="Arial" w:hAnsi="Arial" w:cs="Arial"/>
                <w:b/>
                <w:color w:val="000000"/>
                <w:sz w:val="18"/>
                <w:u w:val="single" w:color="000000"/>
              </w:rPr>
              <w:t>Investors</w:t>
            </w:r>
          </w:p>
          <w:p w14:paraId="7EDD5F3A" w14:textId="77777777" w:rsidR="00DB364C" w:rsidRDefault="007603EB">
            <w:pPr>
              <w:keepLines/>
              <w:spacing w:line="288" w:lineRule="auto"/>
              <w:rPr>
                <w:rFonts w:ascii="Arial" w:eastAsia="Arial" w:hAnsi="Arial" w:cs="Arial"/>
                <w:sz w:val="18"/>
              </w:rPr>
            </w:pPr>
            <w:r>
              <w:rPr>
                <w:rFonts w:ascii="Arial" w:eastAsia="Arial" w:hAnsi="Arial" w:cs="Arial"/>
                <w:sz w:val="18"/>
              </w:rPr>
              <w:t>Laura Gagnon</w:t>
            </w:r>
          </w:p>
          <w:p w14:paraId="0D9B3E2B" w14:textId="77777777" w:rsidR="00DB364C" w:rsidRDefault="007603EB">
            <w:pPr>
              <w:keepLines/>
              <w:spacing w:line="288" w:lineRule="auto"/>
              <w:rPr>
                <w:rFonts w:ascii="Arial" w:eastAsia="Arial" w:hAnsi="Arial" w:cs="Arial"/>
                <w:sz w:val="18"/>
              </w:rPr>
            </w:pPr>
            <w:r>
              <w:rPr>
                <w:rFonts w:ascii="Arial" w:eastAsia="Arial" w:hAnsi="Arial" w:cs="Arial"/>
                <w:sz w:val="18"/>
              </w:rPr>
              <w:t>The Mosaic Company</w:t>
            </w:r>
          </w:p>
          <w:p w14:paraId="17ACA21C" w14:textId="77777777" w:rsidR="00DB364C" w:rsidRDefault="007603EB">
            <w:pPr>
              <w:keepLines/>
              <w:spacing w:line="288" w:lineRule="auto"/>
              <w:rPr>
                <w:rFonts w:ascii="Arial" w:eastAsia="Arial" w:hAnsi="Arial" w:cs="Arial"/>
                <w:sz w:val="18"/>
              </w:rPr>
            </w:pPr>
            <w:r>
              <w:rPr>
                <w:rFonts w:ascii="Arial" w:eastAsia="Arial" w:hAnsi="Arial" w:cs="Arial"/>
                <w:sz w:val="18"/>
              </w:rPr>
              <w:t>813-775-4214</w:t>
            </w:r>
          </w:p>
          <w:p w14:paraId="54D3BF46" w14:textId="77777777" w:rsidR="00DB364C" w:rsidRDefault="007603EB">
            <w:pPr>
              <w:keepLines/>
              <w:spacing w:after="40" w:line="288" w:lineRule="auto"/>
              <w:rPr>
                <w:rFonts w:ascii="Arial" w:eastAsia="Arial" w:hAnsi="Arial" w:cs="Arial"/>
                <w:sz w:val="18"/>
              </w:rPr>
            </w:pPr>
            <w:r>
              <w:rPr>
                <w:rFonts w:ascii="Arial" w:eastAsia="Arial" w:hAnsi="Arial" w:cs="Arial"/>
                <w:color w:val="000000"/>
                <w:sz w:val="18"/>
                <w:u w:val="single" w:color="000000"/>
              </w:rPr>
              <w:t>investor@mosaicco.com</w:t>
            </w:r>
          </w:p>
        </w:tc>
        <w:tc>
          <w:tcPr>
            <w:tcW w:w="280" w:type="dxa"/>
            <w:tcMar>
              <w:left w:w="60" w:type="dxa"/>
              <w:right w:w="0" w:type="dxa"/>
            </w:tcMar>
            <w:vAlign w:val="bottom"/>
          </w:tcPr>
          <w:p w14:paraId="5A5DB59F" w14:textId="77777777" w:rsidR="00DB364C" w:rsidRDefault="00DB364C">
            <w:pPr>
              <w:keepLines/>
              <w:spacing w:before="40" w:after="40"/>
            </w:pPr>
          </w:p>
        </w:tc>
        <w:tc>
          <w:tcPr>
            <w:tcW w:w="3080" w:type="dxa"/>
            <w:tcMar>
              <w:left w:w="60" w:type="dxa"/>
              <w:right w:w="0" w:type="dxa"/>
            </w:tcMar>
          </w:tcPr>
          <w:p w14:paraId="580D82C1" w14:textId="77777777" w:rsidR="00DB364C" w:rsidRDefault="00DB364C">
            <w:pPr>
              <w:keepLines/>
              <w:spacing w:before="40" w:after="40"/>
            </w:pPr>
          </w:p>
        </w:tc>
      </w:tr>
    </w:tbl>
    <w:p w14:paraId="49EB5A60" w14:textId="77777777" w:rsidR="00DB364C" w:rsidRDefault="00DB364C">
      <w:pPr>
        <w:spacing w:before="60" w:line="288" w:lineRule="auto"/>
        <w:jc w:val="center"/>
        <w:rPr>
          <w:rFonts w:ascii="Arial" w:eastAsia="Arial" w:hAnsi="Arial" w:cs="Arial"/>
          <w:b/>
          <w:sz w:val="24"/>
        </w:rPr>
      </w:pPr>
    </w:p>
    <w:p w14:paraId="720DDEAE" w14:textId="0012D475" w:rsidR="007120EE" w:rsidRPr="00BB5B68" w:rsidRDefault="00DC296E" w:rsidP="00BB5B68">
      <w:pPr>
        <w:spacing w:before="120" w:line="288" w:lineRule="auto"/>
        <w:jc w:val="center"/>
        <w:rPr>
          <w:rFonts w:ascii="Arial" w:eastAsia="Arial" w:hAnsi="Arial" w:cs="Arial"/>
          <w:b/>
          <w:sz w:val="24"/>
        </w:rPr>
      </w:pPr>
      <w:bookmarkStart w:id="1" w:name="_Hlk58229145"/>
      <w:bookmarkStart w:id="2" w:name="_Hlk58229095"/>
      <w:r w:rsidRPr="00DC296E">
        <w:rPr>
          <w:rFonts w:ascii="Arial" w:eastAsia="Arial" w:hAnsi="Arial" w:cs="Arial"/>
          <w:b/>
          <w:sz w:val="24"/>
        </w:rPr>
        <w:t xml:space="preserve">MOSAIC ANNOUNCES </w:t>
      </w:r>
      <w:r w:rsidR="007F6350">
        <w:rPr>
          <w:rFonts w:ascii="Arial" w:eastAsia="Arial" w:hAnsi="Arial" w:cs="Arial"/>
          <w:b/>
          <w:sz w:val="24"/>
        </w:rPr>
        <w:t>AGREEMENT WITH BIOCONSORTIA TO COLLABORATE ON NEW NITROGEN</w:t>
      </w:r>
      <w:r w:rsidR="00672CB9">
        <w:rPr>
          <w:rFonts w:ascii="Arial" w:eastAsia="Arial" w:hAnsi="Arial" w:cs="Arial"/>
          <w:b/>
          <w:sz w:val="24"/>
        </w:rPr>
        <w:t>-</w:t>
      </w:r>
      <w:r w:rsidR="007F6350">
        <w:rPr>
          <w:rFonts w:ascii="Arial" w:eastAsia="Arial" w:hAnsi="Arial" w:cs="Arial"/>
          <w:b/>
          <w:sz w:val="24"/>
        </w:rPr>
        <w:t>FIXING MICROBIAL PRODUCTS</w:t>
      </w:r>
      <w:bookmarkEnd w:id="1"/>
    </w:p>
    <w:p w14:paraId="1924BF69" w14:textId="2AD96813" w:rsidR="005C3EDD" w:rsidRDefault="007603EB" w:rsidP="00DC296E">
      <w:pPr>
        <w:spacing w:before="120" w:line="360" w:lineRule="auto"/>
        <w:rPr>
          <w:rFonts w:ascii="Arial" w:eastAsia="Arial" w:hAnsi="Arial" w:cs="Arial"/>
        </w:rPr>
      </w:pPr>
      <w:r w:rsidRPr="425B8586">
        <w:rPr>
          <w:rFonts w:ascii="Arial" w:eastAsia="Arial" w:hAnsi="Arial" w:cs="Arial"/>
        </w:rPr>
        <w:t>TAMPA</w:t>
      </w:r>
      <w:r w:rsidR="000E5A9E">
        <w:rPr>
          <w:rFonts w:ascii="Arial" w:eastAsia="Arial" w:hAnsi="Arial" w:cs="Arial"/>
        </w:rPr>
        <w:t xml:space="preserve">, FL, December </w:t>
      </w:r>
      <w:r w:rsidR="0009157C">
        <w:rPr>
          <w:rFonts w:ascii="Arial" w:eastAsia="Arial" w:hAnsi="Arial" w:cs="Arial"/>
        </w:rPr>
        <w:t>9</w:t>
      </w:r>
      <w:r w:rsidR="00CD2156" w:rsidRPr="425B8586">
        <w:rPr>
          <w:rFonts w:ascii="Arial" w:eastAsia="Arial" w:hAnsi="Arial" w:cs="Arial"/>
        </w:rPr>
        <w:t>, 2020</w:t>
      </w:r>
      <w:r w:rsidRPr="425B8586">
        <w:rPr>
          <w:rFonts w:ascii="Arial" w:eastAsia="Arial" w:hAnsi="Arial" w:cs="Arial"/>
        </w:rPr>
        <w:t xml:space="preserve"> - </w:t>
      </w:r>
      <w:r w:rsidR="00DC296E" w:rsidRPr="425B8586">
        <w:rPr>
          <w:rFonts w:ascii="Arial" w:eastAsia="Arial" w:hAnsi="Arial" w:cs="Arial"/>
        </w:rPr>
        <w:t xml:space="preserve">The Mosaic Company (NYSE: MOS) today </w:t>
      </w:r>
      <w:r w:rsidR="00672CB9">
        <w:rPr>
          <w:rFonts w:ascii="Arial" w:eastAsia="Arial" w:hAnsi="Arial" w:cs="Arial"/>
        </w:rPr>
        <w:t>announced</w:t>
      </w:r>
      <w:r w:rsidR="005144C6" w:rsidRPr="425B8586">
        <w:rPr>
          <w:rFonts w:ascii="Arial" w:eastAsia="Arial" w:hAnsi="Arial" w:cs="Arial"/>
        </w:rPr>
        <w:t xml:space="preserve"> </w:t>
      </w:r>
      <w:r w:rsidR="007F6350">
        <w:rPr>
          <w:rFonts w:ascii="Arial" w:eastAsia="Arial" w:hAnsi="Arial" w:cs="Arial"/>
        </w:rPr>
        <w:t>an agreement with BioConsortia</w:t>
      </w:r>
      <w:r w:rsidR="00595962">
        <w:rPr>
          <w:rFonts w:ascii="Arial" w:eastAsia="Arial" w:hAnsi="Arial" w:cs="Arial"/>
        </w:rPr>
        <w:t>, Inc.</w:t>
      </w:r>
      <w:bookmarkStart w:id="3" w:name="_GoBack"/>
      <w:bookmarkEnd w:id="3"/>
      <w:r w:rsidR="007F6350">
        <w:rPr>
          <w:rFonts w:ascii="Arial" w:eastAsia="Arial" w:hAnsi="Arial" w:cs="Arial"/>
        </w:rPr>
        <w:t xml:space="preserve"> to collaborate to deve</w:t>
      </w:r>
      <w:r w:rsidR="009B2956">
        <w:rPr>
          <w:rFonts w:ascii="Arial" w:eastAsia="Arial" w:hAnsi="Arial" w:cs="Arial"/>
        </w:rPr>
        <w:t xml:space="preserve">lop and </w:t>
      </w:r>
      <w:r w:rsidR="005C3EDD" w:rsidRPr="005C3EDD">
        <w:rPr>
          <w:rFonts w:ascii="Arial" w:eastAsia="Arial" w:hAnsi="Arial" w:cs="Arial"/>
        </w:rPr>
        <w:t>launch nitrogen</w:t>
      </w:r>
      <w:r w:rsidR="00672CB9">
        <w:rPr>
          <w:rFonts w:ascii="Arial" w:eastAsia="Arial" w:hAnsi="Arial" w:cs="Arial"/>
        </w:rPr>
        <w:t>-</w:t>
      </w:r>
      <w:r w:rsidR="005C3EDD" w:rsidRPr="005C3EDD">
        <w:rPr>
          <w:rFonts w:ascii="Arial" w:eastAsia="Arial" w:hAnsi="Arial" w:cs="Arial"/>
        </w:rPr>
        <w:t>fixing microbial products to increase yields on corn, wheat and o</w:t>
      </w:r>
      <w:r w:rsidR="00EF4D84">
        <w:rPr>
          <w:rFonts w:ascii="Arial" w:eastAsia="Arial" w:hAnsi="Arial" w:cs="Arial"/>
        </w:rPr>
        <w:t>ther major non-legume row crops.</w:t>
      </w:r>
    </w:p>
    <w:p w14:paraId="31CFDEE9" w14:textId="3B4946D6" w:rsidR="00EF4D84" w:rsidRDefault="00281121" w:rsidP="00DC296E">
      <w:pPr>
        <w:spacing w:before="120" w:line="360" w:lineRule="auto"/>
        <w:rPr>
          <w:rFonts w:ascii="Arial" w:eastAsia="Arial" w:hAnsi="Arial" w:cs="Arial"/>
        </w:rPr>
      </w:pPr>
      <w:r w:rsidRPr="00281121">
        <w:rPr>
          <w:rFonts w:ascii="Arial" w:eastAsia="Arial" w:hAnsi="Arial" w:cs="Arial"/>
        </w:rPr>
        <w:t xml:space="preserve">The collaboration </w:t>
      </w:r>
      <w:r w:rsidR="00EF4D84">
        <w:rPr>
          <w:rFonts w:ascii="Arial" w:eastAsia="Arial" w:hAnsi="Arial" w:cs="Arial"/>
        </w:rPr>
        <w:t xml:space="preserve">will </w:t>
      </w:r>
      <w:r w:rsidR="00672CB9">
        <w:rPr>
          <w:rFonts w:ascii="Arial" w:eastAsia="Arial" w:hAnsi="Arial" w:cs="Arial"/>
        </w:rPr>
        <w:t>use</w:t>
      </w:r>
      <w:r w:rsidR="00672CB9" w:rsidRPr="00281121">
        <w:rPr>
          <w:rFonts w:ascii="Arial" w:eastAsia="Arial" w:hAnsi="Arial" w:cs="Arial"/>
        </w:rPr>
        <w:t xml:space="preserve"> </w:t>
      </w:r>
      <w:r w:rsidRPr="00281121">
        <w:rPr>
          <w:rFonts w:ascii="Arial" w:eastAsia="Arial" w:hAnsi="Arial" w:cs="Arial"/>
        </w:rPr>
        <w:t xml:space="preserve">BioConsortia’s patented Advanced Microbial Selection (AMS) process and other proprietary tools to </w:t>
      </w:r>
      <w:r w:rsidR="00672CB9">
        <w:rPr>
          <w:rFonts w:ascii="Arial" w:eastAsia="Arial" w:hAnsi="Arial" w:cs="Arial"/>
        </w:rPr>
        <w:t>develop</w:t>
      </w:r>
      <w:r w:rsidR="00672CB9" w:rsidRPr="00281121">
        <w:rPr>
          <w:rFonts w:ascii="Arial" w:eastAsia="Arial" w:hAnsi="Arial" w:cs="Arial"/>
        </w:rPr>
        <w:t xml:space="preserve"> </w:t>
      </w:r>
      <w:r w:rsidRPr="00281121">
        <w:rPr>
          <w:rFonts w:ascii="Arial" w:eastAsia="Arial" w:hAnsi="Arial" w:cs="Arial"/>
        </w:rPr>
        <w:t xml:space="preserve">the most robust and </w:t>
      </w:r>
      <w:r w:rsidR="00AB692C">
        <w:rPr>
          <w:rFonts w:ascii="Arial" w:eastAsia="Arial" w:hAnsi="Arial" w:cs="Arial"/>
        </w:rPr>
        <w:t>innovative</w:t>
      </w:r>
      <w:r w:rsidRPr="00281121">
        <w:rPr>
          <w:rFonts w:ascii="Arial" w:eastAsia="Arial" w:hAnsi="Arial" w:cs="Arial"/>
        </w:rPr>
        <w:t xml:space="preserve"> microbials capable of colonizing a non-legume crop such as corn. The addition of robust nitrogen-fixing microbials </w:t>
      </w:r>
      <w:r w:rsidR="00672CB9">
        <w:rPr>
          <w:rFonts w:ascii="Arial" w:eastAsia="Arial" w:hAnsi="Arial" w:cs="Arial"/>
        </w:rPr>
        <w:t>uses</w:t>
      </w:r>
      <w:r w:rsidR="00672CB9" w:rsidRPr="00281121">
        <w:rPr>
          <w:rFonts w:ascii="Arial" w:eastAsia="Arial" w:hAnsi="Arial" w:cs="Arial"/>
        </w:rPr>
        <w:t xml:space="preserve"> </w:t>
      </w:r>
      <w:r w:rsidRPr="00281121">
        <w:rPr>
          <w:rFonts w:ascii="Arial" w:eastAsia="Arial" w:hAnsi="Arial" w:cs="Arial"/>
        </w:rPr>
        <w:t>the natural soil-plant process of nitrogen fixation</w:t>
      </w:r>
      <w:r w:rsidR="00672CB9">
        <w:rPr>
          <w:rFonts w:ascii="Arial" w:eastAsia="Arial" w:hAnsi="Arial" w:cs="Arial"/>
        </w:rPr>
        <w:t>,</w:t>
      </w:r>
      <w:r w:rsidRPr="00281121">
        <w:rPr>
          <w:rFonts w:ascii="Arial" w:eastAsia="Arial" w:hAnsi="Arial" w:cs="Arial"/>
        </w:rPr>
        <w:t xml:space="preserve"> reducing the reliance on synthetic forms of nitrogen while still meeting the nutrient needs of the crop for its growth and development.</w:t>
      </w:r>
      <w:r w:rsidR="00EF4D84">
        <w:rPr>
          <w:rFonts w:ascii="Arial" w:eastAsia="Arial" w:hAnsi="Arial" w:cs="Arial"/>
        </w:rPr>
        <w:t xml:space="preserve"> </w:t>
      </w:r>
      <w:r w:rsidR="00C14919" w:rsidRPr="00C14919">
        <w:rPr>
          <w:rFonts w:ascii="Arial" w:eastAsia="Arial" w:hAnsi="Arial" w:cs="Arial"/>
        </w:rPr>
        <w:t xml:space="preserve">The use of the products as part of a balanced crop nutrition plan can help </w:t>
      </w:r>
      <w:r w:rsidR="00672CB9">
        <w:rPr>
          <w:rFonts w:ascii="Arial" w:eastAsia="Arial" w:hAnsi="Arial" w:cs="Arial"/>
        </w:rPr>
        <w:t>farmers</w:t>
      </w:r>
      <w:r w:rsidR="00672CB9" w:rsidRPr="00C14919">
        <w:rPr>
          <w:rFonts w:ascii="Arial" w:eastAsia="Arial" w:hAnsi="Arial" w:cs="Arial"/>
        </w:rPr>
        <w:t xml:space="preserve"> </w:t>
      </w:r>
      <w:r w:rsidR="00C14919" w:rsidRPr="00C14919">
        <w:rPr>
          <w:rFonts w:ascii="Arial" w:eastAsia="Arial" w:hAnsi="Arial" w:cs="Arial"/>
        </w:rPr>
        <w:t>optimize the use of their fertilizer inputs and improve profitability</w:t>
      </w:r>
      <w:r>
        <w:rPr>
          <w:rFonts w:ascii="Arial" w:eastAsia="Arial" w:hAnsi="Arial" w:cs="Arial"/>
        </w:rPr>
        <w:t>.</w:t>
      </w:r>
    </w:p>
    <w:p w14:paraId="0EA75A3A" w14:textId="696D9C1A" w:rsidR="00281121" w:rsidRDefault="00281121" w:rsidP="00DC296E">
      <w:pPr>
        <w:spacing w:before="120" w:line="360" w:lineRule="auto"/>
        <w:rPr>
          <w:rFonts w:ascii="Arial" w:eastAsia="Arial" w:hAnsi="Arial" w:cs="Arial"/>
        </w:rPr>
      </w:pPr>
      <w:r>
        <w:rPr>
          <w:rFonts w:ascii="Arial" w:eastAsia="Arial" w:hAnsi="Arial" w:cs="Arial"/>
        </w:rPr>
        <w:t>“</w:t>
      </w:r>
      <w:r w:rsidRPr="00281121">
        <w:rPr>
          <w:rFonts w:ascii="Arial" w:eastAsia="Arial" w:hAnsi="Arial" w:cs="Arial"/>
        </w:rPr>
        <w:t>This collaboration</w:t>
      </w:r>
      <w:r>
        <w:rPr>
          <w:rFonts w:ascii="Arial" w:eastAsia="Arial" w:hAnsi="Arial" w:cs="Arial"/>
        </w:rPr>
        <w:t>,</w:t>
      </w:r>
      <w:r w:rsidRPr="00281121">
        <w:rPr>
          <w:rFonts w:ascii="Arial" w:eastAsia="Arial" w:hAnsi="Arial" w:cs="Arial"/>
        </w:rPr>
        <w:t xml:space="preserve"> alongside the</w:t>
      </w:r>
      <w:r>
        <w:rPr>
          <w:rFonts w:ascii="Arial" w:eastAsia="Arial" w:hAnsi="Arial" w:cs="Arial"/>
        </w:rPr>
        <w:t xml:space="preserve"> recent</w:t>
      </w:r>
      <w:r w:rsidRPr="00281121">
        <w:rPr>
          <w:rFonts w:ascii="Arial" w:eastAsia="Arial" w:hAnsi="Arial" w:cs="Arial"/>
        </w:rPr>
        <w:t xml:space="preserve"> introduction of Susterra fertilizer</w:t>
      </w:r>
      <w:r>
        <w:rPr>
          <w:rFonts w:ascii="Arial" w:eastAsia="Arial" w:hAnsi="Arial" w:cs="Arial"/>
        </w:rPr>
        <w:t>,</w:t>
      </w:r>
      <w:r w:rsidR="00994F03">
        <w:rPr>
          <w:rFonts w:ascii="Arial" w:eastAsia="Arial" w:hAnsi="Arial" w:cs="Arial"/>
        </w:rPr>
        <w:t xml:space="preserve"> is</w:t>
      </w:r>
      <w:r w:rsidRPr="00281121">
        <w:rPr>
          <w:rFonts w:ascii="Arial" w:eastAsia="Arial" w:hAnsi="Arial" w:cs="Arial"/>
        </w:rPr>
        <w:t xml:space="preserve"> one of several steps Mosaic intends to take to bu</w:t>
      </w:r>
      <w:r>
        <w:rPr>
          <w:rFonts w:ascii="Arial" w:eastAsia="Arial" w:hAnsi="Arial" w:cs="Arial"/>
        </w:rPr>
        <w:t xml:space="preserve">ild out a soil health portfolio,” said Walt Precourt, Mosaic </w:t>
      </w:r>
      <w:r w:rsidR="00EF4D84">
        <w:rPr>
          <w:rFonts w:ascii="Arial" w:eastAsia="Arial" w:hAnsi="Arial" w:cs="Arial"/>
        </w:rPr>
        <w:t>Senior Vice President</w:t>
      </w:r>
      <w:r>
        <w:rPr>
          <w:rFonts w:ascii="Arial" w:eastAsia="Arial" w:hAnsi="Arial" w:cs="Arial"/>
        </w:rPr>
        <w:t>–Strategy and Growth. “</w:t>
      </w:r>
      <w:r w:rsidR="00B62A96">
        <w:rPr>
          <w:rFonts w:ascii="Arial" w:eastAsia="Arial" w:hAnsi="Arial" w:cs="Arial"/>
        </w:rPr>
        <w:t>O</w:t>
      </w:r>
      <w:r w:rsidRPr="00281121">
        <w:rPr>
          <w:rFonts w:ascii="Arial" w:eastAsia="Arial" w:hAnsi="Arial" w:cs="Arial"/>
        </w:rPr>
        <w:t>ur com</w:t>
      </w:r>
      <w:r w:rsidR="00EF4D84">
        <w:rPr>
          <w:rFonts w:ascii="Arial" w:eastAsia="Arial" w:hAnsi="Arial" w:cs="Arial"/>
        </w:rPr>
        <w:t>mitment to nutrient stewardship and</w:t>
      </w:r>
      <w:r w:rsidRPr="00281121">
        <w:rPr>
          <w:rFonts w:ascii="Arial" w:eastAsia="Arial" w:hAnsi="Arial" w:cs="Arial"/>
        </w:rPr>
        <w:t xml:space="preserve"> providing advances in soil health</w:t>
      </w:r>
      <w:r w:rsidR="00B62A96">
        <w:rPr>
          <w:rFonts w:ascii="Arial" w:eastAsia="Arial" w:hAnsi="Arial" w:cs="Arial"/>
        </w:rPr>
        <w:t xml:space="preserve"> make</w:t>
      </w:r>
      <w:r w:rsidRPr="00281121">
        <w:rPr>
          <w:rFonts w:ascii="Arial" w:eastAsia="Arial" w:hAnsi="Arial" w:cs="Arial"/>
        </w:rPr>
        <w:t xml:space="preserve"> </w:t>
      </w:r>
      <w:r w:rsidR="00DB34E5">
        <w:rPr>
          <w:rFonts w:ascii="Arial" w:eastAsia="Arial" w:hAnsi="Arial" w:cs="Arial"/>
        </w:rPr>
        <w:t xml:space="preserve">these products </w:t>
      </w:r>
      <w:r w:rsidRPr="00281121">
        <w:rPr>
          <w:rFonts w:ascii="Arial" w:eastAsia="Arial" w:hAnsi="Arial" w:cs="Arial"/>
        </w:rPr>
        <w:t xml:space="preserve">a natural extension of our ability to help </w:t>
      </w:r>
      <w:r w:rsidR="00B62A96">
        <w:rPr>
          <w:rFonts w:ascii="Arial" w:eastAsia="Arial" w:hAnsi="Arial" w:cs="Arial"/>
        </w:rPr>
        <w:t>Mosaic</w:t>
      </w:r>
      <w:r w:rsidR="00B62A96" w:rsidRPr="00281121">
        <w:rPr>
          <w:rFonts w:ascii="Arial" w:eastAsia="Arial" w:hAnsi="Arial" w:cs="Arial"/>
        </w:rPr>
        <w:t xml:space="preserve"> </w:t>
      </w:r>
      <w:r w:rsidRPr="00281121">
        <w:rPr>
          <w:rFonts w:ascii="Arial" w:eastAsia="Arial" w:hAnsi="Arial" w:cs="Arial"/>
        </w:rPr>
        <w:t>customers achieve their goals.</w:t>
      </w:r>
      <w:r>
        <w:rPr>
          <w:rFonts w:ascii="Arial" w:eastAsia="Arial" w:hAnsi="Arial" w:cs="Arial"/>
        </w:rPr>
        <w:t>”</w:t>
      </w:r>
    </w:p>
    <w:p w14:paraId="453D24C8" w14:textId="0804102E" w:rsidR="00DC296E" w:rsidRPr="00DC296E" w:rsidRDefault="00281121" w:rsidP="00DC296E">
      <w:pPr>
        <w:spacing w:before="120" w:line="360" w:lineRule="auto"/>
        <w:rPr>
          <w:rFonts w:ascii="Arial" w:eastAsia="Arial" w:hAnsi="Arial" w:cs="Arial"/>
        </w:rPr>
      </w:pPr>
      <w:r>
        <w:rPr>
          <w:rFonts w:ascii="Arial" w:eastAsia="Arial" w:hAnsi="Arial" w:cs="Arial"/>
        </w:rPr>
        <w:t xml:space="preserve">Under the agreement, </w:t>
      </w:r>
      <w:r w:rsidRPr="00281121">
        <w:rPr>
          <w:rFonts w:ascii="Arial" w:eastAsia="Arial" w:hAnsi="Arial" w:cs="Arial"/>
        </w:rPr>
        <w:t>Mosaic will have exclusive rights to the nitrogen</w:t>
      </w:r>
      <w:r w:rsidR="00672CB9">
        <w:rPr>
          <w:rFonts w:ascii="Arial" w:eastAsia="Arial" w:hAnsi="Arial" w:cs="Arial"/>
        </w:rPr>
        <w:t>-</w:t>
      </w:r>
      <w:r w:rsidRPr="00281121">
        <w:rPr>
          <w:rFonts w:ascii="Arial" w:eastAsia="Arial" w:hAnsi="Arial" w:cs="Arial"/>
        </w:rPr>
        <w:t xml:space="preserve">fixing technology in the Americas, initially focused on corn, wheat, cotton and sugarcane. </w:t>
      </w:r>
      <w:r w:rsidR="00DC296E" w:rsidRPr="00DC296E">
        <w:rPr>
          <w:rFonts w:ascii="Arial" w:eastAsia="Arial" w:hAnsi="Arial" w:cs="Arial"/>
        </w:rPr>
        <w:t xml:space="preserve">  </w:t>
      </w:r>
    </w:p>
    <w:p w14:paraId="55B8F1F5" w14:textId="77777777" w:rsidR="00DB364C" w:rsidRDefault="00FE7B0B" w:rsidP="00BA586D">
      <w:pPr>
        <w:spacing w:before="120" w:line="360" w:lineRule="auto"/>
        <w:jc w:val="both"/>
        <w:rPr>
          <w:rFonts w:ascii="Arial" w:eastAsia="Arial" w:hAnsi="Arial" w:cs="Arial"/>
          <w:b/>
        </w:rPr>
      </w:pPr>
      <w:r>
        <w:rPr>
          <w:rFonts w:ascii="Arial" w:eastAsia="Arial" w:hAnsi="Arial" w:cs="Arial"/>
          <w:b/>
        </w:rPr>
        <w:br/>
      </w:r>
      <w:r w:rsidR="007603EB">
        <w:rPr>
          <w:rFonts w:ascii="Arial" w:eastAsia="Arial" w:hAnsi="Arial" w:cs="Arial"/>
          <w:b/>
        </w:rPr>
        <w:t>About The Mosaic Company</w:t>
      </w:r>
    </w:p>
    <w:p w14:paraId="33273406" w14:textId="77777777" w:rsidR="00915869" w:rsidRDefault="00892D1C" w:rsidP="00915869">
      <w:pPr>
        <w:spacing w:line="360" w:lineRule="auto"/>
        <w:rPr>
          <w:rFonts w:ascii="Arial" w:eastAsia="Arial" w:hAnsi="Arial" w:cs="Arial"/>
        </w:rPr>
      </w:pPr>
      <w:r w:rsidRPr="00961582">
        <w:rPr>
          <w:rFonts w:ascii="Arial" w:eastAsia="Arial" w:hAnsi="Arial" w:cs="Arial"/>
        </w:rPr>
        <w:t xml:space="preserve">The Mosaic Company is one of the world's leading producers and marketers of concentrated phosphate and potash crop nutrients. Mosaic is a single-source provider of phosphate and potash fertilizers and feed ingredients for the global agriculture industry. More information on the company is available at </w:t>
      </w:r>
      <w:hyperlink r:id="rId12" w:history="1">
        <w:r w:rsidR="00DB7A11" w:rsidRPr="00961582">
          <w:rPr>
            <w:rStyle w:val="Hyperlink"/>
            <w:rFonts w:ascii="Arial" w:eastAsia="Arial" w:hAnsi="Arial" w:cs="Arial"/>
          </w:rPr>
          <w:t>www.mosaicco.com</w:t>
        </w:r>
      </w:hyperlink>
      <w:bookmarkStart w:id="4" w:name="Notable_Items"/>
      <w:bookmarkStart w:id="5" w:name="Income_Statement"/>
      <w:bookmarkStart w:id="6" w:name="Balance_Sheet"/>
      <w:bookmarkStart w:id="7" w:name="Cash_Flow"/>
      <w:bookmarkStart w:id="8" w:name="Earnings_per_Share_Caclulation"/>
      <w:bookmarkEnd w:id="4"/>
      <w:bookmarkEnd w:id="5"/>
      <w:bookmarkEnd w:id="6"/>
      <w:bookmarkEnd w:id="7"/>
      <w:bookmarkEnd w:id="8"/>
      <w:r w:rsidR="009F1A3F">
        <w:rPr>
          <w:rStyle w:val="Hyperlink"/>
          <w:rFonts w:ascii="Arial" w:eastAsia="Arial" w:hAnsi="Arial" w:cs="Arial"/>
        </w:rPr>
        <w:t>.</w:t>
      </w:r>
      <w:r w:rsidR="009F1A3F">
        <w:rPr>
          <w:rStyle w:val="Hyperlink"/>
          <w:rFonts w:ascii="Arial" w:eastAsia="Arial" w:hAnsi="Arial" w:cs="Arial"/>
        </w:rPr>
        <w:br/>
      </w:r>
    </w:p>
    <w:p w14:paraId="5E25E31A" w14:textId="09C707CC" w:rsidR="00790C97" w:rsidRPr="00BB5B68" w:rsidRDefault="009C34BA" w:rsidP="00E60866">
      <w:pPr>
        <w:spacing w:line="360" w:lineRule="auto"/>
        <w:rPr>
          <w:sz w:val="19"/>
          <w:szCs w:val="19"/>
        </w:rPr>
      </w:pPr>
      <w:r w:rsidRPr="00BB5B68">
        <w:rPr>
          <w:rFonts w:cs="Arial"/>
          <w:i/>
          <w:iCs/>
          <w:sz w:val="19"/>
          <w:szCs w:val="19"/>
        </w:rPr>
        <w:t xml:space="preserve">This release contains forward-looking statements within the meaning of the Private Securities Litigation Reform Act of 1995. Such statements are based upon the current beliefs and expectations of The Mosaic Company's management and are subject to significant risks and uncertainties. These risks and uncertainties include, difficulties with realization of the benefits of our strategic plans, as well as other risks and uncertainties reported from time to time in The Mosaic Company's reports filed with the Securities and Exchange Commission. </w:t>
      </w:r>
      <w:bookmarkEnd w:id="2"/>
    </w:p>
    <w:sectPr w:rsidR="00790C97" w:rsidRPr="00BB5B68" w:rsidSect="009F1A3F">
      <w:headerReference w:type="even" r:id="rId13"/>
      <w:headerReference w:type="default" r:id="rId14"/>
      <w:footerReference w:type="even" r:id="rId15"/>
      <w:footerReference w:type="default" r:id="rId16"/>
      <w:pgSz w:w="12240" w:h="15840"/>
      <w:pgMar w:top="720" w:right="720" w:bottom="990" w:left="720" w:header="160" w:footer="16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3807C" w14:textId="77777777" w:rsidR="00C116B3" w:rsidRDefault="00C116B3">
      <w:r>
        <w:separator/>
      </w:r>
    </w:p>
  </w:endnote>
  <w:endnote w:type="continuationSeparator" w:id="0">
    <w:p w14:paraId="5F458EA7" w14:textId="77777777" w:rsidR="00C116B3" w:rsidRDefault="00C1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080" w:type="dxa"/>
      <w:tblLayout w:type="fixed"/>
      <w:tblCellMar>
        <w:left w:w="10" w:type="dxa"/>
        <w:right w:w="10" w:type="dxa"/>
      </w:tblCellMar>
      <w:tblLook w:val="04A0" w:firstRow="1" w:lastRow="0" w:firstColumn="1" w:lastColumn="0" w:noHBand="0" w:noVBand="1"/>
    </w:tblPr>
    <w:tblGrid>
      <w:gridCol w:w="12080"/>
    </w:tblGrid>
    <w:tr w:rsidR="00452445" w14:paraId="2D063764" w14:textId="77777777" w:rsidTr="425B8586">
      <w:trPr>
        <w:trHeight w:hRule="exact" w:val="1900"/>
      </w:trPr>
      <w:tc>
        <w:tcPr>
          <w:tcW w:w="12080" w:type="dxa"/>
          <w:tcMar>
            <w:left w:w="0" w:type="dxa"/>
            <w:right w:w="60" w:type="dxa"/>
          </w:tcMar>
        </w:tcPr>
        <w:p w14:paraId="7BF62569" w14:textId="77777777" w:rsidR="00452445" w:rsidRDefault="425B8586">
          <w:pPr>
            <w:keepLines/>
            <w:spacing w:before="40" w:after="40" w:line="288" w:lineRule="auto"/>
            <w:jc w:val="right"/>
          </w:pPr>
          <w:r>
            <w:rPr>
              <w:noProof/>
            </w:rPr>
            <w:drawing>
              <wp:inline distT="0" distB="0" distL="0" distR="0" wp14:anchorId="46C59D8A" wp14:editId="2639A08F">
                <wp:extent cx="7632698" cy="1066800"/>
                <wp:effectExtent l="0" t="0" r="0" b="0"/>
                <wp:docPr id="21" name="Image - 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 Image2.jpeg"/>
                        <pic:cNvPicPr/>
                      </pic:nvPicPr>
                      <pic:blipFill>
                        <a:blip r:embed="rId1">
                          <a:extLst>
                            <a:ext uri="{28A0092B-C50C-407E-A947-70E740481C1C}">
                              <a14:useLocalDpi xmlns:a14="http://schemas.microsoft.com/office/drawing/2010/main" val="0"/>
                            </a:ext>
                          </a:extLst>
                        </a:blip>
                        <a:stretch>
                          <a:fillRect/>
                        </a:stretch>
                      </pic:blipFill>
                      <pic:spPr>
                        <a:xfrm>
                          <a:off x="0" y="0"/>
                          <a:ext cx="7632698" cy="1066800"/>
                        </a:xfrm>
                        <a:prstGeom prst="rect">
                          <a:avLst/>
                        </a:prstGeom>
                      </pic:spPr>
                    </pic:pic>
                  </a:graphicData>
                </a:graphic>
              </wp:inline>
            </w:drawing>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080" w:type="dxa"/>
      <w:tblLayout w:type="fixed"/>
      <w:tblCellMar>
        <w:left w:w="10" w:type="dxa"/>
        <w:right w:w="10" w:type="dxa"/>
      </w:tblCellMar>
      <w:tblLook w:val="04A0" w:firstRow="1" w:lastRow="0" w:firstColumn="1" w:lastColumn="0" w:noHBand="0" w:noVBand="1"/>
    </w:tblPr>
    <w:tblGrid>
      <w:gridCol w:w="12080"/>
    </w:tblGrid>
    <w:tr w:rsidR="00452445" w14:paraId="3F4D0B66" w14:textId="77777777" w:rsidTr="425B8586">
      <w:trPr>
        <w:trHeight w:hRule="exact" w:val="1900"/>
      </w:trPr>
      <w:tc>
        <w:tcPr>
          <w:tcW w:w="12080" w:type="dxa"/>
          <w:tcMar>
            <w:left w:w="0" w:type="dxa"/>
            <w:right w:w="60" w:type="dxa"/>
          </w:tcMar>
        </w:tcPr>
        <w:p w14:paraId="0A6E29FA" w14:textId="77777777" w:rsidR="00452445" w:rsidRDefault="425B8586">
          <w:pPr>
            <w:keepLines/>
            <w:spacing w:before="40" w:after="40" w:line="288" w:lineRule="auto"/>
            <w:jc w:val="right"/>
          </w:pPr>
          <w:r>
            <w:rPr>
              <w:noProof/>
            </w:rPr>
            <w:drawing>
              <wp:inline distT="0" distB="0" distL="0" distR="0" wp14:anchorId="0BD1573C" wp14:editId="790C3EA2">
                <wp:extent cx="7632698" cy="1066800"/>
                <wp:effectExtent l="0" t="0" r="0" b="0"/>
                <wp:docPr id="22" name="Image - 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 Image2.jpeg"/>
                        <pic:cNvPicPr/>
                      </pic:nvPicPr>
                      <pic:blipFill>
                        <a:blip r:embed="rId1">
                          <a:extLst>
                            <a:ext uri="{28A0092B-C50C-407E-A947-70E740481C1C}">
                              <a14:useLocalDpi xmlns:a14="http://schemas.microsoft.com/office/drawing/2010/main" val="0"/>
                            </a:ext>
                          </a:extLst>
                        </a:blip>
                        <a:stretch>
                          <a:fillRect/>
                        </a:stretch>
                      </pic:blipFill>
                      <pic:spPr>
                        <a:xfrm>
                          <a:off x="0" y="0"/>
                          <a:ext cx="7632698" cy="1066800"/>
                        </a:xfrm>
                        <a:prstGeom prst="rect">
                          <a:avLst/>
                        </a:prstGeom>
                      </pic:spPr>
                    </pic:pic>
                  </a:graphicData>
                </a:graphic>
              </wp:inline>
            </w:drawing>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F5B55" w14:textId="77777777" w:rsidR="00C116B3" w:rsidRDefault="00C116B3">
      <w:r>
        <w:separator/>
      </w:r>
    </w:p>
  </w:footnote>
  <w:footnote w:type="continuationSeparator" w:id="0">
    <w:p w14:paraId="0DBEA32C" w14:textId="77777777" w:rsidR="00C116B3" w:rsidRDefault="00C11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2D95" w14:textId="77777777" w:rsidR="00452445" w:rsidRDefault="00452445">
    <w:pPr>
      <w:spacing w:line="288"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3763E" w14:textId="77777777" w:rsidR="00452445" w:rsidRDefault="00452445">
    <w:pPr>
      <w:spacing w:line="288"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50E3B"/>
    <w:multiLevelType w:val="hybridMultilevel"/>
    <w:tmpl w:val="4FDE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D40B8"/>
    <w:multiLevelType w:val="hybridMultilevel"/>
    <w:tmpl w:val="E76846D0"/>
    <w:lvl w:ilvl="0" w:tplc="9ACE4B22">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64674"/>
    <w:multiLevelType w:val="hybridMultilevel"/>
    <w:tmpl w:val="3928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F2DFC"/>
    <w:multiLevelType w:val="hybridMultilevel"/>
    <w:tmpl w:val="065417E6"/>
    <w:lvl w:ilvl="0" w:tplc="25D00690">
      <w:start w:val="1"/>
      <w:numFmt w:val="decimal"/>
      <w:lvlText w:val="(%1)"/>
      <w:lvlJc w:val="left"/>
      <w:pPr>
        <w:ind w:hanging="360"/>
      </w:pPr>
      <w:rPr>
        <w:vertAlign w:val="superscript"/>
      </w:rPr>
    </w:lvl>
    <w:lvl w:ilvl="1" w:tplc="3D44BBE8">
      <w:numFmt w:val="decimal"/>
      <w:lvlText w:val=""/>
      <w:lvlJc w:val="left"/>
    </w:lvl>
    <w:lvl w:ilvl="2" w:tplc="51D6163C">
      <w:numFmt w:val="decimal"/>
      <w:lvlText w:val=""/>
      <w:lvlJc w:val="left"/>
    </w:lvl>
    <w:lvl w:ilvl="3" w:tplc="6AA251B8">
      <w:numFmt w:val="decimal"/>
      <w:lvlText w:val=""/>
      <w:lvlJc w:val="left"/>
    </w:lvl>
    <w:lvl w:ilvl="4" w:tplc="91D8960A">
      <w:numFmt w:val="decimal"/>
      <w:lvlText w:val=""/>
      <w:lvlJc w:val="left"/>
    </w:lvl>
    <w:lvl w:ilvl="5" w:tplc="9028B08A">
      <w:numFmt w:val="decimal"/>
      <w:lvlText w:val=""/>
      <w:lvlJc w:val="left"/>
    </w:lvl>
    <w:lvl w:ilvl="6" w:tplc="3240298A">
      <w:numFmt w:val="decimal"/>
      <w:lvlText w:val=""/>
      <w:lvlJc w:val="left"/>
    </w:lvl>
    <w:lvl w:ilvl="7" w:tplc="0154545A">
      <w:numFmt w:val="decimal"/>
      <w:lvlText w:val=""/>
      <w:lvlJc w:val="left"/>
    </w:lvl>
    <w:lvl w:ilvl="8" w:tplc="67220C64">
      <w:numFmt w:val="decimal"/>
      <w:lvlText w:val=""/>
      <w:lvlJc w:val="left"/>
    </w:lvl>
  </w:abstractNum>
  <w:abstractNum w:abstractNumId="4" w15:restartNumberingAfterBreak="0">
    <w:nsid w:val="57DC67E5"/>
    <w:multiLevelType w:val="hybridMultilevel"/>
    <w:tmpl w:val="3312A04C"/>
    <w:lvl w:ilvl="0" w:tplc="2ED6229C">
      <w:start w:val="1"/>
      <w:numFmt w:val="bullet"/>
      <w:lvlText w:val="• "/>
      <w:lvlJc w:val="left"/>
      <w:pPr>
        <w:ind w:hanging="360"/>
      </w:pPr>
    </w:lvl>
    <w:lvl w:ilvl="1" w:tplc="06F2C156">
      <w:numFmt w:val="decimal"/>
      <w:lvlText w:val=""/>
      <w:lvlJc w:val="left"/>
    </w:lvl>
    <w:lvl w:ilvl="2" w:tplc="866448DC">
      <w:numFmt w:val="decimal"/>
      <w:lvlText w:val=""/>
      <w:lvlJc w:val="left"/>
    </w:lvl>
    <w:lvl w:ilvl="3" w:tplc="96827E8E">
      <w:numFmt w:val="decimal"/>
      <w:lvlText w:val=""/>
      <w:lvlJc w:val="left"/>
    </w:lvl>
    <w:lvl w:ilvl="4" w:tplc="AA8071E6">
      <w:numFmt w:val="decimal"/>
      <w:lvlText w:val=""/>
      <w:lvlJc w:val="left"/>
    </w:lvl>
    <w:lvl w:ilvl="5" w:tplc="DCD6A328">
      <w:numFmt w:val="decimal"/>
      <w:lvlText w:val=""/>
      <w:lvlJc w:val="left"/>
    </w:lvl>
    <w:lvl w:ilvl="6" w:tplc="CBDAEA80">
      <w:numFmt w:val="decimal"/>
      <w:lvlText w:val=""/>
      <w:lvlJc w:val="left"/>
    </w:lvl>
    <w:lvl w:ilvl="7" w:tplc="E036FA52">
      <w:numFmt w:val="decimal"/>
      <w:lvlText w:val=""/>
      <w:lvlJc w:val="left"/>
    </w:lvl>
    <w:lvl w:ilvl="8" w:tplc="DBBA0E6A">
      <w:numFmt w:val="decimal"/>
      <w:lvlText w:val=""/>
      <w:lvlJc w:val="left"/>
    </w:lvl>
  </w:abstractNum>
  <w:abstractNum w:abstractNumId="5" w15:restartNumberingAfterBreak="0">
    <w:nsid w:val="69245B6D"/>
    <w:multiLevelType w:val="hybridMultilevel"/>
    <w:tmpl w:val="58AAF5EA"/>
    <w:lvl w:ilvl="0" w:tplc="C0AABB2A">
      <w:start w:val="1"/>
      <w:numFmt w:val="bullet"/>
      <w:lvlText w:val="• "/>
      <w:lvlJc w:val="left"/>
      <w:pPr>
        <w:ind w:hanging="360"/>
      </w:pPr>
    </w:lvl>
    <w:lvl w:ilvl="1" w:tplc="CD3ADF1E">
      <w:numFmt w:val="decimal"/>
      <w:lvlText w:val=""/>
      <w:lvlJc w:val="left"/>
    </w:lvl>
    <w:lvl w:ilvl="2" w:tplc="29368880">
      <w:numFmt w:val="decimal"/>
      <w:lvlText w:val=""/>
      <w:lvlJc w:val="left"/>
    </w:lvl>
    <w:lvl w:ilvl="3" w:tplc="FF3A00BA">
      <w:numFmt w:val="decimal"/>
      <w:lvlText w:val=""/>
      <w:lvlJc w:val="left"/>
    </w:lvl>
    <w:lvl w:ilvl="4" w:tplc="45541BEC">
      <w:numFmt w:val="decimal"/>
      <w:lvlText w:val=""/>
      <w:lvlJc w:val="left"/>
    </w:lvl>
    <w:lvl w:ilvl="5" w:tplc="80BE59FA">
      <w:numFmt w:val="decimal"/>
      <w:lvlText w:val=""/>
      <w:lvlJc w:val="left"/>
    </w:lvl>
    <w:lvl w:ilvl="6" w:tplc="519C45D0">
      <w:numFmt w:val="decimal"/>
      <w:lvlText w:val=""/>
      <w:lvlJc w:val="left"/>
    </w:lvl>
    <w:lvl w:ilvl="7" w:tplc="D0A282C0">
      <w:numFmt w:val="decimal"/>
      <w:lvlText w:val=""/>
      <w:lvlJc w:val="left"/>
    </w:lvl>
    <w:lvl w:ilvl="8" w:tplc="6AE2BB98">
      <w:numFmt w:val="decimal"/>
      <w:lvlText w:val=""/>
      <w:lvlJc w:val="left"/>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4C"/>
    <w:rsid w:val="00014B15"/>
    <w:rsid w:val="00034E0D"/>
    <w:rsid w:val="0005315C"/>
    <w:rsid w:val="00060556"/>
    <w:rsid w:val="00061C97"/>
    <w:rsid w:val="00085CB8"/>
    <w:rsid w:val="0009157C"/>
    <w:rsid w:val="000928AF"/>
    <w:rsid w:val="00096E6E"/>
    <w:rsid w:val="00097DBE"/>
    <w:rsid w:val="000A10D2"/>
    <w:rsid w:val="000A1ED8"/>
    <w:rsid w:val="000E5A9E"/>
    <w:rsid w:val="000F6D7A"/>
    <w:rsid w:val="00113888"/>
    <w:rsid w:val="00135D75"/>
    <w:rsid w:val="00137A7C"/>
    <w:rsid w:val="00154E73"/>
    <w:rsid w:val="00155CCB"/>
    <w:rsid w:val="00164B5A"/>
    <w:rsid w:val="00167DBB"/>
    <w:rsid w:val="00173CF1"/>
    <w:rsid w:val="00182CFC"/>
    <w:rsid w:val="001A4E44"/>
    <w:rsid w:val="001F3890"/>
    <w:rsid w:val="001F4668"/>
    <w:rsid w:val="00223052"/>
    <w:rsid w:val="00223208"/>
    <w:rsid w:val="0023397F"/>
    <w:rsid w:val="00275FF5"/>
    <w:rsid w:val="00281121"/>
    <w:rsid w:val="002A549C"/>
    <w:rsid w:val="002B1F80"/>
    <w:rsid w:val="002D4771"/>
    <w:rsid w:val="00310E33"/>
    <w:rsid w:val="003206D9"/>
    <w:rsid w:val="0035314D"/>
    <w:rsid w:val="00365879"/>
    <w:rsid w:val="00365B25"/>
    <w:rsid w:val="0039271B"/>
    <w:rsid w:val="004069A0"/>
    <w:rsid w:val="004122DA"/>
    <w:rsid w:val="00412787"/>
    <w:rsid w:val="00452445"/>
    <w:rsid w:val="00461155"/>
    <w:rsid w:val="004A6A71"/>
    <w:rsid w:val="004B659B"/>
    <w:rsid w:val="004B6F51"/>
    <w:rsid w:val="004C1948"/>
    <w:rsid w:val="004D161B"/>
    <w:rsid w:val="004E15CA"/>
    <w:rsid w:val="00505FFA"/>
    <w:rsid w:val="005144C6"/>
    <w:rsid w:val="0052390F"/>
    <w:rsid w:val="00532867"/>
    <w:rsid w:val="00595962"/>
    <w:rsid w:val="005B5EB4"/>
    <w:rsid w:val="005C3EDD"/>
    <w:rsid w:val="006273C1"/>
    <w:rsid w:val="00672CB9"/>
    <w:rsid w:val="00680FF4"/>
    <w:rsid w:val="00692B6E"/>
    <w:rsid w:val="006B320A"/>
    <w:rsid w:val="006E14A1"/>
    <w:rsid w:val="006E6422"/>
    <w:rsid w:val="00700DFC"/>
    <w:rsid w:val="007024DB"/>
    <w:rsid w:val="007120EE"/>
    <w:rsid w:val="00713DD2"/>
    <w:rsid w:val="00714B0D"/>
    <w:rsid w:val="007326A6"/>
    <w:rsid w:val="007603EB"/>
    <w:rsid w:val="00790C97"/>
    <w:rsid w:val="007A7695"/>
    <w:rsid w:val="007C083E"/>
    <w:rsid w:val="007C0CB1"/>
    <w:rsid w:val="007E43D0"/>
    <w:rsid w:val="007F093A"/>
    <w:rsid w:val="007F625E"/>
    <w:rsid w:val="007F6350"/>
    <w:rsid w:val="00810212"/>
    <w:rsid w:val="00830A26"/>
    <w:rsid w:val="00866DB8"/>
    <w:rsid w:val="008671B0"/>
    <w:rsid w:val="00871C83"/>
    <w:rsid w:val="00892D1C"/>
    <w:rsid w:val="008C206F"/>
    <w:rsid w:val="008C57B5"/>
    <w:rsid w:val="008D358F"/>
    <w:rsid w:val="008E05E3"/>
    <w:rsid w:val="008E3149"/>
    <w:rsid w:val="008F525B"/>
    <w:rsid w:val="00907381"/>
    <w:rsid w:val="00915869"/>
    <w:rsid w:val="009229D3"/>
    <w:rsid w:val="0092520B"/>
    <w:rsid w:val="0092561F"/>
    <w:rsid w:val="00925C86"/>
    <w:rsid w:val="00955E87"/>
    <w:rsid w:val="00961582"/>
    <w:rsid w:val="00964B77"/>
    <w:rsid w:val="00980946"/>
    <w:rsid w:val="00980AC3"/>
    <w:rsid w:val="00982984"/>
    <w:rsid w:val="00984C1F"/>
    <w:rsid w:val="00994F03"/>
    <w:rsid w:val="00997B9A"/>
    <w:rsid w:val="009A66FF"/>
    <w:rsid w:val="009B17DA"/>
    <w:rsid w:val="009B2956"/>
    <w:rsid w:val="009C34BA"/>
    <w:rsid w:val="009F1A3F"/>
    <w:rsid w:val="009F3DC2"/>
    <w:rsid w:val="00A62FFC"/>
    <w:rsid w:val="00A93A39"/>
    <w:rsid w:val="00AB692C"/>
    <w:rsid w:val="00AF148C"/>
    <w:rsid w:val="00B11E01"/>
    <w:rsid w:val="00B12FBE"/>
    <w:rsid w:val="00B343AF"/>
    <w:rsid w:val="00B62A96"/>
    <w:rsid w:val="00B668F8"/>
    <w:rsid w:val="00B72224"/>
    <w:rsid w:val="00B74F2E"/>
    <w:rsid w:val="00B979D2"/>
    <w:rsid w:val="00BA586D"/>
    <w:rsid w:val="00BB4E9E"/>
    <w:rsid w:val="00BB5B68"/>
    <w:rsid w:val="00BC2433"/>
    <w:rsid w:val="00BC2E00"/>
    <w:rsid w:val="00BC6D0A"/>
    <w:rsid w:val="00BE4030"/>
    <w:rsid w:val="00C10292"/>
    <w:rsid w:val="00C116B3"/>
    <w:rsid w:val="00C14919"/>
    <w:rsid w:val="00C31F6C"/>
    <w:rsid w:val="00C40847"/>
    <w:rsid w:val="00C4355C"/>
    <w:rsid w:val="00C54454"/>
    <w:rsid w:val="00C757AF"/>
    <w:rsid w:val="00CB4487"/>
    <w:rsid w:val="00CC066F"/>
    <w:rsid w:val="00CD2156"/>
    <w:rsid w:val="00CE20E2"/>
    <w:rsid w:val="00CE730A"/>
    <w:rsid w:val="00D03F56"/>
    <w:rsid w:val="00D125BB"/>
    <w:rsid w:val="00D37AB1"/>
    <w:rsid w:val="00D45533"/>
    <w:rsid w:val="00D60F77"/>
    <w:rsid w:val="00D63CA8"/>
    <w:rsid w:val="00D659D4"/>
    <w:rsid w:val="00D668CD"/>
    <w:rsid w:val="00D83D47"/>
    <w:rsid w:val="00D946EF"/>
    <w:rsid w:val="00D97376"/>
    <w:rsid w:val="00DB34E5"/>
    <w:rsid w:val="00DB364C"/>
    <w:rsid w:val="00DB486A"/>
    <w:rsid w:val="00DB7A11"/>
    <w:rsid w:val="00DC296E"/>
    <w:rsid w:val="00DC3262"/>
    <w:rsid w:val="00DD0C47"/>
    <w:rsid w:val="00DF37E7"/>
    <w:rsid w:val="00E07DFC"/>
    <w:rsid w:val="00E15EC3"/>
    <w:rsid w:val="00E51CA7"/>
    <w:rsid w:val="00E60866"/>
    <w:rsid w:val="00E650D7"/>
    <w:rsid w:val="00E67A92"/>
    <w:rsid w:val="00E80D8F"/>
    <w:rsid w:val="00EC4E32"/>
    <w:rsid w:val="00EF4D84"/>
    <w:rsid w:val="00F129C5"/>
    <w:rsid w:val="00F144DD"/>
    <w:rsid w:val="00F17A81"/>
    <w:rsid w:val="00F21064"/>
    <w:rsid w:val="00F265C5"/>
    <w:rsid w:val="00F652AB"/>
    <w:rsid w:val="00F84DF4"/>
    <w:rsid w:val="00FB5929"/>
    <w:rsid w:val="00FC7130"/>
    <w:rsid w:val="00FE3E21"/>
    <w:rsid w:val="00FE7B0B"/>
    <w:rsid w:val="03EA2EAF"/>
    <w:rsid w:val="08F5476D"/>
    <w:rsid w:val="0ACC3340"/>
    <w:rsid w:val="18B8D4A0"/>
    <w:rsid w:val="1E164136"/>
    <w:rsid w:val="1FF12E04"/>
    <w:rsid w:val="2B3B939E"/>
    <w:rsid w:val="2C995F9B"/>
    <w:rsid w:val="399A7E6F"/>
    <w:rsid w:val="425B8586"/>
    <w:rsid w:val="73C20E39"/>
    <w:rsid w:val="78564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1926"/>
  <w15:docId w15:val="{FBB98215-663B-4F33-AAE6-0B37D9BC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16"/>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8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86D"/>
    <w:rPr>
      <w:rFonts w:ascii="Segoe UI" w:hAnsi="Segoe UI" w:cs="Segoe UI"/>
      <w:sz w:val="18"/>
      <w:szCs w:val="18"/>
    </w:rPr>
  </w:style>
  <w:style w:type="character" w:styleId="CommentReference">
    <w:name w:val="annotation reference"/>
    <w:basedOn w:val="DefaultParagraphFont"/>
    <w:uiPriority w:val="99"/>
    <w:semiHidden/>
    <w:unhideWhenUsed/>
    <w:rsid w:val="00EC4E32"/>
    <w:rPr>
      <w:sz w:val="16"/>
      <w:szCs w:val="16"/>
    </w:rPr>
  </w:style>
  <w:style w:type="paragraph" w:styleId="CommentText">
    <w:name w:val="annotation text"/>
    <w:basedOn w:val="Normal"/>
    <w:link w:val="CommentTextChar"/>
    <w:uiPriority w:val="99"/>
    <w:semiHidden/>
    <w:unhideWhenUsed/>
    <w:rsid w:val="00EC4E32"/>
  </w:style>
  <w:style w:type="character" w:customStyle="1" w:styleId="CommentTextChar">
    <w:name w:val="Comment Text Char"/>
    <w:basedOn w:val="DefaultParagraphFont"/>
    <w:link w:val="CommentText"/>
    <w:uiPriority w:val="99"/>
    <w:semiHidden/>
    <w:rsid w:val="00EC4E32"/>
  </w:style>
  <w:style w:type="paragraph" w:styleId="CommentSubject">
    <w:name w:val="annotation subject"/>
    <w:basedOn w:val="CommentText"/>
    <w:next w:val="CommentText"/>
    <w:link w:val="CommentSubjectChar"/>
    <w:uiPriority w:val="99"/>
    <w:semiHidden/>
    <w:unhideWhenUsed/>
    <w:rsid w:val="00EC4E32"/>
    <w:rPr>
      <w:b/>
      <w:bCs/>
    </w:rPr>
  </w:style>
  <w:style w:type="character" w:customStyle="1" w:styleId="CommentSubjectChar">
    <w:name w:val="Comment Subject Char"/>
    <w:basedOn w:val="CommentTextChar"/>
    <w:link w:val="CommentSubject"/>
    <w:uiPriority w:val="99"/>
    <w:semiHidden/>
    <w:rsid w:val="00EC4E32"/>
    <w:rPr>
      <w:b/>
      <w:bCs/>
    </w:rPr>
  </w:style>
  <w:style w:type="paragraph" w:styleId="ListParagraph">
    <w:name w:val="List Paragraph"/>
    <w:basedOn w:val="Normal"/>
    <w:uiPriority w:val="34"/>
    <w:qFormat/>
    <w:rsid w:val="00680FF4"/>
    <w:pPr>
      <w:ind w:left="720"/>
      <w:contextualSpacing/>
    </w:pPr>
  </w:style>
  <w:style w:type="paragraph" w:customStyle="1" w:styleId="NoSpacing0">
    <w:name w:val="No Spacing_0"/>
    <w:uiPriority w:val="1"/>
    <w:qFormat/>
    <w:rsid w:val="004B6F51"/>
    <w:rPr>
      <w:rFonts w:ascii="Arial" w:hAnsi="Arial"/>
      <w:kern w:val="0"/>
      <w:sz w:val="17"/>
      <w:szCs w:val="22"/>
    </w:rPr>
  </w:style>
  <w:style w:type="character" w:styleId="Hyperlink">
    <w:name w:val="Hyperlink"/>
    <w:basedOn w:val="DefaultParagraphFont"/>
    <w:uiPriority w:val="99"/>
    <w:unhideWhenUsed/>
    <w:rsid w:val="00DB7A11"/>
    <w:rPr>
      <w:color w:val="0563C1" w:themeColor="hyperlink"/>
      <w:u w:val="single"/>
    </w:rPr>
  </w:style>
  <w:style w:type="character" w:styleId="UnresolvedMention">
    <w:name w:val="Unresolved Mention"/>
    <w:basedOn w:val="DefaultParagraphFont"/>
    <w:uiPriority w:val="99"/>
    <w:semiHidden/>
    <w:unhideWhenUsed/>
    <w:rsid w:val="00DB7A11"/>
    <w:rPr>
      <w:color w:val="808080"/>
      <w:shd w:val="clear" w:color="auto" w:fill="E6E6E6"/>
    </w:rPr>
  </w:style>
  <w:style w:type="character" w:customStyle="1" w:styleId="normaltextrun">
    <w:name w:val="normaltextrun"/>
    <w:basedOn w:val="DefaultParagraphFont"/>
    <w:rsid w:val="00223052"/>
  </w:style>
  <w:style w:type="character" w:customStyle="1" w:styleId="spellingerror">
    <w:name w:val="spellingerror"/>
    <w:basedOn w:val="DefaultParagraphFont"/>
    <w:rsid w:val="009229D3"/>
  </w:style>
  <w:style w:type="paragraph" w:styleId="Revision">
    <w:name w:val="Revision"/>
    <w:hidden/>
    <w:uiPriority w:val="99"/>
    <w:semiHidden/>
    <w:rsid w:val="00233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69717">
      <w:bodyDiv w:val="1"/>
      <w:marLeft w:val="0"/>
      <w:marRight w:val="0"/>
      <w:marTop w:val="0"/>
      <w:marBottom w:val="0"/>
      <w:divBdr>
        <w:top w:val="none" w:sz="0" w:space="0" w:color="auto"/>
        <w:left w:val="none" w:sz="0" w:space="0" w:color="auto"/>
        <w:bottom w:val="none" w:sz="0" w:space="0" w:color="auto"/>
        <w:right w:val="none" w:sz="0" w:space="0" w:color="auto"/>
      </w:divBdr>
    </w:div>
    <w:div w:id="295574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saicc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6C25FDBA3AF0418D819FA72E8577A6" ma:contentTypeVersion="4" ma:contentTypeDescription="Create a new document." ma:contentTypeScope="" ma:versionID="e637acae953a1cfbf2a111b0e7da4edf">
  <xsd:schema xmlns:xsd="http://www.w3.org/2001/XMLSchema" xmlns:xs="http://www.w3.org/2001/XMLSchema" xmlns:p="http://schemas.microsoft.com/office/2006/metadata/properties" xmlns:ns2="b0460d99-1419-4d6f-a7dc-682beb760c31" targetNamespace="http://schemas.microsoft.com/office/2006/metadata/properties" ma:root="true" ma:fieldsID="a1d839cb5aa06b9af0adf8d8c4c2f2aa" ns2:_="">
    <xsd:import namespace="b0460d99-1419-4d6f-a7dc-682beb760c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60d99-1419-4d6f-a7dc-682beb760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E07AB-8D1F-4F19-B928-8AEA53B24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60d99-1419-4d6f-a7dc-682beb760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D930B-89AD-46BB-A6C2-FF66D10BE2EA}">
  <ds:schemaRefs>
    <ds:schemaRef ds:uri="http://schemas.microsoft.com/sharepoint/v3/contenttype/forms"/>
  </ds:schemaRefs>
</ds:datastoreItem>
</file>

<file path=customXml/itemProps3.xml><?xml version="1.0" encoding="utf-8"?>
<ds:datastoreItem xmlns:ds="http://schemas.openxmlformats.org/officeDocument/2006/customXml" ds:itemID="{841BC6D0-549C-43DF-996F-76AD9C6022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E15FC6-C0E8-42CB-B06F-9EC24840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app0.xml><?xml version="1.0" encoding="utf-8"?>
<Properties xmlns="http://schemas.openxmlformats.org/officeDocument/2006/extended-properties">
  <Application>SSC Docx Exporter</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workiva.com</dc:creator>
  <cp:keywords/>
  <dc:description/>
  <cp:lastModifiedBy>Langman, Laura - Plymouth</cp:lastModifiedBy>
  <cp:revision>3</cp:revision>
  <cp:lastPrinted>2020-01-26T18:36:00Z</cp:lastPrinted>
  <dcterms:created xsi:type="dcterms:W3CDTF">2020-12-08T21:05:00Z</dcterms:created>
  <dcterms:modified xsi:type="dcterms:W3CDTF">2020-12-08T21:56:00Z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0x0101005E6C25FDBA3AF0418D819FA72E8577A6</vt:lpwstr>
  </property>
</Properties>
</file>