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A0197" w14:textId="0F13DD87" w:rsidR="0021273E" w:rsidRPr="003D6414" w:rsidRDefault="002A2DA2" w:rsidP="00D836D2">
      <w:pPr>
        <w:widowControl w:val="0"/>
        <w:autoSpaceDE w:val="0"/>
        <w:autoSpaceDN w:val="0"/>
        <w:adjustRightInd w:val="0"/>
        <w:spacing w:after="0" w:line="240" w:lineRule="auto"/>
        <w:jc w:val="center"/>
        <w:rPr>
          <w:rFonts w:asciiTheme="minorHAnsi" w:hAnsiTheme="minorHAnsi" w:cs="Lato-Light"/>
          <w:b/>
          <w:sz w:val="28"/>
          <w:szCs w:val="28"/>
        </w:rPr>
      </w:pPr>
      <w:r w:rsidRPr="00944D8A">
        <w:rPr>
          <w:rFonts w:asciiTheme="minorHAnsi" w:hAnsiTheme="minorHAnsi" w:cs="Lato-Light"/>
          <w:b/>
          <w:sz w:val="28"/>
          <w:szCs w:val="28"/>
        </w:rPr>
        <w:t>Xenetic Biosciences</w:t>
      </w:r>
      <w:r w:rsidR="001A3DC7">
        <w:rPr>
          <w:rFonts w:asciiTheme="minorHAnsi" w:hAnsiTheme="minorHAnsi" w:cs="Lato-Light"/>
          <w:b/>
          <w:sz w:val="28"/>
          <w:szCs w:val="28"/>
        </w:rPr>
        <w:t xml:space="preserve">, Inc. </w:t>
      </w:r>
      <w:r w:rsidR="00384843" w:rsidRPr="003D6414">
        <w:rPr>
          <w:rFonts w:asciiTheme="minorHAnsi" w:hAnsiTheme="minorHAnsi" w:cs="Lato-Light"/>
          <w:b/>
          <w:sz w:val="28"/>
          <w:szCs w:val="28"/>
        </w:rPr>
        <w:t>Announces</w:t>
      </w:r>
      <w:r w:rsidR="00737C86" w:rsidRPr="003D6414">
        <w:rPr>
          <w:rFonts w:asciiTheme="minorHAnsi" w:hAnsiTheme="minorHAnsi" w:cs="Lato-Light"/>
          <w:b/>
          <w:sz w:val="28"/>
          <w:szCs w:val="28"/>
        </w:rPr>
        <w:t xml:space="preserve"> $</w:t>
      </w:r>
      <w:r w:rsidR="003D6414" w:rsidRPr="003D6414">
        <w:rPr>
          <w:rFonts w:asciiTheme="minorHAnsi" w:hAnsiTheme="minorHAnsi" w:cs="Lato-Light"/>
          <w:b/>
          <w:sz w:val="28"/>
          <w:szCs w:val="28"/>
        </w:rPr>
        <w:t>6.0</w:t>
      </w:r>
      <w:r w:rsidR="00737C86" w:rsidRPr="003D6414">
        <w:rPr>
          <w:rFonts w:asciiTheme="minorHAnsi" w:hAnsiTheme="minorHAnsi" w:cs="Lato-Light"/>
          <w:b/>
          <w:sz w:val="28"/>
          <w:szCs w:val="28"/>
        </w:rPr>
        <w:t xml:space="preserve"> Million Registered Direct Offering Priced At-The-Market</w:t>
      </w:r>
      <w:r w:rsidR="00D836D2" w:rsidRPr="003D6414">
        <w:rPr>
          <w:rFonts w:asciiTheme="minorHAnsi" w:hAnsiTheme="minorHAnsi" w:cs="Lato-Light"/>
          <w:b/>
          <w:sz w:val="28"/>
          <w:szCs w:val="28"/>
        </w:rPr>
        <w:t xml:space="preserve"> under Nasdaq Rules</w:t>
      </w:r>
    </w:p>
    <w:p w14:paraId="784BDFEF" w14:textId="77777777" w:rsidR="00F34A3A" w:rsidRPr="003D6414" w:rsidRDefault="00F34A3A" w:rsidP="00F14393">
      <w:pPr>
        <w:widowControl w:val="0"/>
        <w:autoSpaceDE w:val="0"/>
        <w:autoSpaceDN w:val="0"/>
        <w:adjustRightInd w:val="0"/>
        <w:spacing w:after="0" w:line="240" w:lineRule="auto"/>
        <w:ind w:left="360"/>
        <w:jc w:val="center"/>
        <w:rPr>
          <w:rFonts w:asciiTheme="minorHAnsi" w:hAnsiTheme="minorHAnsi"/>
          <w:i/>
          <w:shd w:val="clear" w:color="auto" w:fill="FFFFFF"/>
        </w:rPr>
      </w:pPr>
    </w:p>
    <w:p w14:paraId="11DACB1D" w14:textId="7F622CD9" w:rsidR="00737C86" w:rsidRPr="009C4347" w:rsidRDefault="0021273E">
      <w:pPr>
        <w:spacing w:after="0" w:line="240" w:lineRule="auto"/>
        <w:contextualSpacing/>
        <w:jc w:val="both"/>
        <w:rPr>
          <w:rFonts w:asciiTheme="minorHAnsi" w:hAnsiTheme="minorHAnsi" w:cstheme="minorHAnsi"/>
        </w:rPr>
      </w:pPr>
      <w:r w:rsidRPr="003D6414">
        <w:rPr>
          <w:rFonts w:asciiTheme="minorHAnsi" w:hAnsiTheme="minorHAnsi" w:cstheme="minorHAnsi"/>
          <w:b/>
          <w:shd w:val="clear" w:color="auto" w:fill="FFFFFF"/>
        </w:rPr>
        <w:t>FRAMINGHAM, MA –</w:t>
      </w:r>
      <w:r w:rsidRPr="003D6414">
        <w:rPr>
          <w:rFonts w:asciiTheme="minorHAnsi" w:hAnsiTheme="minorHAnsi" w:cstheme="minorHAnsi"/>
          <w:shd w:val="clear" w:color="auto" w:fill="FFFFFF"/>
        </w:rPr>
        <w:t xml:space="preserve"> </w:t>
      </w:r>
      <w:r w:rsidRPr="003D6414">
        <w:rPr>
          <w:rFonts w:asciiTheme="minorHAnsi" w:hAnsiTheme="minorHAnsi" w:cstheme="minorHAnsi"/>
          <w:b/>
          <w:shd w:val="clear" w:color="auto" w:fill="FFFFFF"/>
        </w:rPr>
        <w:t>(</w:t>
      </w:r>
      <w:r w:rsidR="00384843" w:rsidRPr="003D6414">
        <w:rPr>
          <w:rFonts w:asciiTheme="minorHAnsi" w:hAnsiTheme="minorHAnsi" w:cstheme="minorHAnsi"/>
          <w:b/>
          <w:shd w:val="clear" w:color="auto" w:fill="FFFFFF"/>
        </w:rPr>
        <w:t>December</w:t>
      </w:r>
      <w:r w:rsidR="004D5E6A" w:rsidRPr="003D6414">
        <w:rPr>
          <w:rFonts w:asciiTheme="minorHAnsi" w:hAnsiTheme="minorHAnsi" w:cstheme="minorHAnsi"/>
          <w:b/>
          <w:shd w:val="clear" w:color="auto" w:fill="FFFFFF"/>
        </w:rPr>
        <w:t xml:space="preserve"> </w:t>
      </w:r>
      <w:r w:rsidR="003D6414" w:rsidRPr="003D6414">
        <w:rPr>
          <w:rFonts w:asciiTheme="minorHAnsi" w:hAnsiTheme="minorHAnsi" w:cstheme="minorHAnsi"/>
          <w:b/>
          <w:shd w:val="clear" w:color="auto" w:fill="FFFFFF"/>
        </w:rPr>
        <w:t>10</w:t>
      </w:r>
      <w:r w:rsidRPr="003D6414">
        <w:rPr>
          <w:rFonts w:asciiTheme="minorHAnsi" w:hAnsiTheme="minorHAnsi" w:cstheme="minorHAnsi"/>
          <w:b/>
          <w:shd w:val="clear" w:color="auto" w:fill="FFFFFF"/>
        </w:rPr>
        <w:t>, 20</w:t>
      </w:r>
      <w:r w:rsidR="004C4C33" w:rsidRPr="003D6414">
        <w:rPr>
          <w:rFonts w:asciiTheme="minorHAnsi" w:hAnsiTheme="minorHAnsi" w:cstheme="minorHAnsi"/>
          <w:b/>
          <w:shd w:val="clear" w:color="auto" w:fill="FFFFFF"/>
        </w:rPr>
        <w:t>20</w:t>
      </w:r>
      <w:r w:rsidRPr="003D6414">
        <w:rPr>
          <w:rFonts w:asciiTheme="minorHAnsi" w:hAnsiTheme="minorHAnsi" w:cstheme="minorHAnsi"/>
          <w:b/>
          <w:shd w:val="clear" w:color="auto" w:fill="FFFFFF"/>
        </w:rPr>
        <w:t>)</w:t>
      </w:r>
      <w:r w:rsidRPr="003D6414">
        <w:rPr>
          <w:rFonts w:asciiTheme="minorHAnsi" w:hAnsiTheme="minorHAnsi" w:cstheme="minorHAnsi"/>
          <w:shd w:val="clear" w:color="auto" w:fill="FFFFFF"/>
        </w:rPr>
        <w:t xml:space="preserve"> </w:t>
      </w:r>
      <w:r w:rsidRPr="003D6414">
        <w:rPr>
          <w:rFonts w:asciiTheme="minorHAnsi" w:hAnsiTheme="minorHAnsi" w:cstheme="minorHAnsi"/>
          <w:lang w:val="en-CA"/>
        </w:rPr>
        <w:t>–</w:t>
      </w:r>
      <w:r w:rsidRPr="003D6414">
        <w:rPr>
          <w:rFonts w:asciiTheme="minorHAnsi" w:hAnsiTheme="minorHAnsi" w:cstheme="minorHAnsi"/>
          <w:shd w:val="clear" w:color="auto" w:fill="FFFFFF"/>
        </w:rPr>
        <w:t xml:space="preserve"> </w:t>
      </w:r>
      <w:hyperlink r:id="rId9" w:history="1">
        <w:r w:rsidRPr="003D6414">
          <w:rPr>
            <w:rStyle w:val="Hyperlink"/>
            <w:rFonts w:asciiTheme="minorHAnsi" w:hAnsiTheme="minorHAnsi" w:cstheme="minorHAnsi"/>
            <w:shd w:val="clear" w:color="auto" w:fill="FFFFFF"/>
          </w:rPr>
          <w:t>Xenetic Biosciences, Inc.</w:t>
        </w:r>
      </w:hyperlink>
      <w:r w:rsidRPr="003D6414">
        <w:rPr>
          <w:rFonts w:asciiTheme="minorHAnsi" w:hAnsiTheme="minorHAnsi" w:cstheme="minorHAnsi"/>
          <w:shd w:val="clear" w:color="auto" w:fill="FFFFFF"/>
        </w:rPr>
        <w:t xml:space="preserve"> (</w:t>
      </w:r>
      <w:r w:rsidRPr="003D6414">
        <w:t>NASDAQ: XBIO) (“Xenetic” or the “Company”),</w:t>
      </w:r>
      <w:r w:rsidR="002610D3" w:rsidRPr="003D6414">
        <w:t xml:space="preserve"> </w:t>
      </w:r>
      <w:r w:rsidR="00C277DC" w:rsidRPr="003D6414">
        <w:t>a biopharmaceutical company focused on advancing XCART</w:t>
      </w:r>
      <w:r w:rsidR="00A40A0D" w:rsidRPr="003D6414">
        <w:t>™</w:t>
      </w:r>
      <w:r w:rsidR="00C277DC" w:rsidRPr="003D6414">
        <w:t>, a personalized CAR T platform technology engineered to target patient-</w:t>
      </w:r>
      <w:r w:rsidR="002E0BC8" w:rsidRPr="003D6414">
        <w:t xml:space="preserve"> </w:t>
      </w:r>
      <w:r w:rsidR="002E196A" w:rsidRPr="003D6414">
        <w:t>and</w:t>
      </w:r>
      <w:r w:rsidR="00C277DC" w:rsidRPr="003D6414">
        <w:t xml:space="preserve"> tumor</w:t>
      </w:r>
      <w:r w:rsidR="002E196A" w:rsidRPr="003D6414">
        <w:t>-specific</w:t>
      </w:r>
      <w:r w:rsidR="00C277DC" w:rsidRPr="003D6414">
        <w:t xml:space="preserve"> neoantigens,</w:t>
      </w:r>
      <w:r w:rsidR="00737C86" w:rsidRPr="003D6414">
        <w:t xml:space="preserve"> </w:t>
      </w:r>
      <w:r w:rsidR="00E36D65" w:rsidRPr="003D6414">
        <w:t xml:space="preserve">announced </w:t>
      </w:r>
      <w:r w:rsidR="00737C86" w:rsidRPr="003D6414">
        <w:t xml:space="preserve">today </w:t>
      </w:r>
      <w:r w:rsidR="00737C86" w:rsidRPr="003D6414">
        <w:rPr>
          <w:rFonts w:asciiTheme="minorHAnsi" w:hAnsiTheme="minorHAnsi" w:cstheme="minorHAnsi"/>
        </w:rPr>
        <w:t xml:space="preserve">that it has entered into a securities purchase agreement with several institutional </w:t>
      </w:r>
      <w:r w:rsidR="00D836D2" w:rsidRPr="003D6414">
        <w:rPr>
          <w:rFonts w:asciiTheme="minorHAnsi" w:hAnsiTheme="minorHAnsi" w:cstheme="minorHAnsi"/>
        </w:rPr>
        <w:t xml:space="preserve">and accredited </w:t>
      </w:r>
      <w:r w:rsidR="00737C86" w:rsidRPr="003D6414">
        <w:rPr>
          <w:rFonts w:asciiTheme="minorHAnsi" w:hAnsiTheme="minorHAnsi" w:cstheme="minorHAnsi"/>
        </w:rPr>
        <w:t xml:space="preserve">investors providing for the </w:t>
      </w:r>
      <w:r w:rsidR="000A118F" w:rsidRPr="003D6414">
        <w:rPr>
          <w:rFonts w:asciiTheme="minorHAnsi" w:hAnsiTheme="minorHAnsi" w:cstheme="minorHAnsi"/>
        </w:rPr>
        <w:t xml:space="preserve">purchase and </w:t>
      </w:r>
      <w:r w:rsidR="00737C86" w:rsidRPr="003D6414">
        <w:rPr>
          <w:rFonts w:asciiTheme="minorHAnsi" w:hAnsiTheme="minorHAnsi" w:cstheme="minorHAnsi"/>
        </w:rPr>
        <w:t xml:space="preserve">sale of </w:t>
      </w:r>
      <w:r w:rsidR="003D6414" w:rsidRPr="003D6414">
        <w:t>2,448,980</w:t>
      </w:r>
      <w:r w:rsidR="003D6414">
        <w:t xml:space="preserve"> </w:t>
      </w:r>
      <w:r w:rsidR="00737C86" w:rsidRPr="003D6414">
        <w:rPr>
          <w:rFonts w:asciiTheme="minorHAnsi" w:hAnsiTheme="minorHAnsi" w:cstheme="minorHAnsi"/>
        </w:rPr>
        <w:t xml:space="preserve">shares </w:t>
      </w:r>
      <w:r w:rsidR="000A118F" w:rsidRPr="003D6414">
        <w:rPr>
          <w:rFonts w:asciiTheme="minorHAnsi" w:hAnsiTheme="minorHAnsi" w:cstheme="minorHAnsi"/>
        </w:rPr>
        <w:t xml:space="preserve">of the Company’s common stock </w:t>
      </w:r>
      <w:r w:rsidR="00737C86" w:rsidRPr="003D6414">
        <w:rPr>
          <w:rFonts w:asciiTheme="minorHAnsi" w:hAnsiTheme="minorHAnsi" w:cstheme="minorHAnsi"/>
        </w:rPr>
        <w:t>at a purchase price of $</w:t>
      </w:r>
      <w:r w:rsidR="003D6414" w:rsidRPr="003D6414">
        <w:rPr>
          <w:rFonts w:asciiTheme="minorHAnsi" w:hAnsiTheme="minorHAnsi" w:cstheme="minorHAnsi"/>
        </w:rPr>
        <w:t>2.45</w:t>
      </w:r>
      <w:r w:rsidR="00737C86" w:rsidRPr="003D6414">
        <w:rPr>
          <w:rFonts w:asciiTheme="minorHAnsi" w:hAnsiTheme="minorHAnsi" w:cstheme="minorHAnsi"/>
        </w:rPr>
        <w:t xml:space="preserve"> per share</w:t>
      </w:r>
      <w:r w:rsidR="000A118F" w:rsidRPr="003D6414">
        <w:rPr>
          <w:rFonts w:asciiTheme="minorHAnsi" w:hAnsiTheme="minorHAnsi" w:cstheme="minorHAnsi"/>
        </w:rPr>
        <w:t>,</w:t>
      </w:r>
      <w:r w:rsidR="00737C86" w:rsidRPr="003D6414">
        <w:rPr>
          <w:rFonts w:asciiTheme="minorHAnsi" w:hAnsiTheme="minorHAnsi" w:cstheme="minorHAnsi"/>
        </w:rPr>
        <w:t xml:space="preserve"> in a registered direct offering priced at-the-market under Nasdaq rules. The offering is expected to result in gross proceeds to Xenetic of approximately $</w:t>
      </w:r>
      <w:r w:rsidR="003D6414" w:rsidRPr="003D6414">
        <w:rPr>
          <w:rFonts w:asciiTheme="minorHAnsi" w:hAnsiTheme="minorHAnsi" w:cstheme="minorHAnsi"/>
        </w:rPr>
        <w:t>6.0</w:t>
      </w:r>
      <w:r w:rsidR="00737C86" w:rsidRPr="003D6414">
        <w:rPr>
          <w:rFonts w:asciiTheme="minorHAnsi" w:hAnsiTheme="minorHAnsi" w:cstheme="minorHAnsi"/>
        </w:rPr>
        <w:t xml:space="preserve"> million</w:t>
      </w:r>
      <w:r w:rsidR="000A118F" w:rsidRPr="003D6414">
        <w:rPr>
          <w:rFonts w:asciiTheme="minorHAnsi" w:hAnsiTheme="minorHAnsi" w:cstheme="minorHAnsi"/>
        </w:rPr>
        <w:t xml:space="preserve"> before </w:t>
      </w:r>
      <w:r w:rsidR="00AF7CDD" w:rsidRPr="003D6414">
        <w:rPr>
          <w:rFonts w:asciiTheme="minorHAnsi" w:hAnsiTheme="minorHAnsi" w:cstheme="minorHAnsi"/>
        </w:rPr>
        <w:t>deducting</w:t>
      </w:r>
      <w:r w:rsidR="000A118F" w:rsidRPr="003D6414">
        <w:rPr>
          <w:rFonts w:asciiTheme="minorHAnsi" w:hAnsiTheme="minorHAnsi" w:cstheme="minorHAnsi"/>
        </w:rPr>
        <w:t xml:space="preserve"> placement agent fees and other offering expenses payable by Xenetic</w:t>
      </w:r>
      <w:r w:rsidR="00737C86" w:rsidRPr="003D6414">
        <w:rPr>
          <w:rFonts w:asciiTheme="minorHAnsi" w:hAnsiTheme="minorHAnsi" w:cstheme="minorHAnsi"/>
        </w:rPr>
        <w:t>.</w:t>
      </w:r>
    </w:p>
    <w:p w14:paraId="11AED19C" w14:textId="77777777" w:rsidR="00737C86" w:rsidRPr="009C4347" w:rsidRDefault="00737C86" w:rsidP="00737C86">
      <w:pPr>
        <w:spacing w:after="0" w:line="240" w:lineRule="auto"/>
        <w:contextualSpacing/>
        <w:jc w:val="both"/>
        <w:rPr>
          <w:rFonts w:asciiTheme="minorHAnsi" w:hAnsiTheme="minorHAnsi" w:cstheme="minorHAnsi"/>
        </w:rPr>
      </w:pPr>
    </w:p>
    <w:p w14:paraId="7AABF861" w14:textId="77777777" w:rsidR="00737C86" w:rsidRPr="009C4347" w:rsidRDefault="00737C86" w:rsidP="00737C86">
      <w:pPr>
        <w:spacing w:after="0" w:line="240" w:lineRule="auto"/>
        <w:contextualSpacing/>
        <w:jc w:val="both"/>
        <w:rPr>
          <w:rFonts w:asciiTheme="minorHAnsi" w:hAnsiTheme="minorHAnsi" w:cstheme="minorHAnsi"/>
        </w:rPr>
      </w:pPr>
      <w:r w:rsidRPr="009C4347">
        <w:rPr>
          <w:rFonts w:asciiTheme="minorHAnsi" w:hAnsiTheme="minorHAnsi" w:cstheme="minorHAnsi"/>
        </w:rPr>
        <w:t>H.C. Wainwright &amp; Co. is acting as the exclusive placement agent for the offering.</w:t>
      </w:r>
    </w:p>
    <w:p w14:paraId="32648F9C" w14:textId="77777777" w:rsidR="00737C86" w:rsidRPr="009C4347" w:rsidRDefault="00737C86" w:rsidP="00737C86">
      <w:pPr>
        <w:spacing w:after="0" w:line="240" w:lineRule="auto"/>
        <w:contextualSpacing/>
        <w:jc w:val="both"/>
        <w:rPr>
          <w:rFonts w:asciiTheme="minorHAnsi" w:hAnsiTheme="minorHAnsi" w:cstheme="minorHAnsi"/>
        </w:rPr>
      </w:pPr>
    </w:p>
    <w:p w14:paraId="56E61C93" w14:textId="77777777" w:rsidR="00737C86" w:rsidRPr="00AF04CE" w:rsidRDefault="00737C86" w:rsidP="00737C86">
      <w:pPr>
        <w:spacing w:after="0" w:line="240" w:lineRule="auto"/>
        <w:contextualSpacing/>
        <w:jc w:val="both"/>
        <w:rPr>
          <w:rFonts w:asciiTheme="minorHAnsi" w:hAnsiTheme="minorHAnsi" w:cstheme="minorHAnsi"/>
        </w:rPr>
      </w:pPr>
      <w:r w:rsidRPr="00AF04CE">
        <w:rPr>
          <w:rFonts w:asciiTheme="minorHAnsi" w:hAnsiTheme="minorHAnsi" w:cstheme="minorHAnsi"/>
        </w:rPr>
        <w:t>The Company intends to use the net proceeds of this offering for general corporate purposes</w:t>
      </w:r>
      <w:r w:rsidR="000A118F" w:rsidRPr="00AF04CE">
        <w:rPr>
          <w:rFonts w:asciiTheme="minorHAnsi" w:hAnsiTheme="minorHAnsi" w:cstheme="minorHAnsi"/>
        </w:rPr>
        <w:t>, working capital,</w:t>
      </w:r>
      <w:r w:rsidRPr="00AF04CE">
        <w:rPr>
          <w:rFonts w:asciiTheme="minorHAnsi" w:hAnsiTheme="minorHAnsi" w:cstheme="minorHAnsi"/>
        </w:rPr>
        <w:t xml:space="preserve"> and for the advancement of</w:t>
      </w:r>
      <w:r w:rsidR="000A118F" w:rsidRPr="00AF04CE">
        <w:rPr>
          <w:rFonts w:asciiTheme="minorHAnsi" w:hAnsiTheme="minorHAnsi" w:cstheme="minorHAnsi"/>
        </w:rPr>
        <w:t xml:space="preserve"> the</w:t>
      </w:r>
      <w:r w:rsidRPr="00AF04CE">
        <w:rPr>
          <w:rFonts w:asciiTheme="minorHAnsi" w:hAnsiTheme="minorHAnsi" w:cstheme="minorHAnsi"/>
        </w:rPr>
        <w:t xml:space="preserve"> XCART™ platform, the Company’s differentiated, proprietary approach to personalized CAR T therapy in development for the treatment of multiple tumor types of B-cell Non-Hodgkin lymphomas. </w:t>
      </w:r>
    </w:p>
    <w:p w14:paraId="54E3297D" w14:textId="77777777" w:rsidR="00737C86" w:rsidRPr="00AF04CE" w:rsidRDefault="00737C86" w:rsidP="00737C86">
      <w:pPr>
        <w:spacing w:after="0" w:line="240" w:lineRule="auto"/>
        <w:contextualSpacing/>
        <w:jc w:val="both"/>
        <w:rPr>
          <w:rFonts w:asciiTheme="minorHAnsi" w:hAnsiTheme="minorHAnsi" w:cstheme="minorHAnsi"/>
        </w:rPr>
      </w:pPr>
    </w:p>
    <w:p w14:paraId="29BB8471" w14:textId="77777777" w:rsidR="00737C86" w:rsidRPr="00AF04CE" w:rsidRDefault="00737C86" w:rsidP="00737C86">
      <w:pPr>
        <w:spacing w:after="0" w:line="240" w:lineRule="auto"/>
        <w:contextualSpacing/>
        <w:jc w:val="both"/>
        <w:rPr>
          <w:rFonts w:asciiTheme="minorHAnsi" w:hAnsiTheme="minorHAnsi" w:cstheme="minorHAnsi"/>
        </w:rPr>
      </w:pPr>
      <w:r w:rsidRPr="00AF04CE">
        <w:rPr>
          <w:rFonts w:asciiTheme="minorHAnsi" w:hAnsiTheme="minorHAnsi" w:cstheme="minorHAnsi"/>
        </w:rPr>
        <w:t>The registered direct offering</w:t>
      </w:r>
      <w:r w:rsidR="000A118F" w:rsidRPr="00AF04CE">
        <w:rPr>
          <w:rFonts w:asciiTheme="minorHAnsi" w:hAnsiTheme="minorHAnsi" w:cstheme="minorHAnsi"/>
        </w:rPr>
        <w:t xml:space="preserve"> </w:t>
      </w:r>
      <w:r w:rsidRPr="00AF04CE">
        <w:rPr>
          <w:rFonts w:asciiTheme="minorHAnsi" w:hAnsiTheme="minorHAnsi" w:cstheme="minorHAnsi"/>
        </w:rPr>
        <w:t xml:space="preserve">is expected to close on or about December </w:t>
      </w:r>
      <w:r w:rsidR="00AF04CE" w:rsidRPr="00AF04CE">
        <w:rPr>
          <w:rFonts w:asciiTheme="minorHAnsi" w:hAnsiTheme="minorHAnsi" w:cstheme="minorHAnsi"/>
        </w:rPr>
        <w:t>14</w:t>
      </w:r>
      <w:r w:rsidRPr="00AF04CE">
        <w:rPr>
          <w:rFonts w:asciiTheme="minorHAnsi" w:hAnsiTheme="minorHAnsi" w:cstheme="minorHAnsi"/>
        </w:rPr>
        <w:t xml:space="preserve">, 2020, subject to the satisfaction of customary closing conditions.  </w:t>
      </w:r>
    </w:p>
    <w:p w14:paraId="19D4A956" w14:textId="77777777" w:rsidR="00737C86" w:rsidRPr="00AF04CE" w:rsidRDefault="00737C86" w:rsidP="00737C86">
      <w:pPr>
        <w:spacing w:after="0" w:line="240" w:lineRule="auto"/>
        <w:contextualSpacing/>
        <w:jc w:val="both"/>
        <w:rPr>
          <w:rFonts w:asciiTheme="minorHAnsi" w:hAnsiTheme="minorHAnsi" w:cstheme="minorHAnsi"/>
        </w:rPr>
      </w:pPr>
    </w:p>
    <w:p w14:paraId="0E710A42" w14:textId="77777777" w:rsidR="00457960" w:rsidRPr="00457960" w:rsidRDefault="00737C86" w:rsidP="00457960">
      <w:pPr>
        <w:pStyle w:val="NormalWeb"/>
        <w:shd w:val="clear" w:color="auto" w:fill="FFFFFF"/>
        <w:spacing w:before="0" w:beforeAutospacing="0" w:after="300" w:afterAutospacing="0"/>
        <w:jc w:val="both"/>
        <w:rPr>
          <w:rFonts w:asciiTheme="minorHAnsi" w:eastAsia="Calibri" w:hAnsiTheme="minorHAnsi" w:cstheme="minorHAnsi"/>
          <w:sz w:val="22"/>
          <w:szCs w:val="22"/>
        </w:rPr>
      </w:pPr>
      <w:r w:rsidRPr="00AF04CE">
        <w:rPr>
          <w:rFonts w:asciiTheme="minorHAnsi" w:eastAsia="Calibri" w:hAnsiTheme="minorHAnsi" w:cstheme="minorHAnsi"/>
          <w:sz w:val="22"/>
          <w:szCs w:val="22"/>
        </w:rPr>
        <w:t xml:space="preserve">The shares described above are being offered by </w:t>
      </w:r>
      <w:r w:rsidR="009C4347" w:rsidRPr="00AF04CE">
        <w:rPr>
          <w:rFonts w:asciiTheme="minorHAnsi" w:eastAsia="Calibri" w:hAnsiTheme="minorHAnsi" w:cstheme="minorHAnsi"/>
          <w:sz w:val="22"/>
          <w:szCs w:val="22"/>
        </w:rPr>
        <w:t>Xenetic</w:t>
      </w:r>
      <w:r w:rsidRPr="00AF04CE">
        <w:rPr>
          <w:rFonts w:asciiTheme="minorHAnsi" w:eastAsia="Calibri" w:hAnsiTheme="minorHAnsi" w:cstheme="minorHAnsi"/>
          <w:sz w:val="22"/>
          <w:szCs w:val="22"/>
        </w:rPr>
        <w:t xml:space="preserve"> pursuant to</w:t>
      </w:r>
      <w:r w:rsidR="009C4347" w:rsidRPr="00AF04CE">
        <w:rPr>
          <w:rFonts w:asciiTheme="minorHAnsi" w:eastAsia="Calibri" w:hAnsiTheme="minorHAnsi" w:cstheme="minorHAnsi"/>
          <w:sz w:val="22"/>
          <w:szCs w:val="22"/>
        </w:rPr>
        <w:t xml:space="preserve"> </w:t>
      </w:r>
      <w:r w:rsidR="000A118F" w:rsidRPr="00AF04CE">
        <w:rPr>
          <w:rFonts w:asciiTheme="minorHAnsi" w:eastAsia="Calibri" w:hAnsiTheme="minorHAnsi" w:cstheme="minorHAnsi"/>
          <w:sz w:val="22"/>
          <w:szCs w:val="22"/>
        </w:rPr>
        <w:t xml:space="preserve">a “shelf” </w:t>
      </w:r>
      <w:r w:rsidR="009C4347" w:rsidRPr="00AF04CE">
        <w:rPr>
          <w:rFonts w:asciiTheme="minorHAnsi" w:eastAsia="Calibri" w:hAnsiTheme="minorHAnsi" w:cstheme="minorHAnsi"/>
          <w:sz w:val="22"/>
          <w:szCs w:val="22"/>
        </w:rPr>
        <w:t>registration statement on Form S-</w:t>
      </w:r>
      <w:r w:rsidR="0064195E" w:rsidRPr="00AF04CE">
        <w:rPr>
          <w:rFonts w:asciiTheme="minorHAnsi" w:eastAsia="Calibri" w:hAnsiTheme="minorHAnsi" w:cstheme="minorHAnsi"/>
          <w:sz w:val="22"/>
          <w:szCs w:val="22"/>
        </w:rPr>
        <w:t>3</w:t>
      </w:r>
      <w:r w:rsidR="009C4347" w:rsidRPr="00AF04CE">
        <w:rPr>
          <w:rFonts w:asciiTheme="minorHAnsi" w:eastAsia="Calibri" w:hAnsiTheme="minorHAnsi" w:cstheme="minorHAnsi"/>
          <w:sz w:val="22"/>
          <w:szCs w:val="22"/>
        </w:rPr>
        <w:t xml:space="preserve"> (File No. 333-</w:t>
      </w:r>
      <w:r w:rsidR="000A118F" w:rsidRPr="00AF04CE">
        <w:rPr>
          <w:rFonts w:asciiTheme="minorHAnsi" w:eastAsia="Calibri" w:hAnsiTheme="minorHAnsi" w:cstheme="minorHAnsi"/>
          <w:sz w:val="22"/>
          <w:szCs w:val="22"/>
        </w:rPr>
        <w:t>227572</w:t>
      </w:r>
      <w:r w:rsidR="009C4347" w:rsidRPr="00AF04CE">
        <w:rPr>
          <w:rFonts w:asciiTheme="minorHAnsi" w:eastAsia="Calibri" w:hAnsiTheme="minorHAnsi" w:cstheme="minorHAnsi"/>
          <w:sz w:val="22"/>
          <w:szCs w:val="22"/>
        </w:rPr>
        <w:t xml:space="preserve">) previously filed with </w:t>
      </w:r>
      <w:r w:rsidRPr="00AF04CE">
        <w:rPr>
          <w:rFonts w:asciiTheme="minorHAnsi" w:eastAsia="Calibri" w:hAnsiTheme="minorHAnsi" w:cstheme="minorHAnsi"/>
          <w:sz w:val="22"/>
          <w:szCs w:val="22"/>
        </w:rPr>
        <w:t xml:space="preserve">the U.S. Securities and Exchange Commission (“SEC”) on </w:t>
      </w:r>
      <w:r w:rsidR="005A450E" w:rsidRPr="00AF04CE">
        <w:rPr>
          <w:rFonts w:asciiTheme="minorHAnsi" w:eastAsia="Calibri" w:hAnsiTheme="minorHAnsi" w:cstheme="minorHAnsi"/>
          <w:sz w:val="22"/>
          <w:szCs w:val="22"/>
        </w:rPr>
        <w:t xml:space="preserve">September 27, 2018 and declared effective by the SEC on </w:t>
      </w:r>
      <w:r w:rsidR="000A118F" w:rsidRPr="00AF04CE">
        <w:rPr>
          <w:rFonts w:asciiTheme="minorHAnsi" w:eastAsia="Calibri" w:hAnsiTheme="minorHAnsi" w:cstheme="minorHAnsi"/>
          <w:sz w:val="22"/>
          <w:szCs w:val="22"/>
        </w:rPr>
        <w:t>October 12</w:t>
      </w:r>
      <w:r w:rsidRPr="00AF04CE">
        <w:rPr>
          <w:rFonts w:asciiTheme="minorHAnsi" w:eastAsia="Calibri" w:hAnsiTheme="minorHAnsi" w:cstheme="minorHAnsi"/>
          <w:sz w:val="22"/>
          <w:szCs w:val="22"/>
        </w:rPr>
        <w:t>, 201</w:t>
      </w:r>
      <w:r w:rsidR="000A118F" w:rsidRPr="00AF04CE">
        <w:rPr>
          <w:rFonts w:asciiTheme="minorHAnsi" w:eastAsia="Calibri" w:hAnsiTheme="minorHAnsi" w:cstheme="minorHAnsi"/>
          <w:sz w:val="22"/>
          <w:szCs w:val="22"/>
        </w:rPr>
        <w:t>8</w:t>
      </w:r>
      <w:r w:rsidRPr="00AF04CE">
        <w:rPr>
          <w:rFonts w:asciiTheme="minorHAnsi" w:eastAsia="Calibri" w:hAnsiTheme="minorHAnsi" w:cstheme="minorHAnsi"/>
          <w:sz w:val="22"/>
          <w:szCs w:val="22"/>
        </w:rPr>
        <w:t xml:space="preserve">. Such shares may be offered only by means of a prospectus, including a prospectus supplement, forming a part of the effective registration statement. </w:t>
      </w:r>
      <w:r w:rsidR="00457960" w:rsidRPr="00AF04CE">
        <w:rPr>
          <w:rFonts w:asciiTheme="minorHAnsi" w:eastAsia="Calibri" w:hAnsiTheme="minorHAnsi" w:cstheme="minorHAnsi"/>
          <w:sz w:val="22"/>
          <w:szCs w:val="22"/>
        </w:rPr>
        <w:t>A final prospectus supplement and the accompanying prospectus relating to the offering will be filed with the SEC and will be available on the SEC’s website at </w:t>
      </w:r>
      <w:hyperlink r:id="rId10" w:tgtFrame="_blank" w:history="1">
        <w:r w:rsidR="00457960" w:rsidRPr="00AF04CE">
          <w:rPr>
            <w:rFonts w:asciiTheme="minorHAnsi" w:eastAsia="Calibri" w:hAnsiTheme="minorHAnsi" w:cstheme="minorHAnsi"/>
            <w:sz w:val="22"/>
            <w:szCs w:val="22"/>
          </w:rPr>
          <w:t>www.sec.gov</w:t>
        </w:r>
      </w:hyperlink>
      <w:r w:rsidR="00457960" w:rsidRPr="00AF04CE">
        <w:rPr>
          <w:rFonts w:asciiTheme="minorHAnsi" w:eastAsia="Calibri" w:hAnsiTheme="minorHAnsi" w:cstheme="minorHAnsi"/>
          <w:sz w:val="22"/>
          <w:szCs w:val="22"/>
        </w:rPr>
        <w:t>. Alternatively, when available, electronic copies of the final prospectus supplement and the accompanying prospectus may be obtained from H.C. Wainwright &amp; Co., LLC, 430 Park Avenue, New York, NY 10022, by email at placements@hcwco.com or by phone at (646) 975-6996.</w:t>
      </w:r>
    </w:p>
    <w:p w14:paraId="21A33A6E" w14:textId="77777777" w:rsidR="00457960" w:rsidRPr="00457960" w:rsidRDefault="00457960" w:rsidP="00457960">
      <w:pPr>
        <w:pStyle w:val="NormalWeb"/>
        <w:shd w:val="clear" w:color="auto" w:fill="FFFFFF"/>
        <w:spacing w:before="0" w:beforeAutospacing="0" w:after="300" w:afterAutospacing="0"/>
        <w:rPr>
          <w:rFonts w:asciiTheme="minorHAnsi" w:eastAsia="Calibri" w:hAnsiTheme="minorHAnsi" w:cstheme="minorHAnsi"/>
          <w:sz w:val="22"/>
          <w:szCs w:val="22"/>
        </w:rPr>
      </w:pPr>
      <w:r w:rsidRPr="00457960">
        <w:rPr>
          <w:rFonts w:asciiTheme="minorHAnsi" w:eastAsia="Calibri" w:hAnsiTheme="minorHAnsi" w:cstheme="minorHAnsi"/>
          <w:sz w:val="22"/>
          <w:szCs w:val="22"/>
        </w:rPr>
        <w:t>This press release shall not constitute an offer to sell or the solicitation of an offer to buy</w:t>
      </w:r>
      <w:r w:rsidR="00DD08FB">
        <w:rPr>
          <w:rFonts w:asciiTheme="minorHAnsi" w:eastAsia="Calibri" w:hAnsiTheme="minorHAnsi" w:cstheme="minorHAnsi"/>
          <w:sz w:val="22"/>
          <w:szCs w:val="22"/>
        </w:rPr>
        <w:t>,</w:t>
      </w:r>
      <w:r w:rsidRPr="00457960">
        <w:rPr>
          <w:rFonts w:asciiTheme="minorHAnsi" w:eastAsia="Calibri" w:hAnsiTheme="minorHAnsi" w:cstheme="minorHAnsi"/>
          <w:sz w:val="22"/>
          <w:szCs w:val="22"/>
        </w:rPr>
        <w:t xml:space="preserve"> nor shall there be any sale of these securities in any state or jurisdiction in which such offer, solicitation or sale would be unlawful prior to registration or qualification under the securities laws of any such state or jurisdiction.</w:t>
      </w:r>
    </w:p>
    <w:p w14:paraId="0E054722" w14:textId="77777777" w:rsidR="009C14E7" w:rsidRPr="00665ECC" w:rsidRDefault="009C14E7" w:rsidP="00737C86">
      <w:pPr>
        <w:widowControl w:val="0"/>
        <w:autoSpaceDE w:val="0"/>
        <w:autoSpaceDN w:val="0"/>
        <w:adjustRightInd w:val="0"/>
        <w:spacing w:after="0" w:line="240" w:lineRule="auto"/>
        <w:jc w:val="both"/>
        <w:rPr>
          <w:rFonts w:asciiTheme="minorHAnsi" w:hAnsiTheme="minorHAnsi" w:cstheme="minorHAnsi"/>
          <w:b/>
          <w:bCs/>
        </w:rPr>
      </w:pPr>
      <w:bookmarkStart w:id="0" w:name="a_016"/>
      <w:bookmarkStart w:id="1" w:name="a_017"/>
      <w:bookmarkEnd w:id="0"/>
      <w:bookmarkEnd w:id="1"/>
      <w:r w:rsidRPr="00665ECC">
        <w:rPr>
          <w:rFonts w:asciiTheme="minorHAnsi" w:hAnsiTheme="minorHAnsi" w:cstheme="minorHAnsi"/>
          <w:b/>
          <w:bCs/>
        </w:rPr>
        <w:t>About Xenetic Biosciences</w:t>
      </w:r>
    </w:p>
    <w:p w14:paraId="7B86AD87" w14:textId="77777777" w:rsidR="009C14E7" w:rsidRPr="00547DAB" w:rsidRDefault="009C14E7" w:rsidP="009C14E7">
      <w:pPr>
        <w:spacing w:after="0" w:line="240" w:lineRule="auto"/>
        <w:jc w:val="both"/>
        <w:rPr>
          <w:rFonts w:asciiTheme="minorHAnsi" w:hAnsiTheme="minorHAnsi" w:cstheme="minorHAnsi"/>
        </w:rPr>
      </w:pPr>
      <w:r>
        <w:rPr>
          <w:rFonts w:asciiTheme="minorHAnsi" w:hAnsiTheme="minorHAnsi" w:cstheme="minorHAnsi"/>
        </w:rPr>
        <w:br/>
      </w:r>
      <w:r w:rsidRPr="00547DAB">
        <w:rPr>
          <w:rFonts w:asciiTheme="minorHAnsi" w:hAnsiTheme="minorHAnsi" w:cstheme="minorHAnsi"/>
        </w:rPr>
        <w:t>Xenetic Biosciences, Inc. is a biopharmaceutical company focused on progressing XCART</w:t>
      </w:r>
      <w:r>
        <w:rPr>
          <w:rFonts w:asciiTheme="minorHAnsi" w:hAnsiTheme="minorHAnsi" w:cstheme="minorHAnsi"/>
        </w:rPr>
        <w:t>™</w:t>
      </w:r>
      <w:r w:rsidRPr="00547DAB">
        <w:rPr>
          <w:rFonts w:asciiTheme="minorHAnsi" w:hAnsiTheme="minorHAnsi" w:cstheme="minorHAnsi"/>
        </w:rPr>
        <w:t>, a personalized CAR T platform technology engineered to target patient-</w:t>
      </w:r>
      <w:r>
        <w:rPr>
          <w:rFonts w:asciiTheme="minorHAnsi" w:hAnsiTheme="minorHAnsi" w:cstheme="minorHAnsi"/>
        </w:rPr>
        <w:t xml:space="preserve"> and tumor-</w:t>
      </w:r>
      <w:r w:rsidRPr="00547DAB">
        <w:rPr>
          <w:rFonts w:asciiTheme="minorHAnsi" w:hAnsiTheme="minorHAnsi" w:cstheme="minorHAnsi"/>
        </w:rPr>
        <w:t>specific neoantigens. The Company is initially advancing cell-based therapeutics targeting the unique B-cell receptor on the surface of an individual patient’s malignant tumor cells for the treatment of B-cell lymphomas. XCART</w:t>
      </w:r>
      <w:r>
        <w:rPr>
          <w:rFonts w:asciiTheme="minorHAnsi" w:hAnsiTheme="minorHAnsi" w:cstheme="minorHAnsi"/>
        </w:rPr>
        <w:t>™</w:t>
      </w:r>
      <w:r w:rsidRPr="00547DAB">
        <w:rPr>
          <w:rFonts w:asciiTheme="minorHAnsi" w:hAnsiTheme="minorHAnsi" w:cstheme="minorHAnsi"/>
        </w:rPr>
        <w:t xml:space="preserve"> has the potential to fuel a robust pipeline of therapeutic assets targeting high-value oncology indications. </w:t>
      </w:r>
    </w:p>
    <w:p w14:paraId="78BC0D80" w14:textId="77777777" w:rsidR="009C14E7" w:rsidRDefault="009C14E7" w:rsidP="009C14E7">
      <w:pPr>
        <w:pStyle w:val="NormalWeb"/>
        <w:spacing w:before="0" w:beforeAutospacing="0" w:after="0" w:afterAutospacing="0"/>
        <w:jc w:val="both"/>
        <w:rPr>
          <w:rFonts w:asciiTheme="minorHAnsi" w:eastAsia="Calibri" w:hAnsiTheme="minorHAnsi" w:cstheme="minorHAnsi"/>
          <w:sz w:val="22"/>
          <w:szCs w:val="22"/>
        </w:rPr>
      </w:pPr>
      <w:r>
        <w:rPr>
          <w:rFonts w:asciiTheme="minorHAnsi" w:eastAsia="Calibri" w:hAnsiTheme="minorHAnsi" w:cstheme="minorHAnsi"/>
          <w:sz w:val="22"/>
          <w:szCs w:val="22"/>
        </w:rPr>
        <w:lastRenderedPageBreak/>
        <w:br/>
      </w:r>
      <w:r w:rsidRPr="00547DAB">
        <w:rPr>
          <w:rFonts w:asciiTheme="minorHAnsi" w:eastAsia="Calibri" w:hAnsiTheme="minorHAnsi" w:cstheme="minorHAnsi"/>
          <w:sz w:val="22"/>
          <w:szCs w:val="22"/>
        </w:rPr>
        <w:t>Additionally, Xenetic is leveraging PolyXen</w:t>
      </w:r>
      <w:r>
        <w:rPr>
          <w:rFonts w:asciiTheme="minorHAnsi" w:eastAsia="Calibri" w:hAnsiTheme="minorHAnsi" w:cstheme="minorHAnsi"/>
          <w:sz w:val="22"/>
          <w:szCs w:val="22"/>
        </w:rPr>
        <w:t>®</w:t>
      </w:r>
      <w:r w:rsidRPr="00547DAB">
        <w:rPr>
          <w:rFonts w:asciiTheme="minorHAnsi" w:eastAsia="Calibri" w:hAnsiTheme="minorHAnsi" w:cstheme="minorHAnsi"/>
          <w:sz w:val="22"/>
          <w:szCs w:val="22"/>
        </w:rPr>
        <w:t>, its proprietary drug delivery platform, by partnering with biotechnology and pharmaceutical companies. PolyXen</w:t>
      </w:r>
      <w:r>
        <w:rPr>
          <w:rFonts w:asciiTheme="minorHAnsi" w:eastAsia="Calibri" w:hAnsiTheme="minorHAnsi" w:cstheme="minorHAnsi"/>
          <w:sz w:val="22"/>
          <w:szCs w:val="22"/>
        </w:rPr>
        <w:t>®</w:t>
      </w:r>
      <w:r w:rsidRPr="00547DAB">
        <w:rPr>
          <w:rFonts w:asciiTheme="minorHAnsi" w:eastAsia="Calibri" w:hAnsiTheme="minorHAnsi" w:cstheme="minorHAnsi"/>
          <w:sz w:val="22"/>
          <w:szCs w:val="22"/>
        </w:rPr>
        <w:t xml:space="preserve"> has demonstrated its ability to improve the half-life and other pharmacological properties of next-generation biologic drugs. The Company has an exclusive license agreement with Takeda Pharmaceuticals Co. Ltd. in the field of coagulation disorders and </w:t>
      </w:r>
      <w:r>
        <w:rPr>
          <w:rFonts w:asciiTheme="minorHAnsi" w:eastAsia="Calibri" w:hAnsiTheme="minorHAnsi" w:cstheme="minorHAnsi"/>
          <w:sz w:val="22"/>
          <w:szCs w:val="22"/>
        </w:rPr>
        <w:t>receives</w:t>
      </w:r>
      <w:r w:rsidRPr="00547DAB">
        <w:rPr>
          <w:rFonts w:asciiTheme="minorHAnsi" w:eastAsia="Calibri" w:hAnsiTheme="minorHAnsi" w:cstheme="minorHAnsi"/>
          <w:sz w:val="22"/>
          <w:szCs w:val="22"/>
        </w:rPr>
        <w:t xml:space="preserve"> royalty payments under this agreement.</w:t>
      </w:r>
    </w:p>
    <w:p w14:paraId="615ED245" w14:textId="77777777" w:rsidR="009C14E7" w:rsidRPr="00665ECC" w:rsidRDefault="009C14E7" w:rsidP="009C14E7">
      <w:pPr>
        <w:pStyle w:val="NormalWeb"/>
        <w:spacing w:before="0" w:beforeAutospacing="0" w:after="0" w:afterAutospacing="0"/>
        <w:jc w:val="both"/>
        <w:rPr>
          <w:rFonts w:asciiTheme="minorHAnsi" w:hAnsiTheme="minorHAnsi" w:cstheme="minorHAnsi"/>
          <w:sz w:val="22"/>
          <w:szCs w:val="22"/>
        </w:rPr>
      </w:pPr>
      <w:r w:rsidRPr="00547DAB">
        <w:rPr>
          <w:rFonts w:asciiTheme="minorHAnsi" w:eastAsia="Calibri" w:hAnsiTheme="minorHAnsi" w:cstheme="minorHAnsi"/>
          <w:sz w:val="22"/>
          <w:szCs w:val="22"/>
        </w:rPr>
        <w:t xml:space="preserve"> </w:t>
      </w:r>
    </w:p>
    <w:p w14:paraId="0DB59B21" w14:textId="77777777" w:rsidR="009C14E7" w:rsidRPr="00665ECC" w:rsidRDefault="009C14E7" w:rsidP="009C14E7">
      <w:pPr>
        <w:spacing w:after="0"/>
        <w:rPr>
          <w:rFonts w:asciiTheme="minorHAnsi" w:hAnsiTheme="minorHAnsi" w:cstheme="minorHAnsi"/>
        </w:rPr>
      </w:pPr>
      <w:r w:rsidRPr="00665ECC">
        <w:rPr>
          <w:rFonts w:asciiTheme="minorHAnsi" w:hAnsiTheme="minorHAnsi" w:cstheme="minorHAnsi"/>
        </w:rPr>
        <w:t>For more information, please visit the Company's website at </w:t>
      </w:r>
      <w:hyperlink r:id="rId11" w:history="1">
        <w:r w:rsidRPr="00665ECC">
          <w:rPr>
            <w:rStyle w:val="Hyperlink"/>
            <w:rFonts w:asciiTheme="minorHAnsi" w:hAnsiTheme="minorHAnsi" w:cstheme="minorHAnsi"/>
          </w:rPr>
          <w:t>www.xeneticbio.com</w:t>
        </w:r>
      </w:hyperlink>
      <w:r w:rsidRPr="00665ECC">
        <w:rPr>
          <w:rFonts w:asciiTheme="minorHAnsi" w:hAnsiTheme="minorHAnsi" w:cstheme="minorHAnsi"/>
        </w:rPr>
        <w:t xml:space="preserve"> and connect on </w:t>
      </w:r>
      <w:hyperlink r:id="rId12" w:history="1">
        <w:r w:rsidRPr="00665ECC">
          <w:rPr>
            <w:rStyle w:val="Hyperlink"/>
            <w:rFonts w:asciiTheme="minorHAnsi" w:hAnsiTheme="minorHAnsi" w:cstheme="minorHAnsi"/>
          </w:rPr>
          <w:t>Twitter</w:t>
        </w:r>
      </w:hyperlink>
      <w:r w:rsidRPr="00665ECC">
        <w:rPr>
          <w:rFonts w:asciiTheme="minorHAnsi" w:hAnsiTheme="minorHAnsi" w:cstheme="minorHAnsi"/>
        </w:rPr>
        <w:t xml:space="preserve">, </w:t>
      </w:r>
      <w:hyperlink r:id="rId13" w:history="1">
        <w:r w:rsidRPr="00665ECC">
          <w:rPr>
            <w:rStyle w:val="Hyperlink"/>
            <w:rFonts w:asciiTheme="minorHAnsi" w:hAnsiTheme="minorHAnsi" w:cstheme="minorHAnsi"/>
          </w:rPr>
          <w:t>LinkedIn</w:t>
        </w:r>
      </w:hyperlink>
      <w:r w:rsidRPr="00665ECC">
        <w:rPr>
          <w:rFonts w:asciiTheme="minorHAnsi" w:hAnsiTheme="minorHAnsi" w:cstheme="minorHAnsi"/>
        </w:rPr>
        <w:t xml:space="preserve">, and  </w:t>
      </w:r>
      <w:hyperlink r:id="rId14" w:history="1">
        <w:r w:rsidRPr="00665ECC">
          <w:rPr>
            <w:rStyle w:val="Hyperlink"/>
            <w:rFonts w:asciiTheme="minorHAnsi" w:hAnsiTheme="minorHAnsi" w:cstheme="minorHAnsi"/>
          </w:rPr>
          <w:t>Facebook</w:t>
        </w:r>
      </w:hyperlink>
      <w:r w:rsidRPr="00665ECC">
        <w:rPr>
          <w:rFonts w:asciiTheme="minorHAnsi" w:hAnsiTheme="minorHAnsi" w:cstheme="minorHAnsi"/>
        </w:rPr>
        <w:t>.</w:t>
      </w:r>
    </w:p>
    <w:p w14:paraId="0B0CF059" w14:textId="77777777" w:rsidR="009C14E7" w:rsidRPr="00311717" w:rsidRDefault="009C14E7" w:rsidP="009C14E7">
      <w:pPr>
        <w:pStyle w:val="NormalWeb"/>
        <w:shd w:val="clear" w:color="auto" w:fill="FFFFFF"/>
        <w:spacing w:after="300"/>
        <w:jc w:val="both"/>
        <w:rPr>
          <w:rFonts w:asciiTheme="minorHAnsi" w:hAnsiTheme="minorHAnsi" w:cstheme="minorHAnsi"/>
          <w:b/>
          <w:bCs/>
          <w:sz w:val="22"/>
          <w:szCs w:val="22"/>
        </w:rPr>
      </w:pPr>
      <w:r w:rsidRPr="00CB63BA">
        <w:rPr>
          <w:rFonts w:asciiTheme="minorHAnsi" w:hAnsiTheme="minorHAnsi" w:cstheme="minorHAnsi"/>
          <w:b/>
          <w:bCs/>
          <w:sz w:val="22"/>
          <w:szCs w:val="22"/>
        </w:rPr>
        <w:t>Forward-Looking Statements</w:t>
      </w:r>
      <w:r>
        <w:rPr>
          <w:rFonts w:asciiTheme="minorHAnsi" w:hAnsiTheme="minorHAnsi" w:cstheme="minorHAnsi"/>
          <w:b/>
          <w:bCs/>
          <w:sz w:val="22"/>
          <w:szCs w:val="22"/>
        </w:rPr>
        <w:t xml:space="preserve"> </w:t>
      </w:r>
    </w:p>
    <w:p w14:paraId="0A6D3205" w14:textId="0EC38F6E" w:rsidR="009C14E7" w:rsidRPr="00311717" w:rsidRDefault="00B36839" w:rsidP="009C14E7">
      <w:pPr>
        <w:spacing w:after="0" w:line="240" w:lineRule="auto"/>
        <w:jc w:val="both"/>
        <w:rPr>
          <w:rFonts w:asciiTheme="minorHAnsi" w:hAnsiTheme="minorHAnsi"/>
        </w:rPr>
      </w:pPr>
      <w:r w:rsidRPr="00B36839">
        <w:rPr>
          <w:rFonts w:asciiTheme="minorHAnsi" w:hAnsiTheme="minorHAnsi" w:cstheme="minorHAnsi"/>
          <w:bCs/>
        </w:rPr>
        <w:t>This press release contains forward-looking statements for purposes of the safe harbor provisions of the Private Securities Litigation Reform Act of 1995. All statements contained in this press release other than statements of historical facts may constitute forward-looking statements within the meaning of the federal securities laws. These statements can be identified by words such as "expects," "plans," "projects," "will," "may," "anticipates," "believes," "should," "intends," "estimates," and other words of similar meaning, including, but not limited to, statements regarding:</w:t>
      </w:r>
      <w:r w:rsidR="00F02A6E">
        <w:rPr>
          <w:rFonts w:asciiTheme="minorHAnsi" w:hAnsiTheme="minorHAnsi" w:cstheme="minorHAnsi"/>
          <w:bCs/>
        </w:rPr>
        <w:t xml:space="preserve"> expectations that the registered direct </w:t>
      </w:r>
      <w:r w:rsidR="00F02A6E" w:rsidRPr="003D6414">
        <w:rPr>
          <w:rFonts w:asciiTheme="minorHAnsi" w:hAnsiTheme="minorHAnsi" w:cstheme="minorHAnsi"/>
          <w:bCs/>
        </w:rPr>
        <w:t>offering will result</w:t>
      </w:r>
      <w:r w:rsidR="00F02A6E" w:rsidRPr="003D6414">
        <w:rPr>
          <w:rFonts w:asciiTheme="minorHAnsi" w:hAnsiTheme="minorHAnsi" w:cstheme="minorHAnsi"/>
        </w:rPr>
        <w:t xml:space="preserve"> in gross proceeds to Xenetic of approximately $</w:t>
      </w:r>
      <w:r w:rsidR="003D6414" w:rsidRPr="003D6414">
        <w:rPr>
          <w:rFonts w:asciiTheme="minorHAnsi" w:hAnsiTheme="minorHAnsi" w:cstheme="minorHAnsi"/>
        </w:rPr>
        <w:t>6.0</w:t>
      </w:r>
      <w:r w:rsidR="00F02A6E" w:rsidRPr="003D6414">
        <w:rPr>
          <w:rFonts w:asciiTheme="minorHAnsi" w:hAnsiTheme="minorHAnsi" w:cstheme="minorHAnsi"/>
        </w:rPr>
        <w:t xml:space="preserve"> million before the deduction of</w:t>
      </w:r>
      <w:r w:rsidR="00F02A6E">
        <w:rPr>
          <w:rFonts w:asciiTheme="minorHAnsi" w:hAnsiTheme="minorHAnsi" w:cstheme="minorHAnsi"/>
        </w:rPr>
        <w:t xml:space="preserve"> placement agent fees and other offering expenses payable by Xenetic; our anticipated uses for the net proceeds of the offering;  expectations regarding the anticipated closing date of the offering; </w:t>
      </w:r>
      <w:r w:rsidRPr="00EB1415">
        <w:rPr>
          <w:rFonts w:asciiTheme="minorHAnsi" w:hAnsiTheme="minorHAnsi" w:cstheme="minorHAnsi"/>
          <w:bCs/>
        </w:rPr>
        <w:t>;  our plans to initially apply the XCART technology to advance cell-based therapeutics by targeting the unique B-cell receptor on the surface of an individual patient’s malignant tumor cells for the treatment of B-cell lymphomas; our expectations that XCART has the potential to fuel a robust pipeline of therapeutic assets targeting high-value oncology indications; our plans to leverage PolyXen® by partnering with biotechnology and pharmaceutical companies; and our expectation regarding receipt of royalty payments</w:t>
      </w:r>
      <w:r w:rsidRPr="00B36839">
        <w:rPr>
          <w:rFonts w:asciiTheme="minorHAnsi" w:hAnsiTheme="minorHAnsi" w:cstheme="minorHAnsi"/>
          <w:bCs/>
        </w:rPr>
        <w:t xml:space="preserve"> under the exclusive license agreement with Takeda Pharmaceuticals Co. Ltd. Any forward-looking statements contained herein are based on current expectations, and are subject to a number of risks and uncertainties. Many factors could cause our actual activities, performance, achievements, or results to differ materially from the activities and results anticipated in forward-looking statements. Important factors that could cause actual activities, performance, achievements, or results to differ materially from such plans, estimates or expectations include, among others, (1) unexpected costs, charges or expenses resulting from the acquisition of XCART; (2) uncertainty of the expected financial performance of the Company following completion of the acquisition of XCART; (3) failure to realize the anticipated potential of the XCART or PolyXen technology; (4) the ability of the Company to implement its business strategy; (5) </w:t>
      </w:r>
      <w:r w:rsidR="00F02A6E" w:rsidRPr="00F02A6E">
        <w:rPr>
          <w:rFonts w:asciiTheme="minorHAnsi" w:hAnsiTheme="minorHAnsi" w:cstheme="minorHAnsi"/>
          <w:bCs/>
        </w:rPr>
        <w:t>the</w:t>
      </w:r>
      <w:r w:rsidR="00F02A6E">
        <w:rPr>
          <w:rFonts w:asciiTheme="minorHAnsi" w:hAnsiTheme="minorHAnsi" w:cstheme="minorHAnsi"/>
          <w:bCs/>
        </w:rPr>
        <w:t xml:space="preserve"> ability of the Company to</w:t>
      </w:r>
      <w:r w:rsidR="00F02A6E" w:rsidRPr="00F02A6E">
        <w:rPr>
          <w:rFonts w:asciiTheme="minorHAnsi" w:hAnsiTheme="minorHAnsi" w:cstheme="minorHAnsi"/>
          <w:bCs/>
        </w:rPr>
        <w:t xml:space="preserve"> </w:t>
      </w:r>
      <w:r w:rsidR="00F02A6E">
        <w:rPr>
          <w:rFonts w:asciiTheme="minorHAnsi" w:hAnsiTheme="minorHAnsi" w:cstheme="minorHAnsi"/>
          <w:bCs/>
        </w:rPr>
        <w:t xml:space="preserve">complete the registered direct offering (6) </w:t>
      </w:r>
      <w:r w:rsidR="00F02A6E" w:rsidRPr="00F02A6E">
        <w:rPr>
          <w:rFonts w:asciiTheme="minorHAnsi" w:hAnsiTheme="minorHAnsi" w:cstheme="minorHAnsi"/>
          <w:bCs/>
        </w:rPr>
        <w:t xml:space="preserve">the Company’s use of proceeds from </w:t>
      </w:r>
      <w:r w:rsidR="00F02A6E">
        <w:rPr>
          <w:rFonts w:asciiTheme="minorHAnsi" w:hAnsiTheme="minorHAnsi" w:cstheme="minorHAnsi"/>
          <w:bCs/>
        </w:rPr>
        <w:t>the registered direct offering</w:t>
      </w:r>
      <w:r w:rsidRPr="00B36839">
        <w:rPr>
          <w:rFonts w:asciiTheme="minorHAnsi" w:hAnsiTheme="minorHAnsi" w:cstheme="minorHAnsi"/>
          <w:bCs/>
        </w:rPr>
        <w:t>; and (</w:t>
      </w:r>
      <w:r w:rsidR="00F02A6E">
        <w:rPr>
          <w:rFonts w:asciiTheme="minorHAnsi" w:hAnsiTheme="minorHAnsi" w:cstheme="minorHAnsi"/>
          <w:bCs/>
        </w:rPr>
        <w:t>7</w:t>
      </w:r>
      <w:r w:rsidRPr="00B36839">
        <w:rPr>
          <w:rFonts w:asciiTheme="minorHAnsi" w:hAnsiTheme="minorHAnsi" w:cstheme="minorHAnsi"/>
          <w:bCs/>
        </w:rPr>
        <w:t xml:space="preserve">) other risk factors as detailed from time to time in the Company’s reports filed with the SEC, including its annual report on Form 10-K, periodic quarterly reports on Form 10-Q, periodic current reports on Form 8-K and other documents filed with the SEC. The foregoing list of important factors is not exclusive. In addition, forward-looking statements may also be adversely affected by general market factors, general economic and business conditions, including potential adverse effects of public health issues, such as the COVID-19 outbreak on economic activity, competitive product development, product availability, federal and state regulations and legislation, the regulatory process for new product candidates and indications, manufacturing issues that may arise, patent positions and litigation, among other factors. The forward-looking statements contained in this </w:t>
      </w:r>
      <w:r w:rsidRPr="00B36839">
        <w:rPr>
          <w:rFonts w:asciiTheme="minorHAnsi" w:hAnsiTheme="minorHAnsi" w:cstheme="minorHAnsi"/>
          <w:bCs/>
        </w:rPr>
        <w:lastRenderedPageBreak/>
        <w:t>press release speak only as of the date the statements were made, and the Company does not undertake any obligation to update forward-looking statements, except as required by law.</w:t>
      </w:r>
    </w:p>
    <w:p w14:paraId="1A249953" w14:textId="77777777" w:rsidR="009C14E7" w:rsidRPr="003642E1" w:rsidRDefault="00B36839" w:rsidP="009C14E7">
      <w:pPr>
        <w:pStyle w:val="NormalWeb"/>
        <w:spacing w:before="0" w:beforeAutospacing="0" w:after="0" w:afterAutospacing="0"/>
        <w:jc w:val="both"/>
        <w:rPr>
          <w:rFonts w:asciiTheme="minorHAnsi" w:hAnsiTheme="minorHAnsi"/>
          <w:lang w:val="fr-FR"/>
        </w:rPr>
      </w:pPr>
      <w:r>
        <w:rPr>
          <w:rFonts w:asciiTheme="minorHAnsi" w:hAnsiTheme="minorHAnsi"/>
          <w:b/>
          <w:lang w:val="fr-FR"/>
        </w:rPr>
        <w:br/>
      </w:r>
      <w:r w:rsidR="009C14E7" w:rsidRPr="003642E1">
        <w:rPr>
          <w:rFonts w:asciiTheme="minorHAnsi" w:hAnsiTheme="minorHAnsi"/>
          <w:b/>
          <w:lang w:val="fr-FR"/>
        </w:rPr>
        <w:t>Contact:</w:t>
      </w:r>
    </w:p>
    <w:p w14:paraId="091ABEC7" w14:textId="77777777" w:rsidR="009C14E7" w:rsidRDefault="009C14E7" w:rsidP="009C14E7">
      <w:pPr>
        <w:spacing w:after="0" w:line="240" w:lineRule="auto"/>
        <w:jc w:val="both"/>
        <w:rPr>
          <w:rFonts w:asciiTheme="minorHAnsi" w:hAnsiTheme="minorHAnsi"/>
          <w:lang w:val="fr-FR"/>
        </w:rPr>
      </w:pPr>
    </w:p>
    <w:p w14:paraId="62157F8E" w14:textId="77777777" w:rsidR="009C14E7" w:rsidRPr="003642E1" w:rsidRDefault="009C14E7" w:rsidP="009C14E7">
      <w:pPr>
        <w:spacing w:after="0" w:line="240" w:lineRule="auto"/>
        <w:jc w:val="both"/>
        <w:rPr>
          <w:rFonts w:asciiTheme="minorHAnsi" w:hAnsiTheme="minorHAnsi"/>
          <w:lang w:val="fr-FR"/>
        </w:rPr>
      </w:pPr>
      <w:r>
        <w:rPr>
          <w:rFonts w:asciiTheme="minorHAnsi" w:hAnsiTheme="minorHAnsi"/>
          <w:lang w:val="fr-FR"/>
        </w:rPr>
        <w:t>JTC Team, LLC</w:t>
      </w:r>
    </w:p>
    <w:p w14:paraId="6DCB4B51" w14:textId="77777777" w:rsidR="009C14E7" w:rsidRPr="00311717" w:rsidRDefault="009C14E7" w:rsidP="009C14E7">
      <w:pPr>
        <w:spacing w:after="0" w:line="240" w:lineRule="auto"/>
        <w:jc w:val="both"/>
        <w:rPr>
          <w:rFonts w:asciiTheme="minorHAnsi" w:hAnsiTheme="minorHAnsi"/>
        </w:rPr>
      </w:pPr>
      <w:r w:rsidRPr="00311717">
        <w:rPr>
          <w:rFonts w:asciiTheme="minorHAnsi" w:hAnsiTheme="minorHAnsi"/>
        </w:rPr>
        <w:t>Jenene Thomas</w:t>
      </w:r>
    </w:p>
    <w:p w14:paraId="2B154F60" w14:textId="77777777" w:rsidR="009C14E7" w:rsidRDefault="009C14E7" w:rsidP="009C14E7">
      <w:pPr>
        <w:spacing w:after="0" w:line="240" w:lineRule="auto"/>
        <w:jc w:val="both"/>
        <w:rPr>
          <w:rFonts w:asciiTheme="minorHAnsi" w:hAnsiTheme="minorHAnsi"/>
        </w:rPr>
      </w:pPr>
      <w:r w:rsidRPr="00311717">
        <w:rPr>
          <w:rFonts w:asciiTheme="minorHAnsi" w:hAnsiTheme="minorHAnsi"/>
        </w:rPr>
        <w:t>(</w:t>
      </w:r>
      <w:r w:rsidRPr="00205502">
        <w:rPr>
          <w:rFonts w:asciiTheme="minorHAnsi" w:hAnsiTheme="minorHAnsi"/>
        </w:rPr>
        <w:t>833) 475-8247</w:t>
      </w:r>
    </w:p>
    <w:p w14:paraId="6B92CD8B" w14:textId="77777777" w:rsidR="009C14E7" w:rsidRPr="00205502" w:rsidRDefault="009C14E7" w:rsidP="009C14E7">
      <w:pPr>
        <w:spacing w:after="0" w:line="240" w:lineRule="auto"/>
        <w:jc w:val="both"/>
        <w:rPr>
          <w:rStyle w:val="Hyperlink"/>
          <w:rFonts w:asciiTheme="minorHAnsi" w:hAnsiTheme="minorHAnsi"/>
        </w:rPr>
      </w:pPr>
      <w:r>
        <w:rPr>
          <w:rStyle w:val="Hyperlink"/>
          <w:rFonts w:asciiTheme="minorHAnsi" w:hAnsiTheme="minorHAnsi"/>
        </w:rPr>
        <w:fldChar w:fldCharType="begin"/>
      </w:r>
      <w:r>
        <w:rPr>
          <w:rStyle w:val="Hyperlink"/>
          <w:rFonts w:asciiTheme="minorHAnsi" w:hAnsiTheme="minorHAnsi"/>
        </w:rPr>
        <w:instrText xml:space="preserve"> HYPERLINK "mailto:xbio@jtcir.com" </w:instrText>
      </w:r>
      <w:r>
        <w:rPr>
          <w:rStyle w:val="Hyperlink"/>
          <w:rFonts w:asciiTheme="minorHAnsi" w:hAnsiTheme="minorHAnsi"/>
        </w:rPr>
        <w:fldChar w:fldCharType="separate"/>
      </w:r>
      <w:r w:rsidRPr="00033FC9">
        <w:rPr>
          <w:rStyle w:val="Hyperlink"/>
          <w:rFonts w:asciiTheme="minorHAnsi" w:hAnsiTheme="minorHAnsi"/>
        </w:rPr>
        <w:t>xbio</w:t>
      </w:r>
      <w:r w:rsidRPr="0088761C">
        <w:rPr>
          <w:rStyle w:val="Hyperlink"/>
          <w:rFonts w:asciiTheme="minorHAnsi" w:hAnsiTheme="minorHAnsi"/>
        </w:rPr>
        <w:t>@jtcir.com</w:t>
      </w:r>
      <w:r w:rsidRPr="00205502">
        <w:rPr>
          <w:rStyle w:val="Hyperlink"/>
          <w:rFonts w:asciiTheme="minorHAnsi" w:hAnsiTheme="minorHAnsi"/>
        </w:rPr>
        <w:t xml:space="preserve"> </w:t>
      </w:r>
    </w:p>
    <w:p w14:paraId="79E44C1F" w14:textId="77777777" w:rsidR="009C14E7" w:rsidRDefault="009C14E7" w:rsidP="009C14E7">
      <w:pPr>
        <w:pStyle w:val="NormalWeb"/>
        <w:shd w:val="clear" w:color="auto" w:fill="FFFFFF"/>
        <w:jc w:val="both"/>
      </w:pPr>
      <w:r>
        <w:rPr>
          <w:rStyle w:val="Hyperlink"/>
          <w:rFonts w:asciiTheme="minorHAnsi" w:eastAsia="Calibri" w:hAnsiTheme="minorHAnsi"/>
          <w:sz w:val="22"/>
          <w:szCs w:val="22"/>
        </w:rPr>
        <w:fldChar w:fldCharType="end"/>
      </w:r>
      <w:r w:rsidRPr="00311717">
        <w:rPr>
          <w:rFonts w:asciiTheme="minorHAnsi" w:eastAsia="Calibri" w:hAnsiTheme="minorHAnsi"/>
          <w:sz w:val="22"/>
          <w:szCs w:val="22"/>
        </w:rPr>
        <w:t>Source: Xenetic Biosciences, Inc.</w:t>
      </w:r>
    </w:p>
    <w:p w14:paraId="46494091" w14:textId="77777777" w:rsidR="002E24D5" w:rsidRPr="008C32A7" w:rsidRDefault="002E24D5" w:rsidP="002113F7">
      <w:pPr>
        <w:spacing w:after="0" w:line="240" w:lineRule="auto"/>
        <w:jc w:val="both"/>
        <w:rPr>
          <w:rFonts w:asciiTheme="minorHAnsi" w:hAnsiTheme="minorHAnsi"/>
        </w:rPr>
      </w:pPr>
    </w:p>
    <w:sectPr w:rsidR="002E24D5" w:rsidRPr="008C32A7">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F8169" w14:textId="77777777" w:rsidR="00844162" w:rsidRDefault="00844162" w:rsidP="0021273E">
      <w:pPr>
        <w:spacing w:after="0" w:line="240" w:lineRule="auto"/>
      </w:pPr>
      <w:r>
        <w:separator/>
      </w:r>
    </w:p>
  </w:endnote>
  <w:endnote w:type="continuationSeparator" w:id="0">
    <w:p w14:paraId="36DB4CEE" w14:textId="77777777" w:rsidR="00844162" w:rsidRDefault="00844162" w:rsidP="00212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Light">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A4DDD" w14:textId="77777777" w:rsidR="00844162" w:rsidRDefault="00844162" w:rsidP="0021273E">
      <w:pPr>
        <w:spacing w:after="0" w:line="240" w:lineRule="auto"/>
      </w:pPr>
      <w:r>
        <w:separator/>
      </w:r>
    </w:p>
  </w:footnote>
  <w:footnote w:type="continuationSeparator" w:id="0">
    <w:p w14:paraId="0433F463" w14:textId="77777777" w:rsidR="00844162" w:rsidRDefault="00844162" w:rsidP="00212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0803A" w14:textId="77777777" w:rsidR="0021273E" w:rsidRDefault="0021273E">
    <w:pPr>
      <w:pStyle w:val="Header"/>
    </w:pPr>
    <w:r>
      <w:rPr>
        <w:rFonts w:ascii="Arial" w:hAnsi="Arial" w:cs="Arial"/>
        <w:noProof/>
        <w:color w:val="00ADEF"/>
        <w:sz w:val="52"/>
        <w:szCs w:val="52"/>
        <w:lang w:bidi="he-IL"/>
      </w:rPr>
      <w:drawing>
        <wp:inline distT="0" distB="0" distL="0" distR="0" wp14:anchorId="779FE5E4" wp14:editId="4C434B2C">
          <wp:extent cx="1798320" cy="590550"/>
          <wp:effectExtent l="0" t="0" r="0" b="0"/>
          <wp:docPr id="2" name="Picture 2" descr="Xenetic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enetic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2751" cy="592005"/>
                  </a:xfrm>
                  <a:prstGeom prst="rect">
                    <a:avLst/>
                  </a:prstGeom>
                  <a:noFill/>
                  <a:ln>
                    <a:noFill/>
                  </a:ln>
                </pic:spPr>
              </pic:pic>
            </a:graphicData>
          </a:graphic>
        </wp:inline>
      </w:drawing>
    </w:r>
  </w:p>
  <w:p w14:paraId="10D40957" w14:textId="77777777" w:rsidR="0021273E" w:rsidRDefault="002127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E13035"/>
    <w:multiLevelType w:val="hybridMultilevel"/>
    <w:tmpl w:val="24122AF6"/>
    <w:lvl w:ilvl="0" w:tplc="A970A8A8">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4162C"/>
    <w:multiLevelType w:val="hybridMultilevel"/>
    <w:tmpl w:val="0CB6E618"/>
    <w:lvl w:ilvl="0" w:tplc="E4D0859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62801"/>
    <w:multiLevelType w:val="hybridMultilevel"/>
    <w:tmpl w:val="FB9061DE"/>
    <w:lvl w:ilvl="0" w:tplc="B6CA037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52AE5"/>
    <w:multiLevelType w:val="hybridMultilevel"/>
    <w:tmpl w:val="BC8CB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52EA3"/>
    <w:multiLevelType w:val="hybridMultilevel"/>
    <w:tmpl w:val="9F04CFB0"/>
    <w:lvl w:ilvl="0" w:tplc="A970A8A8">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903BF5"/>
    <w:multiLevelType w:val="hybridMultilevel"/>
    <w:tmpl w:val="59FA1E8E"/>
    <w:lvl w:ilvl="0" w:tplc="E03AB2B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CE3434"/>
    <w:multiLevelType w:val="hybridMultilevel"/>
    <w:tmpl w:val="7F602114"/>
    <w:lvl w:ilvl="0" w:tplc="80DE526C">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972B9C"/>
    <w:multiLevelType w:val="hybridMultilevel"/>
    <w:tmpl w:val="17ECFDB8"/>
    <w:lvl w:ilvl="0" w:tplc="3E3C0F7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B84912"/>
    <w:multiLevelType w:val="hybridMultilevel"/>
    <w:tmpl w:val="F65E40B4"/>
    <w:lvl w:ilvl="0" w:tplc="1B143AD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A12208"/>
    <w:multiLevelType w:val="hybridMultilevel"/>
    <w:tmpl w:val="A04AAE6A"/>
    <w:lvl w:ilvl="0" w:tplc="C748899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755EFA"/>
    <w:multiLevelType w:val="hybridMultilevel"/>
    <w:tmpl w:val="9AA06940"/>
    <w:lvl w:ilvl="0" w:tplc="5AEEC28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E0140E"/>
    <w:multiLevelType w:val="hybridMultilevel"/>
    <w:tmpl w:val="1472D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71127"/>
    <w:multiLevelType w:val="hybridMultilevel"/>
    <w:tmpl w:val="DC3A5632"/>
    <w:lvl w:ilvl="0" w:tplc="B4A8440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E472A"/>
    <w:multiLevelType w:val="hybridMultilevel"/>
    <w:tmpl w:val="D11A8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CE83F0A"/>
    <w:multiLevelType w:val="hybridMultilevel"/>
    <w:tmpl w:val="40AEE7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6AB4DF4"/>
    <w:multiLevelType w:val="hybridMultilevel"/>
    <w:tmpl w:val="D5047F00"/>
    <w:lvl w:ilvl="0" w:tplc="ABEE44A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B36FA3"/>
    <w:multiLevelType w:val="hybridMultilevel"/>
    <w:tmpl w:val="27985A9C"/>
    <w:lvl w:ilvl="0" w:tplc="6102E8F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A40474"/>
    <w:multiLevelType w:val="hybridMultilevel"/>
    <w:tmpl w:val="968CDC40"/>
    <w:lvl w:ilvl="0" w:tplc="6C50BCCC">
      <w:numFmt w:val="bullet"/>
      <w:lvlText w:val="-"/>
      <w:lvlJc w:val="left"/>
      <w:pPr>
        <w:ind w:left="410" w:hanging="360"/>
      </w:pPr>
      <w:rPr>
        <w:rFonts w:ascii="Calibri" w:eastAsia="Calibr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num w:numId="1">
    <w:abstractNumId w:val="3"/>
  </w:num>
  <w:num w:numId="2">
    <w:abstractNumId w:val="9"/>
  </w:num>
  <w:num w:numId="3">
    <w:abstractNumId w:val="8"/>
  </w:num>
  <w:num w:numId="4">
    <w:abstractNumId w:val="5"/>
  </w:num>
  <w:num w:numId="5">
    <w:abstractNumId w:val="12"/>
  </w:num>
  <w:num w:numId="6">
    <w:abstractNumId w:val="15"/>
  </w:num>
  <w:num w:numId="7">
    <w:abstractNumId w:val="2"/>
  </w:num>
  <w:num w:numId="8">
    <w:abstractNumId w:val="7"/>
  </w:num>
  <w:num w:numId="9">
    <w:abstractNumId w:val="13"/>
  </w:num>
  <w:num w:numId="10">
    <w:abstractNumId w:val="6"/>
  </w:num>
  <w:num w:numId="11">
    <w:abstractNumId w:val="11"/>
  </w:num>
  <w:num w:numId="12">
    <w:abstractNumId w:val="17"/>
  </w:num>
  <w:num w:numId="13">
    <w:abstractNumId w:val="16"/>
  </w:num>
  <w:num w:numId="14">
    <w:abstractNumId w:val="14"/>
  </w:num>
  <w:num w:numId="15">
    <w:abstractNumId w:val="4"/>
  </w:num>
  <w:num w:numId="16">
    <w:abstractNumId w:val="0"/>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llPagesExceptFirst" w:val="True"/>
    <w:docVar w:name="DocIDClientMatter" w:val="False"/>
    <w:docVar w:name="DocIDType" w:val="AllPagesExceptFirst"/>
    <w:docVar w:name="LegacyDocIDRemoved" w:val="True"/>
  </w:docVars>
  <w:rsids>
    <w:rsidRoot w:val="0021273E"/>
    <w:rsid w:val="0000315B"/>
    <w:rsid w:val="000100B9"/>
    <w:rsid w:val="00013936"/>
    <w:rsid w:val="000163A7"/>
    <w:rsid w:val="00026808"/>
    <w:rsid w:val="00030793"/>
    <w:rsid w:val="00031119"/>
    <w:rsid w:val="000409D4"/>
    <w:rsid w:val="00040FCC"/>
    <w:rsid w:val="000431AF"/>
    <w:rsid w:val="00045244"/>
    <w:rsid w:val="00045B42"/>
    <w:rsid w:val="00046E69"/>
    <w:rsid w:val="00047073"/>
    <w:rsid w:val="000474EA"/>
    <w:rsid w:val="00050EC0"/>
    <w:rsid w:val="00051DEE"/>
    <w:rsid w:val="00053E61"/>
    <w:rsid w:val="0005606E"/>
    <w:rsid w:val="00056D43"/>
    <w:rsid w:val="00057C80"/>
    <w:rsid w:val="00071213"/>
    <w:rsid w:val="00083E9C"/>
    <w:rsid w:val="000929BD"/>
    <w:rsid w:val="000A118F"/>
    <w:rsid w:val="000A7E15"/>
    <w:rsid w:val="000B2930"/>
    <w:rsid w:val="000B62AA"/>
    <w:rsid w:val="000B7523"/>
    <w:rsid w:val="000C2217"/>
    <w:rsid w:val="000C5C67"/>
    <w:rsid w:val="000D17E7"/>
    <w:rsid w:val="000D1FB9"/>
    <w:rsid w:val="000D63BB"/>
    <w:rsid w:val="000D7E12"/>
    <w:rsid w:val="000E1202"/>
    <w:rsid w:val="000E32E9"/>
    <w:rsid w:val="000F22BF"/>
    <w:rsid w:val="000F4465"/>
    <w:rsid w:val="000F6259"/>
    <w:rsid w:val="000F7B0C"/>
    <w:rsid w:val="001014CD"/>
    <w:rsid w:val="00102423"/>
    <w:rsid w:val="00103D66"/>
    <w:rsid w:val="00106A45"/>
    <w:rsid w:val="00115766"/>
    <w:rsid w:val="0011686D"/>
    <w:rsid w:val="0013798C"/>
    <w:rsid w:val="00144F94"/>
    <w:rsid w:val="00145982"/>
    <w:rsid w:val="00150E32"/>
    <w:rsid w:val="00153869"/>
    <w:rsid w:val="00154CA7"/>
    <w:rsid w:val="00155965"/>
    <w:rsid w:val="001601B5"/>
    <w:rsid w:val="001601BE"/>
    <w:rsid w:val="001701B6"/>
    <w:rsid w:val="00174CE2"/>
    <w:rsid w:val="00175AA5"/>
    <w:rsid w:val="00181B9C"/>
    <w:rsid w:val="00190E04"/>
    <w:rsid w:val="00191922"/>
    <w:rsid w:val="00191B26"/>
    <w:rsid w:val="001922C5"/>
    <w:rsid w:val="00195BB3"/>
    <w:rsid w:val="00195ECA"/>
    <w:rsid w:val="001A27C7"/>
    <w:rsid w:val="001A3DC7"/>
    <w:rsid w:val="001B5FF4"/>
    <w:rsid w:val="001C05D1"/>
    <w:rsid w:val="001C0FFE"/>
    <w:rsid w:val="001C228E"/>
    <w:rsid w:val="001C522E"/>
    <w:rsid w:val="001D1B42"/>
    <w:rsid w:val="001D3365"/>
    <w:rsid w:val="001D6052"/>
    <w:rsid w:val="001D60B3"/>
    <w:rsid w:val="001D663D"/>
    <w:rsid w:val="001E2BCA"/>
    <w:rsid w:val="001E54C8"/>
    <w:rsid w:val="001E5E22"/>
    <w:rsid w:val="001E7AC6"/>
    <w:rsid w:val="001F2717"/>
    <w:rsid w:val="001F370A"/>
    <w:rsid w:val="001F377B"/>
    <w:rsid w:val="001F5CE5"/>
    <w:rsid w:val="001F6992"/>
    <w:rsid w:val="001F7DB8"/>
    <w:rsid w:val="00201204"/>
    <w:rsid w:val="00201E24"/>
    <w:rsid w:val="0020744D"/>
    <w:rsid w:val="002106F0"/>
    <w:rsid w:val="002113F7"/>
    <w:rsid w:val="0021273E"/>
    <w:rsid w:val="00222444"/>
    <w:rsid w:val="00231525"/>
    <w:rsid w:val="00233F69"/>
    <w:rsid w:val="00234157"/>
    <w:rsid w:val="00243037"/>
    <w:rsid w:val="0024487D"/>
    <w:rsid w:val="00244D70"/>
    <w:rsid w:val="0024764A"/>
    <w:rsid w:val="002610D3"/>
    <w:rsid w:val="00261F97"/>
    <w:rsid w:val="002635C4"/>
    <w:rsid w:val="002638F9"/>
    <w:rsid w:val="00263915"/>
    <w:rsid w:val="002723C3"/>
    <w:rsid w:val="00272A58"/>
    <w:rsid w:val="002736BD"/>
    <w:rsid w:val="00275255"/>
    <w:rsid w:val="0028171C"/>
    <w:rsid w:val="002858F8"/>
    <w:rsid w:val="00290CC9"/>
    <w:rsid w:val="002939A9"/>
    <w:rsid w:val="002A022C"/>
    <w:rsid w:val="002A2DA2"/>
    <w:rsid w:val="002A4A16"/>
    <w:rsid w:val="002A5374"/>
    <w:rsid w:val="002A5E8A"/>
    <w:rsid w:val="002B0D1E"/>
    <w:rsid w:val="002B4A6F"/>
    <w:rsid w:val="002B5AA1"/>
    <w:rsid w:val="002B72F6"/>
    <w:rsid w:val="002C1584"/>
    <w:rsid w:val="002C4FE2"/>
    <w:rsid w:val="002C5157"/>
    <w:rsid w:val="002C59DA"/>
    <w:rsid w:val="002D3105"/>
    <w:rsid w:val="002D412E"/>
    <w:rsid w:val="002D4429"/>
    <w:rsid w:val="002D794C"/>
    <w:rsid w:val="002E0BC8"/>
    <w:rsid w:val="002E196A"/>
    <w:rsid w:val="002E212E"/>
    <w:rsid w:val="002E2218"/>
    <w:rsid w:val="002E2295"/>
    <w:rsid w:val="002E24D5"/>
    <w:rsid w:val="002E46DA"/>
    <w:rsid w:val="002E5979"/>
    <w:rsid w:val="002E79EB"/>
    <w:rsid w:val="002F0E0B"/>
    <w:rsid w:val="002F57B6"/>
    <w:rsid w:val="002F7D40"/>
    <w:rsid w:val="002F7F68"/>
    <w:rsid w:val="003006C7"/>
    <w:rsid w:val="0030518F"/>
    <w:rsid w:val="00305BC6"/>
    <w:rsid w:val="00313FAB"/>
    <w:rsid w:val="0031411C"/>
    <w:rsid w:val="00320F54"/>
    <w:rsid w:val="00321426"/>
    <w:rsid w:val="00326334"/>
    <w:rsid w:val="00327592"/>
    <w:rsid w:val="003304C7"/>
    <w:rsid w:val="003331C9"/>
    <w:rsid w:val="003366A9"/>
    <w:rsid w:val="00336773"/>
    <w:rsid w:val="0034055A"/>
    <w:rsid w:val="0034262C"/>
    <w:rsid w:val="003619B7"/>
    <w:rsid w:val="00371D01"/>
    <w:rsid w:val="0037225D"/>
    <w:rsid w:val="00372EE8"/>
    <w:rsid w:val="00375C65"/>
    <w:rsid w:val="00384843"/>
    <w:rsid w:val="00384F7F"/>
    <w:rsid w:val="00385984"/>
    <w:rsid w:val="00391F09"/>
    <w:rsid w:val="00392FCC"/>
    <w:rsid w:val="00396920"/>
    <w:rsid w:val="003A458E"/>
    <w:rsid w:val="003A4CF7"/>
    <w:rsid w:val="003A6817"/>
    <w:rsid w:val="003B25A0"/>
    <w:rsid w:val="003B29DB"/>
    <w:rsid w:val="003B308D"/>
    <w:rsid w:val="003C07F1"/>
    <w:rsid w:val="003C2403"/>
    <w:rsid w:val="003C34A1"/>
    <w:rsid w:val="003C39E0"/>
    <w:rsid w:val="003C4DAD"/>
    <w:rsid w:val="003D6414"/>
    <w:rsid w:val="003D68F4"/>
    <w:rsid w:val="003D7F22"/>
    <w:rsid w:val="003E0437"/>
    <w:rsid w:val="003E333B"/>
    <w:rsid w:val="003E39DB"/>
    <w:rsid w:val="003F17BA"/>
    <w:rsid w:val="003F54C7"/>
    <w:rsid w:val="003F6830"/>
    <w:rsid w:val="0040077D"/>
    <w:rsid w:val="00405282"/>
    <w:rsid w:val="0040732F"/>
    <w:rsid w:val="0040769E"/>
    <w:rsid w:val="00415A27"/>
    <w:rsid w:val="00416D36"/>
    <w:rsid w:val="0042653D"/>
    <w:rsid w:val="00436079"/>
    <w:rsid w:val="00442D77"/>
    <w:rsid w:val="00442F7E"/>
    <w:rsid w:val="00452FB5"/>
    <w:rsid w:val="00457960"/>
    <w:rsid w:val="0045798A"/>
    <w:rsid w:val="00461493"/>
    <w:rsid w:val="00462E29"/>
    <w:rsid w:val="0046677B"/>
    <w:rsid w:val="004678AE"/>
    <w:rsid w:val="00470B8E"/>
    <w:rsid w:val="004736E2"/>
    <w:rsid w:val="00477749"/>
    <w:rsid w:val="004812BF"/>
    <w:rsid w:val="00485DE0"/>
    <w:rsid w:val="00491903"/>
    <w:rsid w:val="00493469"/>
    <w:rsid w:val="004A3650"/>
    <w:rsid w:val="004A6067"/>
    <w:rsid w:val="004B083F"/>
    <w:rsid w:val="004B1C3B"/>
    <w:rsid w:val="004B4210"/>
    <w:rsid w:val="004B49AF"/>
    <w:rsid w:val="004B7867"/>
    <w:rsid w:val="004C2AB8"/>
    <w:rsid w:val="004C4B10"/>
    <w:rsid w:val="004C4C33"/>
    <w:rsid w:val="004C64CF"/>
    <w:rsid w:val="004C7DD8"/>
    <w:rsid w:val="004D050A"/>
    <w:rsid w:val="004D0C14"/>
    <w:rsid w:val="004D5E6A"/>
    <w:rsid w:val="004E2FD2"/>
    <w:rsid w:val="004E4350"/>
    <w:rsid w:val="004F7002"/>
    <w:rsid w:val="00502D17"/>
    <w:rsid w:val="00505C71"/>
    <w:rsid w:val="005115EC"/>
    <w:rsid w:val="0051566F"/>
    <w:rsid w:val="00521729"/>
    <w:rsid w:val="00522636"/>
    <w:rsid w:val="00526450"/>
    <w:rsid w:val="00535C9C"/>
    <w:rsid w:val="005436FC"/>
    <w:rsid w:val="005455C3"/>
    <w:rsid w:val="00547BC9"/>
    <w:rsid w:val="00551640"/>
    <w:rsid w:val="005559CA"/>
    <w:rsid w:val="00556A23"/>
    <w:rsid w:val="00561BC1"/>
    <w:rsid w:val="00561D77"/>
    <w:rsid w:val="0056295A"/>
    <w:rsid w:val="00563921"/>
    <w:rsid w:val="00565C3D"/>
    <w:rsid w:val="00582E16"/>
    <w:rsid w:val="005836C3"/>
    <w:rsid w:val="005843A5"/>
    <w:rsid w:val="005858B0"/>
    <w:rsid w:val="00591A4C"/>
    <w:rsid w:val="005A240F"/>
    <w:rsid w:val="005A450E"/>
    <w:rsid w:val="005A6848"/>
    <w:rsid w:val="005B3119"/>
    <w:rsid w:val="005B3184"/>
    <w:rsid w:val="005C5D52"/>
    <w:rsid w:val="005C6E25"/>
    <w:rsid w:val="005D2AB2"/>
    <w:rsid w:val="005D539F"/>
    <w:rsid w:val="005E00B3"/>
    <w:rsid w:val="005E5E75"/>
    <w:rsid w:val="005E6780"/>
    <w:rsid w:val="005F6151"/>
    <w:rsid w:val="00600115"/>
    <w:rsid w:val="0060169B"/>
    <w:rsid w:val="006028FA"/>
    <w:rsid w:val="00604514"/>
    <w:rsid w:val="00604B7B"/>
    <w:rsid w:val="00607CB3"/>
    <w:rsid w:val="00610552"/>
    <w:rsid w:val="00617FC7"/>
    <w:rsid w:val="006225BB"/>
    <w:rsid w:val="00630782"/>
    <w:rsid w:val="00630D2C"/>
    <w:rsid w:val="0063487B"/>
    <w:rsid w:val="0064195E"/>
    <w:rsid w:val="006466EB"/>
    <w:rsid w:val="00653CBF"/>
    <w:rsid w:val="00654509"/>
    <w:rsid w:val="0065515B"/>
    <w:rsid w:val="00656E29"/>
    <w:rsid w:val="00660026"/>
    <w:rsid w:val="00660AD6"/>
    <w:rsid w:val="0066166B"/>
    <w:rsid w:val="0067122F"/>
    <w:rsid w:val="0068068D"/>
    <w:rsid w:val="00681447"/>
    <w:rsid w:val="006854B9"/>
    <w:rsid w:val="00686389"/>
    <w:rsid w:val="006901A0"/>
    <w:rsid w:val="00692545"/>
    <w:rsid w:val="00692A6E"/>
    <w:rsid w:val="00696243"/>
    <w:rsid w:val="00697185"/>
    <w:rsid w:val="00697B2A"/>
    <w:rsid w:val="006A0448"/>
    <w:rsid w:val="006A3387"/>
    <w:rsid w:val="006A3537"/>
    <w:rsid w:val="006A6362"/>
    <w:rsid w:val="006B1EC1"/>
    <w:rsid w:val="006B4952"/>
    <w:rsid w:val="006B5FD0"/>
    <w:rsid w:val="006C2B68"/>
    <w:rsid w:val="006D528C"/>
    <w:rsid w:val="006E165B"/>
    <w:rsid w:val="006F2AE6"/>
    <w:rsid w:val="006F689C"/>
    <w:rsid w:val="007038CD"/>
    <w:rsid w:val="007118DD"/>
    <w:rsid w:val="0071473A"/>
    <w:rsid w:val="00716343"/>
    <w:rsid w:val="0071669F"/>
    <w:rsid w:val="0072178D"/>
    <w:rsid w:val="0073305E"/>
    <w:rsid w:val="00733DE7"/>
    <w:rsid w:val="00736D3A"/>
    <w:rsid w:val="00737C86"/>
    <w:rsid w:val="00742ED3"/>
    <w:rsid w:val="00746E5D"/>
    <w:rsid w:val="007531A7"/>
    <w:rsid w:val="007560E5"/>
    <w:rsid w:val="0076124F"/>
    <w:rsid w:val="0076157E"/>
    <w:rsid w:val="00762EF2"/>
    <w:rsid w:val="00764A3D"/>
    <w:rsid w:val="00770752"/>
    <w:rsid w:val="00770F14"/>
    <w:rsid w:val="007729BC"/>
    <w:rsid w:val="00775343"/>
    <w:rsid w:val="00780756"/>
    <w:rsid w:val="00780C5D"/>
    <w:rsid w:val="00782866"/>
    <w:rsid w:val="00782A1B"/>
    <w:rsid w:val="007904F1"/>
    <w:rsid w:val="00792887"/>
    <w:rsid w:val="00792DC9"/>
    <w:rsid w:val="00793DC5"/>
    <w:rsid w:val="00794FC7"/>
    <w:rsid w:val="00796147"/>
    <w:rsid w:val="007A765E"/>
    <w:rsid w:val="007A7E59"/>
    <w:rsid w:val="007B2C6C"/>
    <w:rsid w:val="007B3D10"/>
    <w:rsid w:val="007B7F07"/>
    <w:rsid w:val="007C5711"/>
    <w:rsid w:val="007C71AF"/>
    <w:rsid w:val="007C7E3A"/>
    <w:rsid w:val="007D1EF2"/>
    <w:rsid w:val="007D3849"/>
    <w:rsid w:val="007D56AB"/>
    <w:rsid w:val="007E0EC6"/>
    <w:rsid w:val="007E28C6"/>
    <w:rsid w:val="007E4BD2"/>
    <w:rsid w:val="007F27DF"/>
    <w:rsid w:val="007F6422"/>
    <w:rsid w:val="007F68DD"/>
    <w:rsid w:val="007F749E"/>
    <w:rsid w:val="00800122"/>
    <w:rsid w:val="00800D24"/>
    <w:rsid w:val="008013CD"/>
    <w:rsid w:val="0080476F"/>
    <w:rsid w:val="00805247"/>
    <w:rsid w:val="00807706"/>
    <w:rsid w:val="00811B15"/>
    <w:rsid w:val="008171C8"/>
    <w:rsid w:val="00821414"/>
    <w:rsid w:val="00824A5F"/>
    <w:rsid w:val="00832C45"/>
    <w:rsid w:val="008330DA"/>
    <w:rsid w:val="0084098F"/>
    <w:rsid w:val="00844162"/>
    <w:rsid w:val="0084423B"/>
    <w:rsid w:val="0084582E"/>
    <w:rsid w:val="00846554"/>
    <w:rsid w:val="00846F2A"/>
    <w:rsid w:val="008506D6"/>
    <w:rsid w:val="0085128D"/>
    <w:rsid w:val="00851CF1"/>
    <w:rsid w:val="00853144"/>
    <w:rsid w:val="008545A9"/>
    <w:rsid w:val="00872FBE"/>
    <w:rsid w:val="00874A49"/>
    <w:rsid w:val="008757C4"/>
    <w:rsid w:val="00875BBB"/>
    <w:rsid w:val="00877EB3"/>
    <w:rsid w:val="008834D4"/>
    <w:rsid w:val="00891C53"/>
    <w:rsid w:val="00894CF3"/>
    <w:rsid w:val="00896F7A"/>
    <w:rsid w:val="008A0F00"/>
    <w:rsid w:val="008B053B"/>
    <w:rsid w:val="008B7778"/>
    <w:rsid w:val="008C32A7"/>
    <w:rsid w:val="008C5FAC"/>
    <w:rsid w:val="008D0C70"/>
    <w:rsid w:val="008D6226"/>
    <w:rsid w:val="008D773D"/>
    <w:rsid w:val="008E2974"/>
    <w:rsid w:val="008F44F5"/>
    <w:rsid w:val="00903B04"/>
    <w:rsid w:val="009067EC"/>
    <w:rsid w:val="00910D12"/>
    <w:rsid w:val="009123BA"/>
    <w:rsid w:val="009155E7"/>
    <w:rsid w:val="0091582B"/>
    <w:rsid w:val="00916933"/>
    <w:rsid w:val="00921211"/>
    <w:rsid w:val="0092388D"/>
    <w:rsid w:val="0093349F"/>
    <w:rsid w:val="00934160"/>
    <w:rsid w:val="0093782E"/>
    <w:rsid w:val="00941AAF"/>
    <w:rsid w:val="00941D24"/>
    <w:rsid w:val="0094260A"/>
    <w:rsid w:val="00947163"/>
    <w:rsid w:val="009505B0"/>
    <w:rsid w:val="00950D1E"/>
    <w:rsid w:val="009534B2"/>
    <w:rsid w:val="0095596D"/>
    <w:rsid w:val="00956AC9"/>
    <w:rsid w:val="009618A7"/>
    <w:rsid w:val="009628BD"/>
    <w:rsid w:val="00963286"/>
    <w:rsid w:val="009723AE"/>
    <w:rsid w:val="00975244"/>
    <w:rsid w:val="009752C4"/>
    <w:rsid w:val="009757AC"/>
    <w:rsid w:val="00975ED7"/>
    <w:rsid w:val="00976175"/>
    <w:rsid w:val="00977885"/>
    <w:rsid w:val="0098364D"/>
    <w:rsid w:val="0098663F"/>
    <w:rsid w:val="00987714"/>
    <w:rsid w:val="009953E4"/>
    <w:rsid w:val="009967D8"/>
    <w:rsid w:val="00996914"/>
    <w:rsid w:val="009A4B3C"/>
    <w:rsid w:val="009A5F77"/>
    <w:rsid w:val="009B0E0B"/>
    <w:rsid w:val="009B4B62"/>
    <w:rsid w:val="009B50EB"/>
    <w:rsid w:val="009C14E7"/>
    <w:rsid w:val="009C4347"/>
    <w:rsid w:val="009C5551"/>
    <w:rsid w:val="009C6175"/>
    <w:rsid w:val="009D037A"/>
    <w:rsid w:val="009D5AF5"/>
    <w:rsid w:val="009E3EF4"/>
    <w:rsid w:val="009E57CC"/>
    <w:rsid w:val="009E63E6"/>
    <w:rsid w:val="009E734A"/>
    <w:rsid w:val="009F6313"/>
    <w:rsid w:val="009F6CF4"/>
    <w:rsid w:val="009F6FE1"/>
    <w:rsid w:val="00A03A9E"/>
    <w:rsid w:val="00A04CE7"/>
    <w:rsid w:val="00A137AA"/>
    <w:rsid w:val="00A15AE0"/>
    <w:rsid w:val="00A16497"/>
    <w:rsid w:val="00A16CE2"/>
    <w:rsid w:val="00A20578"/>
    <w:rsid w:val="00A22AFD"/>
    <w:rsid w:val="00A25A52"/>
    <w:rsid w:val="00A25E8B"/>
    <w:rsid w:val="00A2628E"/>
    <w:rsid w:val="00A30575"/>
    <w:rsid w:val="00A32009"/>
    <w:rsid w:val="00A35023"/>
    <w:rsid w:val="00A3568D"/>
    <w:rsid w:val="00A40A0D"/>
    <w:rsid w:val="00A4202D"/>
    <w:rsid w:val="00A42B53"/>
    <w:rsid w:val="00A44399"/>
    <w:rsid w:val="00A4683F"/>
    <w:rsid w:val="00A516BD"/>
    <w:rsid w:val="00A52146"/>
    <w:rsid w:val="00A52D60"/>
    <w:rsid w:val="00A613F9"/>
    <w:rsid w:val="00A62AD8"/>
    <w:rsid w:val="00A62D0B"/>
    <w:rsid w:val="00A65CFB"/>
    <w:rsid w:val="00A70A42"/>
    <w:rsid w:val="00A846A8"/>
    <w:rsid w:val="00A84A2F"/>
    <w:rsid w:val="00A862A4"/>
    <w:rsid w:val="00A95409"/>
    <w:rsid w:val="00A96582"/>
    <w:rsid w:val="00AA0AF2"/>
    <w:rsid w:val="00AA0E0B"/>
    <w:rsid w:val="00AA38F1"/>
    <w:rsid w:val="00AA4142"/>
    <w:rsid w:val="00AA7F09"/>
    <w:rsid w:val="00AB074A"/>
    <w:rsid w:val="00AB5C60"/>
    <w:rsid w:val="00AC120B"/>
    <w:rsid w:val="00AC1B48"/>
    <w:rsid w:val="00AC4558"/>
    <w:rsid w:val="00AD17DE"/>
    <w:rsid w:val="00AD2834"/>
    <w:rsid w:val="00AD5533"/>
    <w:rsid w:val="00AE4006"/>
    <w:rsid w:val="00AE5197"/>
    <w:rsid w:val="00AF04CE"/>
    <w:rsid w:val="00AF7601"/>
    <w:rsid w:val="00AF7CDD"/>
    <w:rsid w:val="00B074A7"/>
    <w:rsid w:val="00B111A3"/>
    <w:rsid w:val="00B144E1"/>
    <w:rsid w:val="00B16EA2"/>
    <w:rsid w:val="00B20179"/>
    <w:rsid w:val="00B21B7A"/>
    <w:rsid w:val="00B274BE"/>
    <w:rsid w:val="00B31AC8"/>
    <w:rsid w:val="00B3287D"/>
    <w:rsid w:val="00B362D1"/>
    <w:rsid w:val="00B36839"/>
    <w:rsid w:val="00B4070F"/>
    <w:rsid w:val="00B44DAB"/>
    <w:rsid w:val="00B502C4"/>
    <w:rsid w:val="00B56F20"/>
    <w:rsid w:val="00B63F30"/>
    <w:rsid w:val="00B72A47"/>
    <w:rsid w:val="00B7372C"/>
    <w:rsid w:val="00B819FA"/>
    <w:rsid w:val="00B82807"/>
    <w:rsid w:val="00B83668"/>
    <w:rsid w:val="00B84817"/>
    <w:rsid w:val="00B95624"/>
    <w:rsid w:val="00B96B08"/>
    <w:rsid w:val="00B9796D"/>
    <w:rsid w:val="00BA0B6C"/>
    <w:rsid w:val="00BA1EAD"/>
    <w:rsid w:val="00BA4FDB"/>
    <w:rsid w:val="00BA6FFD"/>
    <w:rsid w:val="00BB26DF"/>
    <w:rsid w:val="00BB45EA"/>
    <w:rsid w:val="00BB7FE2"/>
    <w:rsid w:val="00BD403C"/>
    <w:rsid w:val="00BD5173"/>
    <w:rsid w:val="00BE1474"/>
    <w:rsid w:val="00BE7CA5"/>
    <w:rsid w:val="00BF09E3"/>
    <w:rsid w:val="00BF3F11"/>
    <w:rsid w:val="00C0108A"/>
    <w:rsid w:val="00C04E5A"/>
    <w:rsid w:val="00C118AF"/>
    <w:rsid w:val="00C2031A"/>
    <w:rsid w:val="00C22D0F"/>
    <w:rsid w:val="00C23960"/>
    <w:rsid w:val="00C25ACB"/>
    <w:rsid w:val="00C277DC"/>
    <w:rsid w:val="00C27B1E"/>
    <w:rsid w:val="00C33221"/>
    <w:rsid w:val="00C355B4"/>
    <w:rsid w:val="00C3636B"/>
    <w:rsid w:val="00C36F1A"/>
    <w:rsid w:val="00C44061"/>
    <w:rsid w:val="00C51320"/>
    <w:rsid w:val="00C53634"/>
    <w:rsid w:val="00C53E7E"/>
    <w:rsid w:val="00C53F0A"/>
    <w:rsid w:val="00C61EE6"/>
    <w:rsid w:val="00C7651E"/>
    <w:rsid w:val="00C8043E"/>
    <w:rsid w:val="00C806BF"/>
    <w:rsid w:val="00C808FF"/>
    <w:rsid w:val="00C81341"/>
    <w:rsid w:val="00C818C0"/>
    <w:rsid w:val="00C86CE3"/>
    <w:rsid w:val="00C92018"/>
    <w:rsid w:val="00C93342"/>
    <w:rsid w:val="00C93573"/>
    <w:rsid w:val="00C93E55"/>
    <w:rsid w:val="00CA33DD"/>
    <w:rsid w:val="00CA76DE"/>
    <w:rsid w:val="00CB0BE8"/>
    <w:rsid w:val="00CB2A37"/>
    <w:rsid w:val="00CB5668"/>
    <w:rsid w:val="00CB5F0B"/>
    <w:rsid w:val="00CB64BD"/>
    <w:rsid w:val="00CB6E89"/>
    <w:rsid w:val="00CB771A"/>
    <w:rsid w:val="00CC0278"/>
    <w:rsid w:val="00CC7480"/>
    <w:rsid w:val="00CD31A2"/>
    <w:rsid w:val="00CD4497"/>
    <w:rsid w:val="00CD464C"/>
    <w:rsid w:val="00CD5712"/>
    <w:rsid w:val="00CD5C78"/>
    <w:rsid w:val="00CE18B6"/>
    <w:rsid w:val="00CE269C"/>
    <w:rsid w:val="00CE2FB7"/>
    <w:rsid w:val="00CE5D35"/>
    <w:rsid w:val="00CF27B7"/>
    <w:rsid w:val="00CF33D1"/>
    <w:rsid w:val="00CF4F58"/>
    <w:rsid w:val="00CF6F21"/>
    <w:rsid w:val="00CF7F4F"/>
    <w:rsid w:val="00D0105C"/>
    <w:rsid w:val="00D04F9D"/>
    <w:rsid w:val="00D0514B"/>
    <w:rsid w:val="00D05FC7"/>
    <w:rsid w:val="00D065BA"/>
    <w:rsid w:val="00D10F01"/>
    <w:rsid w:val="00D13424"/>
    <w:rsid w:val="00D202CA"/>
    <w:rsid w:val="00D22291"/>
    <w:rsid w:val="00D30E05"/>
    <w:rsid w:val="00D374CA"/>
    <w:rsid w:val="00D412B4"/>
    <w:rsid w:val="00D43E2B"/>
    <w:rsid w:val="00D4448F"/>
    <w:rsid w:val="00D46798"/>
    <w:rsid w:val="00D55900"/>
    <w:rsid w:val="00D574B8"/>
    <w:rsid w:val="00D60C9A"/>
    <w:rsid w:val="00D60FD8"/>
    <w:rsid w:val="00D65CBA"/>
    <w:rsid w:val="00D66A31"/>
    <w:rsid w:val="00D6763F"/>
    <w:rsid w:val="00D67779"/>
    <w:rsid w:val="00D72356"/>
    <w:rsid w:val="00D727DA"/>
    <w:rsid w:val="00D7608C"/>
    <w:rsid w:val="00D8183D"/>
    <w:rsid w:val="00D836D2"/>
    <w:rsid w:val="00D906A2"/>
    <w:rsid w:val="00D93248"/>
    <w:rsid w:val="00DA313A"/>
    <w:rsid w:val="00DA3C8D"/>
    <w:rsid w:val="00DA4C18"/>
    <w:rsid w:val="00DA544A"/>
    <w:rsid w:val="00DA7D4F"/>
    <w:rsid w:val="00DB0A1B"/>
    <w:rsid w:val="00DB6E72"/>
    <w:rsid w:val="00DD00F9"/>
    <w:rsid w:val="00DD0213"/>
    <w:rsid w:val="00DD08FB"/>
    <w:rsid w:val="00DD2A5E"/>
    <w:rsid w:val="00DD336D"/>
    <w:rsid w:val="00DD3F9A"/>
    <w:rsid w:val="00DE3DB1"/>
    <w:rsid w:val="00DE64CA"/>
    <w:rsid w:val="00DE7B90"/>
    <w:rsid w:val="00DF2B9D"/>
    <w:rsid w:val="00E07833"/>
    <w:rsid w:val="00E1238A"/>
    <w:rsid w:val="00E15BA2"/>
    <w:rsid w:val="00E23D37"/>
    <w:rsid w:val="00E26879"/>
    <w:rsid w:val="00E30E06"/>
    <w:rsid w:val="00E31CB6"/>
    <w:rsid w:val="00E339CA"/>
    <w:rsid w:val="00E36266"/>
    <w:rsid w:val="00E36D65"/>
    <w:rsid w:val="00E37640"/>
    <w:rsid w:val="00E46DC6"/>
    <w:rsid w:val="00E46EAE"/>
    <w:rsid w:val="00E54452"/>
    <w:rsid w:val="00E57A59"/>
    <w:rsid w:val="00E606D2"/>
    <w:rsid w:val="00E613C8"/>
    <w:rsid w:val="00E619CC"/>
    <w:rsid w:val="00E61B17"/>
    <w:rsid w:val="00E6500E"/>
    <w:rsid w:val="00E65D42"/>
    <w:rsid w:val="00E66F86"/>
    <w:rsid w:val="00E72264"/>
    <w:rsid w:val="00E757EA"/>
    <w:rsid w:val="00E76C1B"/>
    <w:rsid w:val="00E86616"/>
    <w:rsid w:val="00E86D8C"/>
    <w:rsid w:val="00E903A6"/>
    <w:rsid w:val="00E9170A"/>
    <w:rsid w:val="00E91720"/>
    <w:rsid w:val="00E957D4"/>
    <w:rsid w:val="00E96CFE"/>
    <w:rsid w:val="00EA317C"/>
    <w:rsid w:val="00EA3916"/>
    <w:rsid w:val="00EA3C1E"/>
    <w:rsid w:val="00EA6A40"/>
    <w:rsid w:val="00EB1415"/>
    <w:rsid w:val="00EB192B"/>
    <w:rsid w:val="00EB39A2"/>
    <w:rsid w:val="00EB553C"/>
    <w:rsid w:val="00EB6E26"/>
    <w:rsid w:val="00EB7C18"/>
    <w:rsid w:val="00EC2AA9"/>
    <w:rsid w:val="00ED17F1"/>
    <w:rsid w:val="00ED1E80"/>
    <w:rsid w:val="00ED2A56"/>
    <w:rsid w:val="00ED50C6"/>
    <w:rsid w:val="00ED6BAF"/>
    <w:rsid w:val="00ED7138"/>
    <w:rsid w:val="00ED722B"/>
    <w:rsid w:val="00EE4B7C"/>
    <w:rsid w:val="00EE7C0D"/>
    <w:rsid w:val="00EF3827"/>
    <w:rsid w:val="00EF7941"/>
    <w:rsid w:val="00F0069B"/>
    <w:rsid w:val="00F00B13"/>
    <w:rsid w:val="00F018D4"/>
    <w:rsid w:val="00F02A6E"/>
    <w:rsid w:val="00F03D83"/>
    <w:rsid w:val="00F0503F"/>
    <w:rsid w:val="00F06731"/>
    <w:rsid w:val="00F12867"/>
    <w:rsid w:val="00F14393"/>
    <w:rsid w:val="00F15768"/>
    <w:rsid w:val="00F17F9E"/>
    <w:rsid w:val="00F203CC"/>
    <w:rsid w:val="00F2046E"/>
    <w:rsid w:val="00F27BD0"/>
    <w:rsid w:val="00F30679"/>
    <w:rsid w:val="00F30800"/>
    <w:rsid w:val="00F30AEA"/>
    <w:rsid w:val="00F34A3A"/>
    <w:rsid w:val="00F3577B"/>
    <w:rsid w:val="00F43368"/>
    <w:rsid w:val="00F46D70"/>
    <w:rsid w:val="00F50956"/>
    <w:rsid w:val="00F55CAD"/>
    <w:rsid w:val="00F6024F"/>
    <w:rsid w:val="00F603DA"/>
    <w:rsid w:val="00F62F1F"/>
    <w:rsid w:val="00F64265"/>
    <w:rsid w:val="00F75AD2"/>
    <w:rsid w:val="00F77BE9"/>
    <w:rsid w:val="00F806E5"/>
    <w:rsid w:val="00F8185E"/>
    <w:rsid w:val="00F84835"/>
    <w:rsid w:val="00F86B7D"/>
    <w:rsid w:val="00F874E7"/>
    <w:rsid w:val="00F91F96"/>
    <w:rsid w:val="00F9362F"/>
    <w:rsid w:val="00F94258"/>
    <w:rsid w:val="00F94269"/>
    <w:rsid w:val="00FA39CB"/>
    <w:rsid w:val="00FA4D12"/>
    <w:rsid w:val="00FB0569"/>
    <w:rsid w:val="00FB1316"/>
    <w:rsid w:val="00FB518D"/>
    <w:rsid w:val="00FC2EE6"/>
    <w:rsid w:val="00FC4717"/>
    <w:rsid w:val="00FD34BC"/>
    <w:rsid w:val="00FF74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4657F"/>
  <w15:chartTrackingRefBased/>
  <w15:docId w15:val="{D51DDFAB-0A5E-4B41-B0C4-D2F2F5EA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73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73E"/>
  </w:style>
  <w:style w:type="paragraph" w:styleId="Footer">
    <w:name w:val="footer"/>
    <w:basedOn w:val="Normal"/>
    <w:link w:val="FooterChar"/>
    <w:uiPriority w:val="99"/>
    <w:unhideWhenUsed/>
    <w:rsid w:val="00212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73E"/>
  </w:style>
  <w:style w:type="character" w:styleId="Hyperlink">
    <w:name w:val="Hyperlink"/>
    <w:unhideWhenUsed/>
    <w:rsid w:val="0021273E"/>
    <w:rPr>
      <w:color w:val="0000FF"/>
      <w:u w:val="single"/>
    </w:rPr>
  </w:style>
  <w:style w:type="paragraph" w:styleId="NormalWeb">
    <w:name w:val="Normal (Web)"/>
    <w:basedOn w:val="Normal"/>
    <w:uiPriority w:val="99"/>
    <w:unhideWhenUsed/>
    <w:rsid w:val="0021273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link w:val="ListParagraphChar"/>
    <w:uiPriority w:val="34"/>
    <w:qFormat/>
    <w:rsid w:val="0021273E"/>
    <w:pPr>
      <w:ind w:left="720"/>
      <w:contextualSpacing/>
    </w:pPr>
  </w:style>
  <w:style w:type="paragraph" w:styleId="FootnoteText">
    <w:name w:val="footnote text"/>
    <w:basedOn w:val="Normal"/>
    <w:link w:val="FootnoteTextChar"/>
    <w:uiPriority w:val="99"/>
    <w:semiHidden/>
    <w:unhideWhenUsed/>
    <w:rsid w:val="002127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273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1273E"/>
    <w:rPr>
      <w:vertAlign w:val="superscript"/>
    </w:rPr>
  </w:style>
  <w:style w:type="paragraph" w:styleId="BalloonText">
    <w:name w:val="Balloon Text"/>
    <w:basedOn w:val="Normal"/>
    <w:link w:val="BalloonTextChar"/>
    <w:uiPriority w:val="99"/>
    <w:semiHidden/>
    <w:unhideWhenUsed/>
    <w:rsid w:val="00535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C9C"/>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F7DB8"/>
    <w:rPr>
      <w:sz w:val="16"/>
      <w:szCs w:val="16"/>
    </w:rPr>
  </w:style>
  <w:style w:type="paragraph" w:styleId="CommentText">
    <w:name w:val="annotation text"/>
    <w:basedOn w:val="Normal"/>
    <w:link w:val="CommentTextChar"/>
    <w:uiPriority w:val="99"/>
    <w:semiHidden/>
    <w:unhideWhenUsed/>
    <w:rsid w:val="001F7DB8"/>
    <w:pPr>
      <w:spacing w:line="240" w:lineRule="auto"/>
    </w:pPr>
    <w:rPr>
      <w:sz w:val="20"/>
      <w:szCs w:val="20"/>
    </w:rPr>
  </w:style>
  <w:style w:type="character" w:customStyle="1" w:styleId="CommentTextChar">
    <w:name w:val="Comment Text Char"/>
    <w:basedOn w:val="DefaultParagraphFont"/>
    <w:link w:val="CommentText"/>
    <w:uiPriority w:val="99"/>
    <w:semiHidden/>
    <w:rsid w:val="001F7DB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F7DB8"/>
    <w:rPr>
      <w:b/>
      <w:bCs/>
    </w:rPr>
  </w:style>
  <w:style w:type="character" w:customStyle="1" w:styleId="CommentSubjectChar">
    <w:name w:val="Comment Subject Char"/>
    <w:basedOn w:val="CommentTextChar"/>
    <w:link w:val="CommentSubject"/>
    <w:uiPriority w:val="99"/>
    <w:semiHidden/>
    <w:rsid w:val="001F7DB8"/>
    <w:rPr>
      <w:rFonts w:ascii="Calibri" w:eastAsia="Calibri" w:hAnsi="Calibri" w:cs="Times New Roman"/>
      <w:b/>
      <w:bCs/>
      <w:sz w:val="20"/>
      <w:szCs w:val="20"/>
    </w:rPr>
  </w:style>
  <w:style w:type="character" w:customStyle="1" w:styleId="DocID">
    <w:name w:val="DocID"/>
    <w:basedOn w:val="DefaultParagraphFont"/>
    <w:rsid w:val="00551640"/>
    <w:rPr>
      <w:rFonts w:ascii="Times New Roman" w:hAnsi="Times New Roman" w:cs="Times New Roman"/>
      <w:b w:val="0"/>
      <w:bCs/>
      <w:i w:val="0"/>
      <w:caps w:val="0"/>
      <w:vanish w:val="0"/>
      <w:color w:val="000000"/>
      <w:sz w:val="18"/>
      <w:u w:val="none"/>
    </w:rPr>
  </w:style>
  <w:style w:type="character" w:customStyle="1" w:styleId="ListParagraphChar">
    <w:name w:val="List Paragraph Char"/>
    <w:basedOn w:val="DefaultParagraphFont"/>
    <w:link w:val="ListParagraph"/>
    <w:uiPriority w:val="34"/>
    <w:rsid w:val="008171C8"/>
    <w:rPr>
      <w:rFonts w:ascii="Calibri" w:eastAsia="Calibri" w:hAnsi="Calibri" w:cs="Times New Roman"/>
    </w:rPr>
  </w:style>
  <w:style w:type="character" w:customStyle="1" w:styleId="UnresolvedMention1">
    <w:name w:val="Unresolved Mention1"/>
    <w:basedOn w:val="DefaultParagraphFont"/>
    <w:uiPriority w:val="99"/>
    <w:semiHidden/>
    <w:unhideWhenUsed/>
    <w:rsid w:val="008E2974"/>
    <w:rPr>
      <w:color w:val="605E5C"/>
      <w:shd w:val="clear" w:color="auto" w:fill="E1DFDD"/>
    </w:rPr>
  </w:style>
  <w:style w:type="paragraph" w:styleId="Revision">
    <w:name w:val="Revision"/>
    <w:hidden/>
    <w:uiPriority w:val="99"/>
    <w:semiHidden/>
    <w:rsid w:val="00222444"/>
    <w:pPr>
      <w:spacing w:after="0" w:line="240" w:lineRule="auto"/>
    </w:pPr>
    <w:rPr>
      <w:rFonts w:ascii="Calibri" w:eastAsia="Calibri" w:hAnsi="Calibri" w:cs="Times New Roman"/>
    </w:rPr>
  </w:style>
  <w:style w:type="character" w:customStyle="1" w:styleId="css-901oao">
    <w:name w:val="css-901oao"/>
    <w:basedOn w:val="DefaultParagraphFont"/>
    <w:rsid w:val="00234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2102113">
      <w:bodyDiv w:val="1"/>
      <w:marLeft w:val="0"/>
      <w:marRight w:val="0"/>
      <w:marTop w:val="0"/>
      <w:marBottom w:val="0"/>
      <w:divBdr>
        <w:top w:val="none" w:sz="0" w:space="0" w:color="auto"/>
        <w:left w:val="none" w:sz="0" w:space="0" w:color="auto"/>
        <w:bottom w:val="none" w:sz="0" w:space="0" w:color="auto"/>
        <w:right w:val="none" w:sz="0" w:space="0" w:color="auto"/>
      </w:divBdr>
    </w:div>
    <w:div w:id="1746873559">
      <w:bodyDiv w:val="1"/>
      <w:marLeft w:val="0"/>
      <w:marRight w:val="0"/>
      <w:marTop w:val="0"/>
      <w:marBottom w:val="0"/>
      <w:divBdr>
        <w:top w:val="none" w:sz="0" w:space="0" w:color="auto"/>
        <w:left w:val="none" w:sz="0" w:space="0" w:color="auto"/>
        <w:bottom w:val="none" w:sz="0" w:space="0" w:color="auto"/>
        <w:right w:val="none" w:sz="0" w:space="0" w:color="auto"/>
      </w:divBdr>
    </w:div>
    <w:div w:id="1829054908">
      <w:bodyDiv w:val="1"/>
      <w:marLeft w:val="0"/>
      <w:marRight w:val="0"/>
      <w:marTop w:val="0"/>
      <w:marBottom w:val="0"/>
      <w:divBdr>
        <w:top w:val="none" w:sz="0" w:space="0" w:color="auto"/>
        <w:left w:val="none" w:sz="0" w:space="0" w:color="auto"/>
        <w:bottom w:val="none" w:sz="0" w:space="0" w:color="auto"/>
        <w:right w:val="none" w:sz="0" w:space="0" w:color="auto"/>
      </w:divBdr>
      <w:divsChild>
        <w:div w:id="539980300">
          <w:marLeft w:val="0"/>
          <w:marRight w:val="0"/>
          <w:marTop w:val="0"/>
          <w:marBottom w:val="0"/>
          <w:divBdr>
            <w:top w:val="none" w:sz="0" w:space="0" w:color="auto"/>
            <w:left w:val="none" w:sz="0" w:space="0" w:color="auto"/>
            <w:bottom w:val="none" w:sz="0" w:space="0" w:color="auto"/>
            <w:right w:val="none" w:sz="0" w:space="0" w:color="auto"/>
          </w:divBdr>
          <w:divsChild>
            <w:div w:id="1335494874">
              <w:marLeft w:val="0"/>
              <w:marRight w:val="0"/>
              <w:marTop w:val="0"/>
              <w:marBottom w:val="0"/>
              <w:divBdr>
                <w:top w:val="none" w:sz="0" w:space="0" w:color="auto"/>
                <w:left w:val="none" w:sz="0" w:space="0" w:color="auto"/>
                <w:bottom w:val="none" w:sz="0" w:space="0" w:color="auto"/>
                <w:right w:val="none" w:sz="0" w:space="0" w:color="auto"/>
              </w:divBdr>
              <w:divsChild>
                <w:div w:id="2062096071">
                  <w:marLeft w:val="0"/>
                  <w:marRight w:val="0"/>
                  <w:marTop w:val="0"/>
                  <w:marBottom w:val="0"/>
                  <w:divBdr>
                    <w:top w:val="none" w:sz="0" w:space="0" w:color="auto"/>
                    <w:left w:val="none" w:sz="0" w:space="0" w:color="auto"/>
                    <w:bottom w:val="none" w:sz="0" w:space="0" w:color="auto"/>
                    <w:right w:val="none" w:sz="0" w:space="0" w:color="auto"/>
                  </w:divBdr>
                  <w:divsChild>
                    <w:div w:id="651063654">
                      <w:marLeft w:val="0"/>
                      <w:marRight w:val="0"/>
                      <w:marTop w:val="0"/>
                      <w:marBottom w:val="0"/>
                      <w:divBdr>
                        <w:top w:val="none" w:sz="0" w:space="0" w:color="auto"/>
                        <w:left w:val="none" w:sz="0" w:space="0" w:color="auto"/>
                        <w:bottom w:val="none" w:sz="0" w:space="0" w:color="auto"/>
                        <w:right w:val="none" w:sz="0" w:space="0" w:color="auto"/>
                      </w:divBdr>
                      <w:divsChild>
                        <w:div w:id="11130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inkedin.com/company/10102456"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witter.com/XeneticBi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xeneticbio.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globenewswire.com/Tracker?data=4BBZ1s39qBM1wqGKCZzchPCT2_ZGMisiVL1_6Ht5DIy2Czo8q-HNtJRRcedBY9mqvs8-3WfgHCQV50D7-QxD9g==" TargetMode="External"/><Relationship Id="rId4" Type="http://schemas.openxmlformats.org/officeDocument/2006/relationships/styles" Target="styles.xml"/><Relationship Id="rId9" Type="http://schemas.openxmlformats.org/officeDocument/2006/relationships/hyperlink" Target="http://xeneticbio.sites.equisolve.com/" TargetMode="External"/><Relationship Id="rId14" Type="http://schemas.openxmlformats.org/officeDocument/2006/relationships/hyperlink" Target="https://www.facebook.com/xeneticbi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www.xeneticbio.com/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 A c t i v e ! 8 0 8 3 4 7 7 7 . 1 < / d o c u m e n t i d >  
     < s e n d e r i d > C C G I L E S < / s e n d e r i d >  
     < s e n d e r e m a i l > C A I T L I N . S I M K I N S @ H K L A W . C O M < / s e n d e r e m a i l >  
     < l a s t m o d i f i e d > 2 0 2 0 - 1 2 - 0 9 T 2 2 : 1 9 : 0 0 . 0 0 0 0 0 0 0 - 0 5 : 0 0 < / l a s t m o d i f i e d >  
     < d a t a b a s e > A c t i v e 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6E5D8-198A-4015-B4AA-773A85570F16}">
  <ds:schemaRefs>
    <ds:schemaRef ds:uri="http://www.imanage.com/work/xmlschema"/>
  </ds:schemaRefs>
</ds:datastoreItem>
</file>

<file path=customXml/itemProps2.xml><?xml version="1.0" encoding="utf-8"?>
<ds:datastoreItem xmlns:ds="http://schemas.openxmlformats.org/officeDocument/2006/customXml" ds:itemID="{C51F7946-DAB4-48C8-AD07-CDB86EBAB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1187</Words>
  <Characters>6769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Crawford</dc:creator>
  <cp:keywords/>
  <dc:description/>
  <cp:lastModifiedBy>Jenene Thomas</cp:lastModifiedBy>
  <cp:revision>3</cp:revision>
  <cp:lastPrinted>2020-11-12T19:14:00Z</cp:lastPrinted>
  <dcterms:created xsi:type="dcterms:W3CDTF">2020-12-10T04:41:00Z</dcterms:created>
  <dcterms:modified xsi:type="dcterms:W3CDTF">2020-12-10T04:42:00Z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ber">
    <vt:lpwstr>80318995</vt:lpwstr>
  </property>
  <property fmtid="{D5CDD505-2E9C-101B-9397-08002B2CF9AE}" pid="3" name="DocumentVersion">
    <vt:lpwstr>2</vt:lpwstr>
  </property>
  <property fmtid="{D5CDD505-2E9C-101B-9397-08002B2CF9AE}" pid="4" name="ClientNumber">
    <vt:lpwstr>156312</vt:lpwstr>
  </property>
  <property fmtid="{D5CDD505-2E9C-101B-9397-08002B2CF9AE}" pid="5" name="MatterNumber">
    <vt:lpwstr>00002</vt:lpwstr>
  </property>
  <property fmtid="{D5CDD505-2E9C-101B-9397-08002B2CF9AE}" pid="6" name="ClientName">
    <vt:lpwstr>Xenetic Biosciences, Inc.</vt:lpwstr>
  </property>
  <property fmtid="{D5CDD505-2E9C-101B-9397-08002B2CF9AE}" pid="7" name="MatterName">
    <vt:lpwstr>SEC Reporting</vt:lpwstr>
  </property>
  <property fmtid="{D5CDD505-2E9C-101B-9397-08002B2CF9AE}" pid="8" name="DatabaseName">
    <vt:lpwstr>ACTIVE</vt:lpwstr>
  </property>
  <property fmtid="{D5CDD505-2E9C-101B-9397-08002B2CF9AE}" pid="9" name="TypistName">
    <vt:lpwstr>CCGILES</vt:lpwstr>
  </property>
  <property fmtid="{D5CDD505-2E9C-101B-9397-08002B2CF9AE}" pid="10" name="AuthorName">
    <vt:lpwstr>CCGILES</vt:lpwstr>
  </property>
  <property fmtid="{D5CDD505-2E9C-101B-9397-08002B2CF9AE}" pid="11" name="InUseBy">
    <vt:lpwstr/>
  </property>
  <property fmtid="{D5CDD505-2E9C-101B-9397-08002B2CF9AE}" pid="12" name="EditDate">
    <vt:lpwstr>11/10/2020 2:36:54 PM</vt:lpwstr>
  </property>
  <property fmtid="{D5CDD505-2E9C-101B-9397-08002B2CF9AE}" pid="13" name="EditTime">
    <vt:lpwstr/>
  </property>
  <property fmtid="{D5CDD505-2E9C-101B-9397-08002B2CF9AE}" pid="14" name="IsiManageWork">
    <vt:lpwstr>True</vt:lpwstr>
  </property>
</Properties>
</file>