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0E859" w14:textId="771B4C7E" w:rsidR="00865506" w:rsidRDefault="00A56A56" w:rsidP="009C1BF2">
      <w:pPr>
        <w:spacing w:after="120"/>
        <w:jc w:val="center"/>
        <w:outlineLvl w:val="1"/>
        <w:rPr>
          <w:rFonts w:asciiTheme="majorHAnsi" w:eastAsia="Times New Roman" w:hAnsiTheme="majorHAnsi" w:cstheme="majorHAnsi"/>
          <w:sz w:val="28"/>
          <w:szCs w:val="28"/>
        </w:rPr>
      </w:pPr>
      <w:r>
        <w:rPr>
          <w:rFonts w:ascii="Helvetica Neue" w:eastAsia="Times New Roman" w:hAnsi="Helvetica Neue" w:cs="Times New Roman"/>
          <w:b/>
          <w:bCs/>
          <w:sz w:val="36"/>
          <w:szCs w:val="36"/>
        </w:rPr>
        <w:t xml:space="preserve">Graycliff Exploration </w:t>
      </w:r>
      <w:r w:rsidR="00AF08CF">
        <w:rPr>
          <w:rFonts w:ascii="Helvetica Neue" w:eastAsia="Times New Roman" w:hAnsi="Helvetica Neue" w:cs="Times New Roman"/>
          <w:b/>
          <w:bCs/>
          <w:sz w:val="36"/>
          <w:szCs w:val="36"/>
        </w:rPr>
        <w:t xml:space="preserve">Commences </w:t>
      </w:r>
      <w:r w:rsidR="009C1BF2">
        <w:rPr>
          <w:rFonts w:ascii="Helvetica Neue" w:eastAsia="Times New Roman" w:hAnsi="Helvetica Neue" w:cs="Times New Roman"/>
          <w:b/>
          <w:bCs/>
          <w:sz w:val="36"/>
          <w:szCs w:val="36"/>
        </w:rPr>
        <w:t>Trading on OTCQB</w:t>
      </w:r>
    </w:p>
    <w:p w14:paraId="6D527847" w14:textId="77777777" w:rsidR="009C1BF2" w:rsidRPr="00C4528B" w:rsidRDefault="009C1BF2" w:rsidP="009C1BF2">
      <w:pPr>
        <w:spacing w:after="120"/>
        <w:jc w:val="center"/>
        <w:outlineLvl w:val="1"/>
        <w:rPr>
          <w:rFonts w:asciiTheme="majorHAnsi" w:eastAsia="Times New Roman" w:hAnsiTheme="majorHAnsi" w:cstheme="majorHAnsi"/>
          <w:sz w:val="28"/>
          <w:szCs w:val="28"/>
        </w:rPr>
      </w:pPr>
    </w:p>
    <w:p w14:paraId="219E06FD" w14:textId="1C4D0704" w:rsidR="009C1BF2" w:rsidRPr="009C1BF2" w:rsidRDefault="00A56A56" w:rsidP="00F829C4">
      <w:pPr>
        <w:spacing w:after="240"/>
        <w:jc w:val="both"/>
        <w:rPr>
          <w:rFonts w:ascii="Calibri" w:hAnsi="Calibri" w:cs="Calibri"/>
          <w:spacing w:val="-2"/>
          <w:sz w:val="22"/>
          <w:szCs w:val="22"/>
        </w:rPr>
      </w:pPr>
      <w:r w:rsidRPr="00521EFD">
        <w:rPr>
          <w:rFonts w:ascii="Calibri" w:hAnsi="Calibri" w:cs="Calibri"/>
          <w:b/>
          <w:spacing w:val="-2"/>
          <w:sz w:val="22"/>
          <w:szCs w:val="22"/>
        </w:rPr>
        <w:t>TORONTO, ON</w:t>
      </w:r>
      <w:r w:rsidRPr="00521EFD">
        <w:rPr>
          <w:rFonts w:ascii="Calibri" w:hAnsi="Calibri" w:cs="Calibri"/>
          <w:spacing w:val="-2"/>
          <w:sz w:val="22"/>
          <w:szCs w:val="22"/>
        </w:rPr>
        <w:t xml:space="preserve"> </w:t>
      </w:r>
      <w:r w:rsidR="009C1BF2">
        <w:rPr>
          <w:rFonts w:ascii="Calibri" w:hAnsi="Calibri" w:cs="Calibri"/>
          <w:spacing w:val="-2"/>
          <w:sz w:val="22"/>
          <w:szCs w:val="22"/>
        </w:rPr>
        <w:t>–</w:t>
      </w:r>
      <w:r w:rsidR="0075524C" w:rsidRPr="00521EFD">
        <w:rPr>
          <w:rFonts w:ascii="Calibri" w:hAnsi="Calibri" w:cs="Calibri"/>
          <w:spacing w:val="-2"/>
          <w:sz w:val="22"/>
          <w:szCs w:val="22"/>
        </w:rPr>
        <w:t xml:space="preserve"> </w:t>
      </w:r>
      <w:r w:rsidR="009C1BF2">
        <w:rPr>
          <w:rFonts w:ascii="Calibri" w:hAnsi="Calibri" w:cs="Calibri"/>
          <w:spacing w:val="-2"/>
          <w:sz w:val="22"/>
          <w:szCs w:val="22"/>
        </w:rPr>
        <w:t>December</w:t>
      </w:r>
      <w:r w:rsidR="0075524C" w:rsidRPr="00521EFD">
        <w:rPr>
          <w:rFonts w:ascii="Calibri" w:hAnsi="Calibri" w:cs="Calibri"/>
          <w:spacing w:val="-2"/>
          <w:sz w:val="22"/>
          <w:szCs w:val="22"/>
        </w:rPr>
        <w:t xml:space="preserve"> </w:t>
      </w:r>
      <w:r w:rsidR="00FF3C6F">
        <w:rPr>
          <w:rFonts w:ascii="Calibri" w:hAnsi="Calibri" w:cs="Calibri"/>
          <w:spacing w:val="-2"/>
          <w:sz w:val="22"/>
          <w:szCs w:val="22"/>
        </w:rPr>
        <w:t>16</w:t>
      </w:r>
      <w:r w:rsidRPr="00521EFD">
        <w:rPr>
          <w:rFonts w:ascii="Calibri" w:hAnsi="Calibri" w:cs="Calibri"/>
          <w:spacing w:val="-2"/>
          <w:sz w:val="22"/>
          <w:szCs w:val="22"/>
        </w:rPr>
        <w:t xml:space="preserve">, 2020 </w:t>
      </w:r>
      <w:r w:rsidR="00927FD6" w:rsidRPr="00521EFD">
        <w:rPr>
          <w:rFonts w:ascii="Calibri" w:hAnsi="Calibri" w:cs="Calibri"/>
          <w:spacing w:val="-2"/>
          <w:sz w:val="22"/>
          <w:szCs w:val="22"/>
        </w:rPr>
        <w:t>-</w:t>
      </w:r>
      <w:r w:rsidRPr="00521EFD">
        <w:rPr>
          <w:rFonts w:ascii="Calibri" w:hAnsi="Calibri" w:cs="Calibri"/>
          <w:spacing w:val="-2"/>
          <w:sz w:val="22"/>
          <w:szCs w:val="22"/>
        </w:rPr>
        <w:t xml:space="preserve"> </w:t>
      </w:r>
      <w:hyperlink r:id="rId8" w:history="1">
        <w:r w:rsidRPr="00521EFD">
          <w:rPr>
            <w:rStyle w:val="Hyperlink"/>
            <w:rFonts w:ascii="Calibri" w:hAnsi="Calibri" w:cs="Calibri"/>
            <w:b/>
            <w:spacing w:val="-2"/>
            <w:sz w:val="22"/>
            <w:szCs w:val="22"/>
          </w:rPr>
          <w:t>Graycliff Exploration Limited</w:t>
        </w:r>
      </w:hyperlink>
      <w:r w:rsidRPr="00521EFD">
        <w:rPr>
          <w:rFonts w:ascii="Calibri" w:hAnsi="Calibri" w:cs="Calibri"/>
          <w:spacing w:val="-2"/>
          <w:sz w:val="22"/>
          <w:szCs w:val="22"/>
        </w:rPr>
        <w:t xml:space="preserve"> (the “</w:t>
      </w:r>
      <w:r w:rsidRPr="00521EFD">
        <w:rPr>
          <w:rFonts w:ascii="Calibri" w:hAnsi="Calibri" w:cs="Calibri"/>
          <w:b/>
          <w:spacing w:val="-2"/>
          <w:sz w:val="22"/>
          <w:szCs w:val="22"/>
        </w:rPr>
        <w:t>Company</w:t>
      </w:r>
      <w:r w:rsidRPr="00521EFD">
        <w:rPr>
          <w:rFonts w:ascii="Calibri" w:hAnsi="Calibri" w:cs="Calibri"/>
          <w:spacing w:val="-2"/>
          <w:sz w:val="22"/>
          <w:szCs w:val="22"/>
        </w:rPr>
        <w:t>”</w:t>
      </w:r>
      <w:r w:rsidR="00521EFD" w:rsidRPr="00521EFD">
        <w:rPr>
          <w:rFonts w:ascii="Calibri" w:hAnsi="Calibri" w:cs="Calibri"/>
          <w:spacing w:val="-2"/>
          <w:sz w:val="22"/>
          <w:szCs w:val="22"/>
        </w:rPr>
        <w:t xml:space="preserve"> or “</w:t>
      </w:r>
      <w:proofErr w:type="spellStart"/>
      <w:r w:rsidR="00521EFD" w:rsidRPr="00521EFD">
        <w:rPr>
          <w:rFonts w:ascii="Calibri" w:hAnsi="Calibri" w:cs="Calibri"/>
          <w:b/>
          <w:bCs/>
          <w:spacing w:val="-2"/>
          <w:sz w:val="22"/>
          <w:szCs w:val="22"/>
        </w:rPr>
        <w:t>Graycliff</w:t>
      </w:r>
      <w:proofErr w:type="spellEnd"/>
      <w:r w:rsidR="00521EFD" w:rsidRPr="00521EFD">
        <w:rPr>
          <w:rFonts w:ascii="Calibri" w:hAnsi="Calibri" w:cs="Calibri"/>
          <w:spacing w:val="-2"/>
          <w:sz w:val="22"/>
          <w:szCs w:val="22"/>
        </w:rPr>
        <w:t>”</w:t>
      </w:r>
      <w:r w:rsidRPr="00521EFD">
        <w:rPr>
          <w:rFonts w:ascii="Calibri" w:hAnsi="Calibri" w:cs="Calibri"/>
          <w:spacing w:val="-2"/>
          <w:sz w:val="22"/>
          <w:szCs w:val="22"/>
        </w:rPr>
        <w:t>) (</w:t>
      </w:r>
      <w:hyperlink r:id="rId9" w:history="1">
        <w:r w:rsidRPr="00521EFD">
          <w:rPr>
            <w:rStyle w:val="Hyperlink"/>
            <w:rFonts w:ascii="Calibri" w:hAnsi="Calibri" w:cs="Calibri"/>
            <w:spacing w:val="-2"/>
            <w:sz w:val="22"/>
            <w:szCs w:val="22"/>
          </w:rPr>
          <w:t>CSE: GRAY</w:t>
        </w:r>
      </w:hyperlink>
      <w:r w:rsidR="009C1BF2">
        <w:rPr>
          <w:rStyle w:val="Hyperlink"/>
          <w:rFonts w:ascii="Calibri" w:hAnsi="Calibri" w:cs="Calibri"/>
          <w:color w:val="auto"/>
          <w:spacing w:val="-2"/>
          <w:sz w:val="22"/>
          <w:szCs w:val="22"/>
          <w:u w:val="none"/>
        </w:rPr>
        <w:t>)</w:t>
      </w:r>
      <w:r w:rsidR="00521EFD" w:rsidRPr="00521EFD">
        <w:rPr>
          <w:rStyle w:val="Hyperlink"/>
          <w:rFonts w:ascii="Calibri" w:hAnsi="Calibri" w:cs="Calibri"/>
          <w:color w:val="auto"/>
          <w:spacing w:val="-2"/>
          <w:sz w:val="22"/>
          <w:szCs w:val="22"/>
          <w:u w:val="none"/>
        </w:rPr>
        <w:t xml:space="preserve"> </w:t>
      </w:r>
      <w:r w:rsidR="009C1BF2">
        <w:rPr>
          <w:rStyle w:val="Hyperlink"/>
          <w:rFonts w:ascii="Calibri" w:hAnsi="Calibri" w:cs="Calibri"/>
          <w:color w:val="auto"/>
          <w:spacing w:val="-2"/>
          <w:sz w:val="22"/>
          <w:szCs w:val="22"/>
          <w:u w:val="none"/>
        </w:rPr>
        <w:t>(</w:t>
      </w:r>
      <w:hyperlink r:id="rId10" w:history="1">
        <w:r w:rsidR="009C1BF2" w:rsidRPr="009C1BF2">
          <w:rPr>
            <w:rStyle w:val="Hyperlink"/>
            <w:rFonts w:ascii="Calibri" w:hAnsi="Calibri" w:cs="Calibri"/>
            <w:spacing w:val="-2"/>
            <w:sz w:val="22"/>
            <w:szCs w:val="22"/>
          </w:rPr>
          <w:t>OTCQB: GRYCF</w:t>
        </w:r>
      </w:hyperlink>
      <w:r w:rsidR="009C1BF2">
        <w:rPr>
          <w:rStyle w:val="Hyperlink"/>
          <w:rFonts w:ascii="Calibri" w:hAnsi="Calibri" w:cs="Calibri"/>
          <w:color w:val="auto"/>
          <w:spacing w:val="-2"/>
          <w:sz w:val="22"/>
          <w:szCs w:val="22"/>
          <w:u w:val="none"/>
        </w:rPr>
        <w:t>)(</w:t>
      </w:r>
      <w:hyperlink r:id="rId11" w:history="1">
        <w:r w:rsidR="00F018C1" w:rsidRPr="00521EFD">
          <w:rPr>
            <w:rStyle w:val="Hyperlink"/>
            <w:rFonts w:ascii="Calibri" w:hAnsi="Calibri" w:cs="Calibri"/>
            <w:spacing w:val="-2"/>
            <w:sz w:val="22"/>
            <w:szCs w:val="22"/>
          </w:rPr>
          <w:t>FSE: GE0</w:t>
        </w:r>
      </w:hyperlink>
      <w:r w:rsidR="00F018C1" w:rsidRPr="00521EFD">
        <w:rPr>
          <w:rFonts w:ascii="Calibri" w:hAnsi="Calibri" w:cs="Calibri"/>
          <w:spacing w:val="-2"/>
          <w:sz w:val="22"/>
          <w:szCs w:val="22"/>
        </w:rPr>
        <w:t>)</w:t>
      </w:r>
      <w:r w:rsidRPr="00521EFD">
        <w:rPr>
          <w:rFonts w:ascii="Calibri" w:hAnsi="Calibri" w:cs="Calibri"/>
          <w:spacing w:val="-2"/>
          <w:sz w:val="22"/>
          <w:szCs w:val="22"/>
        </w:rPr>
        <w:t xml:space="preserve"> </w:t>
      </w:r>
      <w:r w:rsidR="009C1BF2">
        <w:rPr>
          <w:rFonts w:ascii="Calibri" w:hAnsi="Calibri" w:cs="Calibri"/>
          <w:spacing w:val="-2"/>
          <w:sz w:val="22"/>
          <w:szCs w:val="22"/>
        </w:rPr>
        <w:t xml:space="preserve">announces that, effective December </w:t>
      </w:r>
      <w:r w:rsidR="00FF3C6F">
        <w:rPr>
          <w:rFonts w:ascii="Calibri" w:hAnsi="Calibri" w:cs="Calibri"/>
          <w:spacing w:val="-2"/>
          <w:sz w:val="22"/>
          <w:szCs w:val="22"/>
        </w:rPr>
        <w:t>16</w:t>
      </w:r>
      <w:r w:rsidR="009C1BF2">
        <w:rPr>
          <w:rFonts w:ascii="Calibri" w:hAnsi="Calibri" w:cs="Calibri"/>
          <w:spacing w:val="-2"/>
          <w:sz w:val="22"/>
          <w:szCs w:val="22"/>
        </w:rPr>
        <w:t>, 2020, it will begin trading on the OTCQB Venture Marketplace (“</w:t>
      </w:r>
      <w:r w:rsidR="009C1BF2">
        <w:rPr>
          <w:rFonts w:ascii="Calibri" w:hAnsi="Calibri" w:cs="Calibri"/>
          <w:b/>
          <w:bCs/>
          <w:spacing w:val="-2"/>
          <w:sz w:val="22"/>
          <w:szCs w:val="22"/>
        </w:rPr>
        <w:t>OTCQB</w:t>
      </w:r>
      <w:r w:rsidR="009C1BF2">
        <w:rPr>
          <w:rFonts w:ascii="Calibri" w:hAnsi="Calibri" w:cs="Calibri"/>
          <w:spacing w:val="-2"/>
          <w:sz w:val="22"/>
          <w:szCs w:val="22"/>
        </w:rPr>
        <w:t>”) under the symbol “GRYCF”.</w:t>
      </w:r>
    </w:p>
    <w:p w14:paraId="0D6F370C" w14:textId="1AA4602E" w:rsidR="009C1BF2" w:rsidRPr="009C1BF2" w:rsidRDefault="009C1BF2" w:rsidP="009C1BF2">
      <w:pPr>
        <w:spacing w:after="240"/>
        <w:rPr>
          <w:rFonts w:ascii="Calibri" w:hAnsi="Calibri" w:cs="Calibri"/>
          <w:spacing w:val="-2"/>
          <w:sz w:val="22"/>
          <w:szCs w:val="22"/>
        </w:rPr>
      </w:pPr>
      <w:r w:rsidRPr="009C1BF2">
        <w:rPr>
          <w:rFonts w:ascii="Calibri" w:hAnsi="Calibri" w:cs="Calibri"/>
          <w:sz w:val="22"/>
          <w:szCs w:val="22"/>
        </w:rPr>
        <w:t xml:space="preserve">The OTCQB is a US trading platform that is operated by the OTC Markets Group in New York. </w:t>
      </w:r>
      <w:proofErr w:type="spellStart"/>
      <w:r>
        <w:rPr>
          <w:rFonts w:ascii="Calibri" w:hAnsi="Calibri" w:cs="Calibri"/>
          <w:sz w:val="22"/>
          <w:szCs w:val="22"/>
        </w:rPr>
        <w:t>Graycliff’s</w:t>
      </w:r>
      <w:proofErr w:type="spellEnd"/>
      <w:r>
        <w:rPr>
          <w:rFonts w:ascii="Calibri" w:hAnsi="Calibri" w:cs="Calibri"/>
          <w:sz w:val="22"/>
          <w:szCs w:val="22"/>
        </w:rPr>
        <w:t xml:space="preserve"> </w:t>
      </w:r>
      <w:r w:rsidRPr="009C1BF2">
        <w:rPr>
          <w:rFonts w:ascii="Calibri" w:hAnsi="Calibri" w:cs="Calibri"/>
          <w:sz w:val="22"/>
          <w:szCs w:val="22"/>
        </w:rPr>
        <w:t>OTCQB information can be found on the OTC Markets website:</w:t>
      </w:r>
      <w:r>
        <w:rPr>
          <w:rFonts w:ascii="Calibri" w:hAnsi="Calibri" w:cs="Calibri"/>
          <w:sz w:val="22"/>
          <w:szCs w:val="22"/>
        </w:rPr>
        <w:t xml:space="preserve"> </w:t>
      </w:r>
      <w:hyperlink r:id="rId12" w:history="1">
        <w:r w:rsidRPr="00DB171F">
          <w:rPr>
            <w:rStyle w:val="Hyperlink"/>
            <w:rFonts w:ascii="Calibri" w:hAnsi="Calibri" w:cs="Calibri"/>
            <w:sz w:val="22"/>
            <w:szCs w:val="22"/>
          </w:rPr>
          <w:t>https://www.otcmarkets.com/stock/GRYCF/overview</w:t>
        </w:r>
      </w:hyperlink>
      <w:r>
        <w:rPr>
          <w:rFonts w:ascii="Calibri" w:hAnsi="Calibri" w:cs="Calibri"/>
          <w:sz w:val="22"/>
          <w:szCs w:val="22"/>
        </w:rPr>
        <w:t xml:space="preserve"> </w:t>
      </w:r>
    </w:p>
    <w:p w14:paraId="3E206CED" w14:textId="1115B656" w:rsidR="00C64CC4" w:rsidRDefault="009C1BF2" w:rsidP="00F829C4">
      <w:pPr>
        <w:spacing w:after="240"/>
        <w:jc w:val="both"/>
        <w:rPr>
          <w:rFonts w:ascii="Calibri" w:hAnsi="Calibri" w:cs="Calibri"/>
          <w:spacing w:val="-2"/>
          <w:sz w:val="22"/>
          <w:szCs w:val="22"/>
        </w:rPr>
      </w:pPr>
      <w:r>
        <w:rPr>
          <w:rFonts w:ascii="Calibri" w:hAnsi="Calibri" w:cs="Calibri"/>
          <w:spacing w:val="-2"/>
          <w:sz w:val="22"/>
          <w:szCs w:val="22"/>
        </w:rPr>
        <w:t xml:space="preserve">“By utilizing the OTC Marketplace, we are now able to offer our current and future US investor easier access, trading, and disclosure in a strong precious metals market.” Commented James Macintosh, President and CEO. </w:t>
      </w:r>
    </w:p>
    <w:p w14:paraId="34BC3910" w14:textId="230B5AA7" w:rsidR="009C1BF2" w:rsidRDefault="009C1BF2" w:rsidP="00F829C4">
      <w:pPr>
        <w:spacing w:after="240"/>
        <w:jc w:val="both"/>
        <w:rPr>
          <w:rFonts w:ascii="Calibri" w:hAnsi="Calibri" w:cs="Calibri"/>
          <w:spacing w:val="-2"/>
          <w:sz w:val="22"/>
          <w:szCs w:val="22"/>
        </w:rPr>
      </w:pPr>
      <w:r>
        <w:rPr>
          <w:rFonts w:ascii="Calibri" w:hAnsi="Calibri" w:cs="Calibri"/>
          <w:spacing w:val="-2"/>
          <w:sz w:val="22"/>
          <w:szCs w:val="22"/>
        </w:rPr>
        <w:t xml:space="preserve">With the commencement of trading on the OTCQB, </w:t>
      </w:r>
      <w:proofErr w:type="spellStart"/>
      <w:r>
        <w:rPr>
          <w:rFonts w:ascii="Calibri" w:hAnsi="Calibri" w:cs="Calibri"/>
          <w:spacing w:val="-2"/>
          <w:sz w:val="22"/>
          <w:szCs w:val="22"/>
        </w:rPr>
        <w:t>Graycliff</w:t>
      </w:r>
      <w:proofErr w:type="spellEnd"/>
      <w:r>
        <w:rPr>
          <w:rFonts w:ascii="Calibri" w:hAnsi="Calibri" w:cs="Calibri"/>
          <w:spacing w:val="-2"/>
          <w:sz w:val="22"/>
          <w:szCs w:val="22"/>
        </w:rPr>
        <w:t xml:space="preserve"> will now be available for trading on three marketplaces around the world including the Canadian Securities Exchange (“</w:t>
      </w:r>
      <w:r>
        <w:rPr>
          <w:rFonts w:ascii="Calibri" w:hAnsi="Calibri" w:cs="Calibri"/>
          <w:b/>
          <w:bCs/>
          <w:spacing w:val="-2"/>
          <w:sz w:val="22"/>
          <w:szCs w:val="22"/>
        </w:rPr>
        <w:t>CSE</w:t>
      </w:r>
      <w:r>
        <w:rPr>
          <w:rFonts w:ascii="Calibri" w:hAnsi="Calibri" w:cs="Calibri"/>
          <w:spacing w:val="-2"/>
          <w:sz w:val="22"/>
          <w:szCs w:val="22"/>
        </w:rPr>
        <w:t>”) and the Frankfurt Stock Exchange (</w:t>
      </w:r>
      <w:r>
        <w:rPr>
          <w:rFonts w:ascii="Calibri" w:hAnsi="Calibri" w:cs="Calibri"/>
          <w:b/>
          <w:bCs/>
          <w:spacing w:val="-2"/>
          <w:sz w:val="22"/>
          <w:szCs w:val="22"/>
        </w:rPr>
        <w:t>“FSE</w:t>
      </w:r>
      <w:r>
        <w:rPr>
          <w:rFonts w:ascii="Calibri" w:hAnsi="Calibri" w:cs="Calibri"/>
          <w:spacing w:val="-2"/>
          <w:sz w:val="22"/>
          <w:szCs w:val="22"/>
        </w:rPr>
        <w:t xml:space="preserve">”).  </w:t>
      </w:r>
    </w:p>
    <w:p w14:paraId="25575C65" w14:textId="61547783" w:rsidR="009C1BF2" w:rsidRDefault="009C1BF2" w:rsidP="00F829C4">
      <w:pPr>
        <w:spacing w:after="240"/>
        <w:jc w:val="both"/>
        <w:rPr>
          <w:rFonts w:ascii="Calibri" w:hAnsi="Calibri" w:cs="Calibri"/>
          <w:spacing w:val="-2"/>
          <w:sz w:val="22"/>
          <w:szCs w:val="22"/>
        </w:rPr>
      </w:pPr>
      <w:r>
        <w:rPr>
          <w:rFonts w:ascii="Calibri" w:hAnsi="Calibri" w:cs="Calibri"/>
          <w:spacing w:val="-2"/>
          <w:sz w:val="22"/>
          <w:szCs w:val="22"/>
        </w:rPr>
        <w:t>The Company also announces the engagement of Mackie Research Capital Corporation for Market Stabilization and Liquidity Services (“</w:t>
      </w:r>
      <w:r>
        <w:rPr>
          <w:rFonts w:ascii="Calibri" w:hAnsi="Calibri" w:cs="Calibri"/>
          <w:b/>
          <w:bCs/>
          <w:spacing w:val="-2"/>
          <w:sz w:val="22"/>
          <w:szCs w:val="22"/>
        </w:rPr>
        <w:t>Market Maker</w:t>
      </w:r>
      <w:r>
        <w:rPr>
          <w:rFonts w:ascii="Calibri" w:hAnsi="Calibri" w:cs="Calibri"/>
          <w:spacing w:val="-2"/>
          <w:sz w:val="22"/>
          <w:szCs w:val="22"/>
        </w:rPr>
        <w:t xml:space="preserve">”) for </w:t>
      </w:r>
      <w:proofErr w:type="spellStart"/>
      <w:r>
        <w:rPr>
          <w:rFonts w:ascii="Calibri" w:hAnsi="Calibri" w:cs="Calibri"/>
          <w:spacing w:val="-2"/>
          <w:sz w:val="22"/>
          <w:szCs w:val="22"/>
        </w:rPr>
        <w:t>Graycliff’s</w:t>
      </w:r>
      <w:proofErr w:type="spellEnd"/>
      <w:r>
        <w:rPr>
          <w:rFonts w:ascii="Calibri" w:hAnsi="Calibri" w:cs="Calibri"/>
          <w:spacing w:val="-2"/>
          <w:sz w:val="22"/>
          <w:szCs w:val="22"/>
        </w:rPr>
        <w:t xml:space="preserve"> CSE listing. Under the terms of the agreement, the Company will pay the Market Maker CAD$5,000 per month for an initial term of three months. The agreement can be renewed on a month to month basis after the initial term is completed. The Market Maker will not receive shares or options as compensation and is considered to be an unrelated and unaffiliated entity at the time of the agreement. </w:t>
      </w:r>
    </w:p>
    <w:p w14:paraId="0079D00F" w14:textId="61E804BF" w:rsidR="009C1BF2" w:rsidRPr="009C1BF2" w:rsidRDefault="009C1BF2" w:rsidP="00F829C4">
      <w:pPr>
        <w:spacing w:after="240"/>
        <w:jc w:val="both"/>
        <w:rPr>
          <w:rFonts w:ascii="Calibri" w:hAnsi="Calibri" w:cs="Calibri"/>
          <w:sz w:val="22"/>
          <w:szCs w:val="22"/>
        </w:rPr>
      </w:pPr>
      <w:r>
        <w:rPr>
          <w:rFonts w:ascii="Calibri" w:hAnsi="Calibri" w:cs="Calibri"/>
          <w:spacing w:val="-2"/>
          <w:sz w:val="22"/>
          <w:szCs w:val="22"/>
        </w:rPr>
        <w:t>Mackie Research Capital Corporation is a member of the Investment Industry Regulatory Organization of Canada (</w:t>
      </w:r>
      <w:r>
        <w:rPr>
          <w:rFonts w:ascii="Calibri" w:hAnsi="Calibri" w:cs="Calibri"/>
          <w:b/>
          <w:bCs/>
          <w:spacing w:val="-2"/>
          <w:sz w:val="22"/>
          <w:szCs w:val="22"/>
        </w:rPr>
        <w:t>“IIROC</w:t>
      </w:r>
      <w:r>
        <w:rPr>
          <w:rFonts w:ascii="Calibri" w:hAnsi="Calibri" w:cs="Calibri"/>
          <w:spacing w:val="-2"/>
          <w:sz w:val="22"/>
          <w:szCs w:val="22"/>
        </w:rPr>
        <w:t>”).</w:t>
      </w:r>
    </w:p>
    <w:p w14:paraId="27646452" w14:textId="4C1629F2" w:rsidR="00A56A56" w:rsidRPr="00A56A56" w:rsidRDefault="00A56A56" w:rsidP="00C4528B">
      <w:pPr>
        <w:spacing w:after="80"/>
        <w:jc w:val="both"/>
        <w:rPr>
          <w:rFonts w:ascii="Calibri" w:hAnsi="Calibri" w:cs="Calibri"/>
          <w:b/>
          <w:sz w:val="22"/>
          <w:szCs w:val="22"/>
        </w:rPr>
      </w:pPr>
      <w:r w:rsidRPr="00A56A56">
        <w:rPr>
          <w:rFonts w:ascii="Calibri" w:hAnsi="Calibri" w:cs="Calibri"/>
          <w:b/>
          <w:sz w:val="22"/>
          <w:szCs w:val="22"/>
        </w:rPr>
        <w:t xml:space="preserve">About </w:t>
      </w:r>
      <w:proofErr w:type="spellStart"/>
      <w:r w:rsidRPr="00A56A56">
        <w:rPr>
          <w:rFonts w:ascii="Calibri" w:hAnsi="Calibri" w:cs="Calibri"/>
          <w:b/>
          <w:sz w:val="22"/>
          <w:szCs w:val="22"/>
        </w:rPr>
        <w:t>Graycliff</w:t>
      </w:r>
      <w:proofErr w:type="spellEnd"/>
      <w:r w:rsidRPr="00A56A56">
        <w:rPr>
          <w:rFonts w:ascii="Calibri" w:hAnsi="Calibri" w:cs="Calibri"/>
          <w:b/>
          <w:sz w:val="22"/>
          <w:szCs w:val="22"/>
        </w:rPr>
        <w:t xml:space="preserve"> Exploration Limited. </w:t>
      </w:r>
    </w:p>
    <w:p w14:paraId="2F6BB01A" w14:textId="2715955E" w:rsidR="00A56A56" w:rsidRPr="00A56A56" w:rsidRDefault="00A56A56" w:rsidP="00C4528B">
      <w:pPr>
        <w:spacing w:after="180"/>
        <w:jc w:val="both"/>
        <w:rPr>
          <w:rFonts w:ascii="Calibri" w:eastAsia="Times New Roman" w:hAnsi="Calibri" w:cs="Calibri"/>
          <w:sz w:val="22"/>
          <w:szCs w:val="22"/>
          <w:lang w:val="en-CA"/>
        </w:rPr>
      </w:pPr>
      <w:r w:rsidRPr="00082D31">
        <w:rPr>
          <w:rFonts w:ascii="Calibri" w:eastAsia="Times New Roman" w:hAnsi="Calibri" w:cs="Calibri"/>
          <w:color w:val="000000"/>
          <w:sz w:val="22"/>
          <w:szCs w:val="22"/>
          <w:lang w:val="en-CA"/>
        </w:rPr>
        <w:t xml:space="preserve">Graycliff Exploration is a mineral exploration company focused on its </w:t>
      </w:r>
      <w:r w:rsidR="00093A9D" w:rsidRPr="00082D31">
        <w:rPr>
          <w:rFonts w:ascii="Calibri" w:eastAsia="Times New Roman" w:hAnsi="Calibri" w:cs="Calibri"/>
          <w:color w:val="000000"/>
          <w:sz w:val="22"/>
          <w:szCs w:val="22"/>
          <w:lang w:val="en-CA"/>
        </w:rPr>
        <w:t>847</w:t>
      </w:r>
      <w:r w:rsidRPr="00082D31">
        <w:rPr>
          <w:rFonts w:ascii="Calibri" w:eastAsia="Times New Roman" w:hAnsi="Calibri" w:cs="Calibri"/>
          <w:color w:val="000000"/>
          <w:sz w:val="22"/>
          <w:szCs w:val="22"/>
          <w:lang w:val="en-CA"/>
        </w:rPr>
        <w:t xml:space="preserve"> hectares of prospective ground, located roughly 80 kilometres west of Sudbury on the prolific Canadian Shield.  The Company's Shakespeare Project consists of </w:t>
      </w:r>
      <w:r w:rsidR="00093A9D" w:rsidRPr="00082D31">
        <w:rPr>
          <w:rFonts w:ascii="Calibri" w:eastAsia="Times New Roman" w:hAnsi="Calibri" w:cs="Calibri"/>
          <w:color w:val="000000"/>
          <w:sz w:val="22"/>
          <w:szCs w:val="22"/>
          <w:lang w:val="en-CA"/>
        </w:rPr>
        <w:t>39</w:t>
      </w:r>
      <w:r w:rsidRPr="00082D31">
        <w:rPr>
          <w:rFonts w:ascii="Calibri" w:eastAsia="Times New Roman" w:hAnsi="Calibri" w:cs="Calibri"/>
          <w:color w:val="000000"/>
          <w:sz w:val="22"/>
          <w:szCs w:val="22"/>
          <w:lang w:val="en-CA"/>
        </w:rPr>
        <w:t xml:space="preserve"> claims on a property associated with the historic Shakespeare Gold Mine, which operated from 1903 to 1907.</w:t>
      </w:r>
      <w:r w:rsidRPr="00A56A56">
        <w:rPr>
          <w:rFonts w:ascii="Calibri" w:eastAsia="Times New Roman" w:hAnsi="Calibri" w:cs="Calibri"/>
          <w:color w:val="000000"/>
          <w:sz w:val="22"/>
          <w:szCs w:val="22"/>
          <w:lang w:val="en-CA"/>
        </w:rPr>
        <w:t> </w:t>
      </w:r>
    </w:p>
    <w:p w14:paraId="0590CBB7" w14:textId="6F862940" w:rsidR="00A56A56" w:rsidRPr="00A56A56" w:rsidRDefault="00A56A56" w:rsidP="00C4528B">
      <w:pPr>
        <w:spacing w:after="80"/>
        <w:rPr>
          <w:rFonts w:ascii="Calibri" w:hAnsi="Calibri" w:cs="Calibri"/>
          <w:sz w:val="22"/>
          <w:szCs w:val="22"/>
        </w:rPr>
      </w:pPr>
      <w:r w:rsidRPr="00A56A56">
        <w:rPr>
          <w:rFonts w:ascii="Calibri" w:hAnsi="Calibri" w:cs="Calibri"/>
          <w:sz w:val="22"/>
          <w:szCs w:val="22"/>
        </w:rPr>
        <w:t xml:space="preserve">For more information, contact investor relations at </w:t>
      </w:r>
      <w:hyperlink r:id="rId13" w:history="1">
        <w:r w:rsidR="00EE7727" w:rsidRPr="00DE79D9">
          <w:rPr>
            <w:rStyle w:val="Hyperlink"/>
            <w:rFonts w:ascii="Calibri" w:hAnsi="Calibri" w:cs="Calibri"/>
            <w:sz w:val="22"/>
            <w:szCs w:val="22"/>
          </w:rPr>
          <w:t>investors@graycliffexploration.com</w:t>
        </w:r>
      </w:hyperlink>
      <w:r w:rsidR="00EE7727">
        <w:rPr>
          <w:rFonts w:ascii="Calibri" w:hAnsi="Calibri" w:cs="Calibri"/>
          <w:sz w:val="22"/>
          <w:szCs w:val="22"/>
        </w:rPr>
        <w:t xml:space="preserve"> </w:t>
      </w:r>
    </w:p>
    <w:p w14:paraId="27D60434" w14:textId="77777777" w:rsidR="00A56A56" w:rsidRPr="00A56A56" w:rsidRDefault="00A56A56" w:rsidP="00842D0A">
      <w:pPr>
        <w:spacing w:after="40"/>
        <w:rPr>
          <w:rFonts w:ascii="Calibri" w:hAnsi="Calibri" w:cs="Calibri"/>
          <w:sz w:val="22"/>
          <w:szCs w:val="22"/>
        </w:rPr>
      </w:pPr>
      <w:r w:rsidRPr="00A56A56">
        <w:rPr>
          <w:rFonts w:ascii="Calibri" w:hAnsi="Calibri" w:cs="Calibri"/>
          <w:sz w:val="22"/>
          <w:szCs w:val="22"/>
        </w:rPr>
        <w:t xml:space="preserve">On Behalf of the Board of Directors, </w:t>
      </w:r>
    </w:p>
    <w:p w14:paraId="41E45ECF" w14:textId="77777777" w:rsidR="00A56A56" w:rsidRPr="00A56A56" w:rsidRDefault="00A56A56" w:rsidP="00C4528B">
      <w:pPr>
        <w:rPr>
          <w:rFonts w:ascii="Calibri" w:hAnsi="Calibri" w:cs="Calibri"/>
          <w:sz w:val="22"/>
          <w:szCs w:val="22"/>
        </w:rPr>
      </w:pPr>
      <w:r w:rsidRPr="00A56A56">
        <w:rPr>
          <w:rFonts w:ascii="Calibri" w:hAnsi="Calibri" w:cs="Calibri"/>
          <w:sz w:val="22"/>
          <w:szCs w:val="22"/>
        </w:rPr>
        <w:t>James Macintosh</w:t>
      </w:r>
    </w:p>
    <w:p w14:paraId="71160C9A" w14:textId="76AA273D" w:rsidR="00A56A56" w:rsidRDefault="00A56A56" w:rsidP="00DE2316">
      <w:pPr>
        <w:spacing w:after="180"/>
        <w:rPr>
          <w:rFonts w:ascii="Calibri" w:hAnsi="Calibri" w:cs="Calibri"/>
          <w:sz w:val="22"/>
          <w:szCs w:val="22"/>
        </w:rPr>
      </w:pPr>
      <w:r w:rsidRPr="00A56A56">
        <w:rPr>
          <w:rFonts w:ascii="Calibri" w:hAnsi="Calibri" w:cs="Calibri"/>
          <w:sz w:val="22"/>
          <w:szCs w:val="22"/>
        </w:rPr>
        <w:t xml:space="preserve">President and CEO </w:t>
      </w:r>
    </w:p>
    <w:p w14:paraId="5814AAC2" w14:textId="584F8672" w:rsidR="00A56A56" w:rsidRPr="009C1BF2" w:rsidRDefault="00A56A56" w:rsidP="00C4528B">
      <w:pPr>
        <w:spacing w:after="120"/>
        <w:jc w:val="center"/>
        <w:rPr>
          <w:rFonts w:ascii="Calibri" w:hAnsi="Calibri" w:cs="Calibri"/>
          <w:sz w:val="16"/>
          <w:szCs w:val="16"/>
        </w:rPr>
      </w:pPr>
      <w:r w:rsidRPr="009C1BF2">
        <w:rPr>
          <w:rFonts w:ascii="Calibri" w:hAnsi="Calibri" w:cs="Calibri"/>
          <w:i/>
          <w:sz w:val="16"/>
          <w:szCs w:val="16"/>
        </w:rPr>
        <w:t>Neither the Canadian Securities Exchange nor its regulation services provider has reviewed or accepted responsibility for the adequacy or accuracy of this press release</w:t>
      </w:r>
    </w:p>
    <w:p w14:paraId="7849976F" w14:textId="3B6C03C4" w:rsidR="00287F1C" w:rsidRPr="009C1BF2" w:rsidRDefault="00A56A56" w:rsidP="00C4528B">
      <w:pPr>
        <w:jc w:val="both"/>
        <w:rPr>
          <w:rFonts w:ascii="Calibri" w:hAnsi="Calibri" w:cs="Calibri"/>
          <w:i/>
          <w:sz w:val="16"/>
          <w:szCs w:val="16"/>
        </w:rPr>
      </w:pPr>
      <w:r w:rsidRPr="009C1BF2">
        <w:rPr>
          <w:rFonts w:ascii="Calibri" w:hAnsi="Calibri" w:cs="Calibri"/>
          <w:i/>
          <w:sz w:val="16"/>
          <w:szCs w:val="16"/>
        </w:rPr>
        <w:t>This press release may include forward-looking information within the meaning of Canadian securities legislation, concerning the business of the Company.  Forward-looking information is based on certain key expectations and assumptions made by the management of the Company.  Although the Company believes that the expectations and assumptions on which such forward-looking information is based on are reasonable, undue reliance should not be placed on the forward-looking information because the Company can give no assurance that they will prove to be correct.  Forward-looking statements contained in this press release are made as of the date of this press release.  The Company disclaims any intent or obligation to update publicly any forward-looking information, whether as a result of new information, future events or results or otherwise, other than as required by applicable securities</w:t>
      </w:r>
      <w:r w:rsidR="00F876D1" w:rsidRPr="009C1BF2">
        <w:rPr>
          <w:rFonts w:ascii="Calibri" w:hAnsi="Calibri" w:cs="Calibri"/>
          <w:i/>
          <w:sz w:val="16"/>
          <w:szCs w:val="16"/>
        </w:rPr>
        <w:t xml:space="preserve"> la</w:t>
      </w:r>
      <w:r w:rsidR="00E26887" w:rsidRPr="009C1BF2">
        <w:rPr>
          <w:rFonts w:ascii="Calibri" w:hAnsi="Calibri" w:cs="Calibri"/>
          <w:i/>
          <w:sz w:val="16"/>
          <w:szCs w:val="16"/>
        </w:rPr>
        <w:t>w</w:t>
      </w:r>
      <w:r w:rsidR="004E6882" w:rsidRPr="009C1BF2">
        <w:rPr>
          <w:rFonts w:ascii="Calibri" w:hAnsi="Calibri" w:cs="Calibri"/>
          <w:i/>
          <w:sz w:val="16"/>
          <w:szCs w:val="16"/>
        </w:rPr>
        <w:t>s</w:t>
      </w:r>
      <w:r w:rsidR="00C4528B" w:rsidRPr="009C1BF2">
        <w:rPr>
          <w:rFonts w:ascii="Calibri" w:hAnsi="Calibri" w:cs="Calibri"/>
          <w:i/>
          <w:sz w:val="16"/>
          <w:szCs w:val="16"/>
        </w:rPr>
        <w:t>.</w:t>
      </w:r>
    </w:p>
    <w:sectPr w:rsidR="00287F1C" w:rsidRPr="009C1BF2" w:rsidSect="008614F9">
      <w:headerReference w:type="default" r:id="rId14"/>
      <w:type w:val="continuous"/>
      <w:pgSz w:w="12240" w:h="15840" w:code="1"/>
      <w:pgMar w:top="2088" w:right="1296" w:bottom="1008"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3CB55" w14:textId="77777777" w:rsidR="001C72AE" w:rsidRDefault="001C72AE" w:rsidP="00A31CF8">
      <w:r>
        <w:separator/>
      </w:r>
    </w:p>
  </w:endnote>
  <w:endnote w:type="continuationSeparator" w:id="0">
    <w:p w14:paraId="28BD774B" w14:textId="77777777" w:rsidR="001C72AE" w:rsidRDefault="001C72AE" w:rsidP="00A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18649" w14:textId="77777777" w:rsidR="001C72AE" w:rsidRDefault="001C72AE" w:rsidP="00A31CF8">
      <w:r>
        <w:separator/>
      </w:r>
    </w:p>
  </w:footnote>
  <w:footnote w:type="continuationSeparator" w:id="0">
    <w:p w14:paraId="27C7D0B2" w14:textId="77777777" w:rsidR="001C72AE" w:rsidRDefault="001C72AE" w:rsidP="00A3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62D2D" w14:textId="76AC6F84" w:rsidR="00A31CF8" w:rsidRDefault="00BF229B">
    <w:pPr>
      <w:pStyle w:val="Header"/>
    </w:pPr>
    <w:r>
      <w:rPr>
        <w:noProof/>
      </w:rPr>
      <w:drawing>
        <wp:anchor distT="0" distB="0" distL="114300" distR="114300" simplePos="0" relativeHeight="251659264" behindDoc="1" locked="0" layoutInCell="1" allowOverlap="1" wp14:anchorId="503F14B6" wp14:editId="023B43EC">
          <wp:simplePos x="0" y="0"/>
          <wp:positionH relativeFrom="column">
            <wp:posOffset>-809625</wp:posOffset>
          </wp:positionH>
          <wp:positionV relativeFrom="paragraph">
            <wp:posOffset>-447675</wp:posOffset>
          </wp:positionV>
          <wp:extent cx="7762009" cy="10044794"/>
          <wp:effectExtent l="0" t="0" r="0" b="1270"/>
          <wp:wrapNone/>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stretch>
                    <a:fillRect/>
                  </a:stretch>
                </pic:blipFill>
                <pic:spPr>
                  <a:xfrm>
                    <a:off x="0" y="0"/>
                    <a:ext cx="7762009" cy="100447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C683C"/>
    <w:multiLevelType w:val="hybridMultilevel"/>
    <w:tmpl w:val="3A0C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F8"/>
    <w:rsid w:val="000003BD"/>
    <w:rsid w:val="00015BB5"/>
    <w:rsid w:val="000300D1"/>
    <w:rsid w:val="00030FE4"/>
    <w:rsid w:val="000313EB"/>
    <w:rsid w:val="000371A5"/>
    <w:rsid w:val="0006219B"/>
    <w:rsid w:val="0006558F"/>
    <w:rsid w:val="00066B98"/>
    <w:rsid w:val="00074A9F"/>
    <w:rsid w:val="000807E7"/>
    <w:rsid w:val="00082D31"/>
    <w:rsid w:val="000846D9"/>
    <w:rsid w:val="00093A9D"/>
    <w:rsid w:val="0009416E"/>
    <w:rsid w:val="000A385B"/>
    <w:rsid w:val="000D71AD"/>
    <w:rsid w:val="000E5516"/>
    <w:rsid w:val="0010034A"/>
    <w:rsid w:val="0011218B"/>
    <w:rsid w:val="001174D3"/>
    <w:rsid w:val="0011799E"/>
    <w:rsid w:val="001313A0"/>
    <w:rsid w:val="00133CE3"/>
    <w:rsid w:val="00144608"/>
    <w:rsid w:val="001714FF"/>
    <w:rsid w:val="00182848"/>
    <w:rsid w:val="0019138A"/>
    <w:rsid w:val="001A1150"/>
    <w:rsid w:val="001A2DD9"/>
    <w:rsid w:val="001A6BB3"/>
    <w:rsid w:val="001C1E7B"/>
    <w:rsid w:val="001C60EA"/>
    <w:rsid w:val="001C72AE"/>
    <w:rsid w:val="001D5EAE"/>
    <w:rsid w:val="001E221A"/>
    <w:rsid w:val="00215B0D"/>
    <w:rsid w:val="00224C7B"/>
    <w:rsid w:val="0023505B"/>
    <w:rsid w:val="002402F1"/>
    <w:rsid w:val="00250D22"/>
    <w:rsid w:val="002550CC"/>
    <w:rsid w:val="00285E91"/>
    <w:rsid w:val="00287F1C"/>
    <w:rsid w:val="00291F90"/>
    <w:rsid w:val="002A2CA0"/>
    <w:rsid w:val="002A41FC"/>
    <w:rsid w:val="002F6A35"/>
    <w:rsid w:val="003007CC"/>
    <w:rsid w:val="00310CA1"/>
    <w:rsid w:val="0032277B"/>
    <w:rsid w:val="00325099"/>
    <w:rsid w:val="0034228F"/>
    <w:rsid w:val="00360E69"/>
    <w:rsid w:val="00363117"/>
    <w:rsid w:val="00374513"/>
    <w:rsid w:val="003A6347"/>
    <w:rsid w:val="003B0BB5"/>
    <w:rsid w:val="003B202F"/>
    <w:rsid w:val="003D06C9"/>
    <w:rsid w:val="003D5A65"/>
    <w:rsid w:val="004120E5"/>
    <w:rsid w:val="0041332E"/>
    <w:rsid w:val="00427D56"/>
    <w:rsid w:val="00455BB2"/>
    <w:rsid w:val="00480456"/>
    <w:rsid w:val="0048072C"/>
    <w:rsid w:val="00493B26"/>
    <w:rsid w:val="004C3D8A"/>
    <w:rsid w:val="004E6882"/>
    <w:rsid w:val="0051637F"/>
    <w:rsid w:val="00521EFD"/>
    <w:rsid w:val="00524A0E"/>
    <w:rsid w:val="00531E48"/>
    <w:rsid w:val="00534FAD"/>
    <w:rsid w:val="0054324B"/>
    <w:rsid w:val="005622C7"/>
    <w:rsid w:val="00572363"/>
    <w:rsid w:val="0057361E"/>
    <w:rsid w:val="00584499"/>
    <w:rsid w:val="00584F84"/>
    <w:rsid w:val="005865D5"/>
    <w:rsid w:val="0058701D"/>
    <w:rsid w:val="00587925"/>
    <w:rsid w:val="00591E59"/>
    <w:rsid w:val="00593B18"/>
    <w:rsid w:val="005B0440"/>
    <w:rsid w:val="005B7B06"/>
    <w:rsid w:val="005C1ADF"/>
    <w:rsid w:val="005C2D29"/>
    <w:rsid w:val="005C3EC7"/>
    <w:rsid w:val="005F0066"/>
    <w:rsid w:val="005F7564"/>
    <w:rsid w:val="005F7EB3"/>
    <w:rsid w:val="006022EB"/>
    <w:rsid w:val="00602BF9"/>
    <w:rsid w:val="00604933"/>
    <w:rsid w:val="00606478"/>
    <w:rsid w:val="0061049E"/>
    <w:rsid w:val="0061280E"/>
    <w:rsid w:val="00613C99"/>
    <w:rsid w:val="00627F80"/>
    <w:rsid w:val="00653C74"/>
    <w:rsid w:val="00686CF9"/>
    <w:rsid w:val="0069014E"/>
    <w:rsid w:val="006A7607"/>
    <w:rsid w:val="006B24FA"/>
    <w:rsid w:val="006B3DC0"/>
    <w:rsid w:val="006C0FC5"/>
    <w:rsid w:val="006C17D5"/>
    <w:rsid w:val="006C25F4"/>
    <w:rsid w:val="006C5A58"/>
    <w:rsid w:val="006C6B2F"/>
    <w:rsid w:val="006E6728"/>
    <w:rsid w:val="006F0104"/>
    <w:rsid w:val="007360FC"/>
    <w:rsid w:val="00737D40"/>
    <w:rsid w:val="00744C42"/>
    <w:rsid w:val="0075524C"/>
    <w:rsid w:val="00760575"/>
    <w:rsid w:val="00784B0B"/>
    <w:rsid w:val="007907D4"/>
    <w:rsid w:val="007C3581"/>
    <w:rsid w:val="007D4388"/>
    <w:rsid w:val="007F245F"/>
    <w:rsid w:val="007F2951"/>
    <w:rsid w:val="00805EAA"/>
    <w:rsid w:val="008159E7"/>
    <w:rsid w:val="00823F20"/>
    <w:rsid w:val="00824A70"/>
    <w:rsid w:val="00830D9D"/>
    <w:rsid w:val="008316E2"/>
    <w:rsid w:val="00837FED"/>
    <w:rsid w:val="00842D0A"/>
    <w:rsid w:val="00844E13"/>
    <w:rsid w:val="008614F9"/>
    <w:rsid w:val="00861E16"/>
    <w:rsid w:val="00865506"/>
    <w:rsid w:val="00871164"/>
    <w:rsid w:val="00880057"/>
    <w:rsid w:val="00883E9E"/>
    <w:rsid w:val="00887E9C"/>
    <w:rsid w:val="008A338F"/>
    <w:rsid w:val="008B4569"/>
    <w:rsid w:val="008C3AD7"/>
    <w:rsid w:val="008D1646"/>
    <w:rsid w:val="008E0B70"/>
    <w:rsid w:val="008E649F"/>
    <w:rsid w:val="008F21F9"/>
    <w:rsid w:val="008F36D0"/>
    <w:rsid w:val="009049B8"/>
    <w:rsid w:val="009152D2"/>
    <w:rsid w:val="00927FD6"/>
    <w:rsid w:val="00943631"/>
    <w:rsid w:val="00957935"/>
    <w:rsid w:val="00964C3F"/>
    <w:rsid w:val="009743C0"/>
    <w:rsid w:val="009753B2"/>
    <w:rsid w:val="009A1901"/>
    <w:rsid w:val="009B11B0"/>
    <w:rsid w:val="009B15E6"/>
    <w:rsid w:val="009B62B6"/>
    <w:rsid w:val="009B630A"/>
    <w:rsid w:val="009C1BF2"/>
    <w:rsid w:val="009E493A"/>
    <w:rsid w:val="00A176B9"/>
    <w:rsid w:val="00A31CF8"/>
    <w:rsid w:val="00A503AA"/>
    <w:rsid w:val="00A56A56"/>
    <w:rsid w:val="00A6068F"/>
    <w:rsid w:val="00A607EA"/>
    <w:rsid w:val="00A7077D"/>
    <w:rsid w:val="00A83680"/>
    <w:rsid w:val="00AB0454"/>
    <w:rsid w:val="00AB663E"/>
    <w:rsid w:val="00AC129A"/>
    <w:rsid w:val="00AC4CEE"/>
    <w:rsid w:val="00AC72D7"/>
    <w:rsid w:val="00AF0603"/>
    <w:rsid w:val="00AF08CF"/>
    <w:rsid w:val="00AF1A7A"/>
    <w:rsid w:val="00B0247D"/>
    <w:rsid w:val="00B15382"/>
    <w:rsid w:val="00B24F30"/>
    <w:rsid w:val="00B4372E"/>
    <w:rsid w:val="00B5145D"/>
    <w:rsid w:val="00B5447F"/>
    <w:rsid w:val="00B563D8"/>
    <w:rsid w:val="00B574EA"/>
    <w:rsid w:val="00B5760A"/>
    <w:rsid w:val="00B600BC"/>
    <w:rsid w:val="00B678F0"/>
    <w:rsid w:val="00B91A43"/>
    <w:rsid w:val="00BB3F34"/>
    <w:rsid w:val="00BC7EB4"/>
    <w:rsid w:val="00BD7391"/>
    <w:rsid w:val="00BE640B"/>
    <w:rsid w:val="00BF1873"/>
    <w:rsid w:val="00BF229B"/>
    <w:rsid w:val="00C0182E"/>
    <w:rsid w:val="00C03C82"/>
    <w:rsid w:val="00C215C1"/>
    <w:rsid w:val="00C23E4F"/>
    <w:rsid w:val="00C24EF1"/>
    <w:rsid w:val="00C251E1"/>
    <w:rsid w:val="00C37339"/>
    <w:rsid w:val="00C4528B"/>
    <w:rsid w:val="00C528AD"/>
    <w:rsid w:val="00C64CC4"/>
    <w:rsid w:val="00C654C4"/>
    <w:rsid w:val="00C848F1"/>
    <w:rsid w:val="00C94D26"/>
    <w:rsid w:val="00CA0166"/>
    <w:rsid w:val="00CA3A87"/>
    <w:rsid w:val="00CA3FF6"/>
    <w:rsid w:val="00CA57CC"/>
    <w:rsid w:val="00CA6B9C"/>
    <w:rsid w:val="00CB37CD"/>
    <w:rsid w:val="00CB3A2D"/>
    <w:rsid w:val="00CC43F2"/>
    <w:rsid w:val="00CF0ACE"/>
    <w:rsid w:val="00CF0D20"/>
    <w:rsid w:val="00CF307D"/>
    <w:rsid w:val="00CF35F8"/>
    <w:rsid w:val="00D04431"/>
    <w:rsid w:val="00D47C6F"/>
    <w:rsid w:val="00D52276"/>
    <w:rsid w:val="00D5697B"/>
    <w:rsid w:val="00D86D53"/>
    <w:rsid w:val="00DA0891"/>
    <w:rsid w:val="00DA7E49"/>
    <w:rsid w:val="00DB4AD7"/>
    <w:rsid w:val="00DB64C1"/>
    <w:rsid w:val="00DD2B11"/>
    <w:rsid w:val="00DD2F69"/>
    <w:rsid w:val="00DE2316"/>
    <w:rsid w:val="00DE476D"/>
    <w:rsid w:val="00DE505F"/>
    <w:rsid w:val="00E03A2E"/>
    <w:rsid w:val="00E25B94"/>
    <w:rsid w:val="00E26887"/>
    <w:rsid w:val="00E52F60"/>
    <w:rsid w:val="00E555B8"/>
    <w:rsid w:val="00E70A7E"/>
    <w:rsid w:val="00E7422E"/>
    <w:rsid w:val="00E81F17"/>
    <w:rsid w:val="00E84366"/>
    <w:rsid w:val="00E8471D"/>
    <w:rsid w:val="00E96DB8"/>
    <w:rsid w:val="00EA63BE"/>
    <w:rsid w:val="00EA7B44"/>
    <w:rsid w:val="00EA7DFB"/>
    <w:rsid w:val="00EB2455"/>
    <w:rsid w:val="00EB29AD"/>
    <w:rsid w:val="00EC50BD"/>
    <w:rsid w:val="00EE45D3"/>
    <w:rsid w:val="00EE4FB7"/>
    <w:rsid w:val="00EE7727"/>
    <w:rsid w:val="00F00D77"/>
    <w:rsid w:val="00F018C1"/>
    <w:rsid w:val="00F16BB2"/>
    <w:rsid w:val="00F21910"/>
    <w:rsid w:val="00F22171"/>
    <w:rsid w:val="00F301E1"/>
    <w:rsid w:val="00F3656D"/>
    <w:rsid w:val="00F41FA0"/>
    <w:rsid w:val="00F45A91"/>
    <w:rsid w:val="00F55566"/>
    <w:rsid w:val="00F61E70"/>
    <w:rsid w:val="00F72CC1"/>
    <w:rsid w:val="00F829C4"/>
    <w:rsid w:val="00F876D1"/>
    <w:rsid w:val="00F944CE"/>
    <w:rsid w:val="00F95EA3"/>
    <w:rsid w:val="00F970D1"/>
    <w:rsid w:val="00FB069F"/>
    <w:rsid w:val="00FB189C"/>
    <w:rsid w:val="00FB4596"/>
    <w:rsid w:val="00FB4DFA"/>
    <w:rsid w:val="00FB506F"/>
    <w:rsid w:val="00FC113E"/>
    <w:rsid w:val="00FC6776"/>
    <w:rsid w:val="00FE7D1B"/>
    <w:rsid w:val="00FF03EA"/>
    <w:rsid w:val="00FF3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6221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F8"/>
    <w:pPr>
      <w:tabs>
        <w:tab w:val="center" w:pos="4320"/>
        <w:tab w:val="right" w:pos="8640"/>
      </w:tabs>
    </w:pPr>
  </w:style>
  <w:style w:type="character" w:customStyle="1" w:styleId="HeaderChar">
    <w:name w:val="Header Char"/>
    <w:basedOn w:val="DefaultParagraphFont"/>
    <w:link w:val="Header"/>
    <w:uiPriority w:val="99"/>
    <w:rsid w:val="00A31CF8"/>
  </w:style>
  <w:style w:type="paragraph" w:styleId="Footer">
    <w:name w:val="footer"/>
    <w:basedOn w:val="Normal"/>
    <w:link w:val="FooterChar"/>
    <w:uiPriority w:val="99"/>
    <w:unhideWhenUsed/>
    <w:rsid w:val="00A31CF8"/>
    <w:pPr>
      <w:tabs>
        <w:tab w:val="center" w:pos="4320"/>
        <w:tab w:val="right" w:pos="8640"/>
      </w:tabs>
    </w:pPr>
  </w:style>
  <w:style w:type="character" w:customStyle="1" w:styleId="FooterChar">
    <w:name w:val="Footer Char"/>
    <w:basedOn w:val="DefaultParagraphFont"/>
    <w:link w:val="Footer"/>
    <w:uiPriority w:val="99"/>
    <w:rsid w:val="00A31CF8"/>
  </w:style>
  <w:style w:type="paragraph" w:styleId="BalloonText">
    <w:name w:val="Balloon Text"/>
    <w:basedOn w:val="Normal"/>
    <w:link w:val="BalloonTextChar"/>
    <w:uiPriority w:val="99"/>
    <w:semiHidden/>
    <w:unhideWhenUsed/>
    <w:rsid w:val="00A31CF8"/>
    <w:rPr>
      <w:rFonts w:ascii="Lucida Grande" w:hAnsi="Lucida Grande"/>
      <w:sz w:val="18"/>
      <w:szCs w:val="18"/>
    </w:rPr>
  </w:style>
  <w:style w:type="character" w:customStyle="1" w:styleId="BalloonTextChar">
    <w:name w:val="Balloon Text Char"/>
    <w:basedOn w:val="DefaultParagraphFont"/>
    <w:link w:val="BalloonText"/>
    <w:uiPriority w:val="99"/>
    <w:semiHidden/>
    <w:rsid w:val="00A31CF8"/>
    <w:rPr>
      <w:rFonts w:ascii="Lucida Grande" w:hAnsi="Lucida Grande"/>
      <w:sz w:val="18"/>
      <w:szCs w:val="18"/>
    </w:rPr>
  </w:style>
  <w:style w:type="character" w:styleId="Hyperlink">
    <w:name w:val="Hyperlink"/>
    <w:basedOn w:val="DefaultParagraphFont"/>
    <w:uiPriority w:val="99"/>
    <w:unhideWhenUsed/>
    <w:rsid w:val="00EE7727"/>
    <w:rPr>
      <w:color w:val="0000FF" w:themeColor="hyperlink"/>
      <w:u w:val="single"/>
    </w:rPr>
  </w:style>
  <w:style w:type="character" w:styleId="UnresolvedMention">
    <w:name w:val="Unresolved Mention"/>
    <w:basedOn w:val="DefaultParagraphFont"/>
    <w:uiPriority w:val="99"/>
    <w:rsid w:val="00EE7727"/>
    <w:rPr>
      <w:color w:val="605E5C"/>
      <w:shd w:val="clear" w:color="auto" w:fill="E1DFDD"/>
    </w:rPr>
  </w:style>
  <w:style w:type="character" w:styleId="FollowedHyperlink">
    <w:name w:val="FollowedHyperlink"/>
    <w:basedOn w:val="DefaultParagraphFont"/>
    <w:uiPriority w:val="99"/>
    <w:semiHidden/>
    <w:unhideWhenUsed/>
    <w:rsid w:val="00F018C1"/>
    <w:rPr>
      <w:color w:val="800080" w:themeColor="followedHyperlink"/>
      <w:u w:val="single"/>
    </w:rPr>
  </w:style>
  <w:style w:type="paragraph" w:styleId="ListParagraph">
    <w:name w:val="List Paragraph"/>
    <w:basedOn w:val="Normal"/>
    <w:uiPriority w:val="34"/>
    <w:qFormat/>
    <w:rsid w:val="0075524C"/>
    <w:pPr>
      <w:ind w:left="720"/>
      <w:contextualSpacing/>
    </w:pPr>
  </w:style>
  <w:style w:type="character" w:styleId="CommentReference">
    <w:name w:val="annotation reference"/>
    <w:basedOn w:val="DefaultParagraphFont"/>
    <w:uiPriority w:val="99"/>
    <w:semiHidden/>
    <w:unhideWhenUsed/>
    <w:rsid w:val="00613C99"/>
    <w:rPr>
      <w:sz w:val="16"/>
      <w:szCs w:val="16"/>
    </w:rPr>
  </w:style>
  <w:style w:type="paragraph" w:styleId="CommentText">
    <w:name w:val="annotation text"/>
    <w:basedOn w:val="Normal"/>
    <w:link w:val="CommentTextChar"/>
    <w:uiPriority w:val="99"/>
    <w:semiHidden/>
    <w:unhideWhenUsed/>
    <w:rsid w:val="00613C99"/>
    <w:rPr>
      <w:sz w:val="20"/>
      <w:szCs w:val="20"/>
    </w:rPr>
  </w:style>
  <w:style w:type="character" w:customStyle="1" w:styleId="CommentTextChar">
    <w:name w:val="Comment Text Char"/>
    <w:basedOn w:val="DefaultParagraphFont"/>
    <w:link w:val="CommentText"/>
    <w:uiPriority w:val="99"/>
    <w:semiHidden/>
    <w:rsid w:val="00613C99"/>
    <w:rPr>
      <w:sz w:val="20"/>
      <w:szCs w:val="20"/>
    </w:rPr>
  </w:style>
  <w:style w:type="paragraph" w:styleId="CommentSubject">
    <w:name w:val="annotation subject"/>
    <w:basedOn w:val="CommentText"/>
    <w:next w:val="CommentText"/>
    <w:link w:val="CommentSubjectChar"/>
    <w:uiPriority w:val="99"/>
    <w:semiHidden/>
    <w:unhideWhenUsed/>
    <w:rsid w:val="00613C99"/>
    <w:rPr>
      <w:b/>
      <w:bCs/>
    </w:rPr>
  </w:style>
  <w:style w:type="character" w:customStyle="1" w:styleId="CommentSubjectChar">
    <w:name w:val="Comment Subject Char"/>
    <w:basedOn w:val="CommentTextChar"/>
    <w:link w:val="CommentSubject"/>
    <w:uiPriority w:val="99"/>
    <w:semiHidden/>
    <w:rsid w:val="00613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830100">
      <w:bodyDiv w:val="1"/>
      <w:marLeft w:val="0"/>
      <w:marRight w:val="0"/>
      <w:marTop w:val="0"/>
      <w:marBottom w:val="0"/>
      <w:divBdr>
        <w:top w:val="none" w:sz="0" w:space="0" w:color="auto"/>
        <w:left w:val="none" w:sz="0" w:space="0" w:color="auto"/>
        <w:bottom w:val="none" w:sz="0" w:space="0" w:color="auto"/>
        <w:right w:val="none" w:sz="0" w:space="0" w:color="auto"/>
      </w:divBdr>
    </w:div>
    <w:div w:id="1336152496">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ycliffexploration.com/" TargetMode="External"/><Relationship Id="rId13" Type="http://schemas.openxmlformats.org/officeDocument/2006/relationships/hyperlink" Target="mailto:investors@graycliffexplor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tcmarkets.com/stock/GRYCF/over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rse-frankfurt.de/equity/graycliff-exploration-lt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tcmarkets.com/stock/GRYCF/overview" TargetMode="External"/><Relationship Id="rId4" Type="http://schemas.openxmlformats.org/officeDocument/2006/relationships/settings" Target="settings.xml"/><Relationship Id="rId9" Type="http://schemas.openxmlformats.org/officeDocument/2006/relationships/hyperlink" Target="https://www.thecse.com/en/listings/mining/graycliff-exploration-limit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9173-1419-5C4C-A8DD-29724D68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Brunetzky</dc:creator>
  <cp:keywords/>
  <dc:description/>
  <cp:lastModifiedBy>Nick Konkin</cp:lastModifiedBy>
  <cp:revision>3</cp:revision>
  <dcterms:created xsi:type="dcterms:W3CDTF">2020-12-16T00:59:00Z</dcterms:created>
  <dcterms:modified xsi:type="dcterms:W3CDTF">2020-12-16T01:00:00Z</dcterms:modified>
</cp:coreProperties>
</file>