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F3545" w14:textId="77777777" w:rsidR="00CD2DAA" w:rsidRPr="009D7E0F" w:rsidRDefault="00CD2DAA" w:rsidP="00CD2DAA">
      <w:pPr>
        <w:pStyle w:val="Heading1"/>
        <w:tabs>
          <w:tab w:val="right" w:pos="9189"/>
        </w:tabs>
        <w:rPr>
          <w:rFonts w:asciiTheme="minorHAnsi" w:hAnsiTheme="minorHAnsi" w:cstheme="minorHAnsi"/>
          <w:sz w:val="24"/>
          <w:szCs w:val="24"/>
        </w:rPr>
      </w:pPr>
      <w:r w:rsidRPr="009D7E0F">
        <w:rPr>
          <w:rFonts w:asciiTheme="minorHAnsi" w:hAnsiTheme="minorHAnsi" w:cstheme="minorHAnsi"/>
          <w:sz w:val="24"/>
          <w:szCs w:val="24"/>
        </w:rPr>
        <w:t xml:space="preserve">FOR IMMEDIATE RELEASE  </w:t>
      </w:r>
    </w:p>
    <w:p w14:paraId="6B951F92" w14:textId="77777777" w:rsidR="00CD2DAA" w:rsidRPr="009D7E0F" w:rsidRDefault="00CD2DAA" w:rsidP="00CD2DAA">
      <w:pPr>
        <w:pStyle w:val="NoSpacing"/>
        <w:jc w:val="center"/>
        <w:rPr>
          <w:rFonts w:cstheme="minorHAnsi"/>
        </w:rPr>
      </w:pPr>
    </w:p>
    <w:p w14:paraId="5C254ADE" w14:textId="05B7F124" w:rsidR="00DD1659" w:rsidRPr="009D7E0F" w:rsidRDefault="00341B04" w:rsidP="00DD1659">
      <w:pPr>
        <w:pStyle w:val="NoSpacing"/>
        <w:jc w:val="center"/>
        <w:rPr>
          <w:rFonts w:cstheme="minorHAnsi"/>
          <w:b/>
          <w:bCs/>
          <w:sz w:val="26"/>
          <w:szCs w:val="26"/>
        </w:rPr>
      </w:pPr>
      <w:r>
        <w:rPr>
          <w:rFonts w:cstheme="minorHAnsi"/>
          <w:b/>
          <w:bCs/>
          <w:sz w:val="26"/>
          <w:szCs w:val="26"/>
        </w:rPr>
        <w:t xml:space="preserve">NORAM </w:t>
      </w:r>
      <w:r w:rsidR="00DD1659">
        <w:rPr>
          <w:rFonts w:cstheme="minorHAnsi"/>
          <w:b/>
          <w:bCs/>
          <w:sz w:val="26"/>
          <w:szCs w:val="26"/>
        </w:rPr>
        <w:t>SUCCESSFULLY PERMITTED FOR 5 ADDITIONAL HOLES TO DEPTHS OF 500</w:t>
      </w:r>
      <w:r w:rsidR="00EC53B6">
        <w:rPr>
          <w:rFonts w:cstheme="minorHAnsi"/>
          <w:b/>
          <w:bCs/>
          <w:sz w:val="26"/>
          <w:szCs w:val="26"/>
        </w:rPr>
        <w:t xml:space="preserve"> </w:t>
      </w:r>
      <w:r w:rsidR="00DD1659">
        <w:rPr>
          <w:rFonts w:cstheme="minorHAnsi"/>
          <w:b/>
          <w:bCs/>
          <w:sz w:val="26"/>
          <w:szCs w:val="26"/>
        </w:rPr>
        <w:t>FT (152</w:t>
      </w:r>
      <w:r w:rsidR="00EC53B6">
        <w:rPr>
          <w:rFonts w:cstheme="minorHAnsi"/>
          <w:b/>
          <w:bCs/>
          <w:sz w:val="26"/>
          <w:szCs w:val="26"/>
        </w:rPr>
        <w:t xml:space="preserve"> </w:t>
      </w:r>
      <w:r w:rsidR="00DD1659">
        <w:rPr>
          <w:rFonts w:cstheme="minorHAnsi"/>
          <w:b/>
          <w:bCs/>
          <w:sz w:val="26"/>
          <w:szCs w:val="26"/>
        </w:rPr>
        <w:t>M): DRILLS CVZ-64 TO A DEPTH OF 422</w:t>
      </w:r>
      <w:r w:rsidR="00EC53B6">
        <w:rPr>
          <w:rFonts w:cstheme="minorHAnsi"/>
          <w:b/>
          <w:bCs/>
          <w:sz w:val="26"/>
          <w:szCs w:val="26"/>
        </w:rPr>
        <w:t xml:space="preserve"> </w:t>
      </w:r>
      <w:r w:rsidR="00DD1659">
        <w:rPr>
          <w:rFonts w:cstheme="minorHAnsi"/>
          <w:b/>
          <w:bCs/>
          <w:sz w:val="26"/>
          <w:szCs w:val="26"/>
        </w:rPr>
        <w:t xml:space="preserve">FT </w:t>
      </w:r>
      <w:r w:rsidR="009F1FAB">
        <w:rPr>
          <w:rFonts w:cstheme="minorHAnsi"/>
          <w:b/>
          <w:bCs/>
          <w:sz w:val="26"/>
          <w:szCs w:val="26"/>
        </w:rPr>
        <w:t>(129</w:t>
      </w:r>
      <w:r w:rsidR="00EC53B6">
        <w:rPr>
          <w:rFonts w:cstheme="minorHAnsi"/>
          <w:b/>
          <w:bCs/>
          <w:sz w:val="26"/>
          <w:szCs w:val="26"/>
        </w:rPr>
        <w:t xml:space="preserve"> </w:t>
      </w:r>
      <w:r w:rsidR="009F1FAB">
        <w:rPr>
          <w:rFonts w:cstheme="minorHAnsi"/>
          <w:b/>
          <w:bCs/>
          <w:sz w:val="26"/>
          <w:szCs w:val="26"/>
        </w:rPr>
        <w:t>M)</w:t>
      </w:r>
    </w:p>
    <w:p w14:paraId="64FAE40B" w14:textId="32FD373F" w:rsidR="00DD1659" w:rsidRDefault="00CD2DAA" w:rsidP="00617260">
      <w:pPr>
        <w:pStyle w:val="NormalWeb"/>
        <w:jc w:val="both"/>
        <w:rPr>
          <w:rFonts w:asciiTheme="minorHAnsi" w:hAnsiTheme="minorHAnsi" w:cstheme="minorHAnsi"/>
          <w:sz w:val="22"/>
          <w:szCs w:val="22"/>
        </w:rPr>
      </w:pPr>
      <w:r w:rsidRPr="00617260">
        <w:rPr>
          <w:rFonts w:asciiTheme="minorHAnsi" w:hAnsiTheme="minorHAnsi" w:cstheme="minorHAnsi"/>
          <w:sz w:val="22"/>
          <w:szCs w:val="22"/>
        </w:rPr>
        <w:t xml:space="preserve">Vancouver, British Columbia – December </w:t>
      </w:r>
      <w:r w:rsidR="00DD1659">
        <w:rPr>
          <w:rFonts w:asciiTheme="minorHAnsi" w:hAnsiTheme="minorHAnsi" w:cstheme="minorHAnsi"/>
          <w:sz w:val="22"/>
          <w:szCs w:val="22"/>
        </w:rPr>
        <w:t>17</w:t>
      </w:r>
      <w:r w:rsidRPr="00617260">
        <w:rPr>
          <w:rFonts w:asciiTheme="minorHAnsi" w:hAnsiTheme="minorHAnsi" w:cstheme="minorHAnsi"/>
          <w:sz w:val="22"/>
          <w:szCs w:val="22"/>
        </w:rPr>
        <w:t xml:space="preserve">, 2020 – </w:t>
      </w:r>
      <w:proofErr w:type="spellStart"/>
      <w:r w:rsidRPr="00617260">
        <w:rPr>
          <w:rFonts w:asciiTheme="minorHAnsi" w:hAnsiTheme="minorHAnsi" w:cstheme="minorHAnsi"/>
          <w:sz w:val="22"/>
          <w:szCs w:val="22"/>
        </w:rPr>
        <w:t>Noram</w:t>
      </w:r>
      <w:proofErr w:type="spellEnd"/>
      <w:r w:rsidRPr="00617260">
        <w:rPr>
          <w:rFonts w:asciiTheme="minorHAnsi" w:hAnsiTheme="minorHAnsi" w:cstheme="minorHAnsi"/>
          <w:sz w:val="22"/>
          <w:szCs w:val="22"/>
        </w:rPr>
        <w:t xml:space="preserve"> Ventures Inc. (“</w:t>
      </w:r>
      <w:proofErr w:type="spellStart"/>
      <w:r w:rsidRPr="00617260">
        <w:rPr>
          <w:rFonts w:asciiTheme="minorHAnsi" w:hAnsiTheme="minorHAnsi" w:cstheme="minorHAnsi"/>
          <w:sz w:val="22"/>
          <w:szCs w:val="22"/>
        </w:rPr>
        <w:t>Noram</w:t>
      </w:r>
      <w:proofErr w:type="spellEnd"/>
      <w:r w:rsidRPr="00617260">
        <w:rPr>
          <w:rFonts w:asciiTheme="minorHAnsi" w:hAnsiTheme="minorHAnsi" w:cstheme="minorHAnsi"/>
          <w:sz w:val="22"/>
          <w:szCs w:val="22"/>
        </w:rPr>
        <w:t>”</w:t>
      </w:r>
      <w:r w:rsidR="00BC5BC6" w:rsidRPr="00617260">
        <w:rPr>
          <w:rFonts w:asciiTheme="minorHAnsi" w:hAnsiTheme="minorHAnsi" w:cstheme="minorHAnsi"/>
          <w:sz w:val="22"/>
          <w:szCs w:val="22"/>
        </w:rPr>
        <w:t xml:space="preserve"> or the “Company”</w:t>
      </w:r>
      <w:r w:rsidRPr="00617260">
        <w:rPr>
          <w:rFonts w:asciiTheme="minorHAnsi" w:hAnsiTheme="minorHAnsi" w:cstheme="minorHAnsi"/>
          <w:sz w:val="22"/>
          <w:szCs w:val="22"/>
        </w:rPr>
        <w:t>)</w:t>
      </w:r>
      <w:r w:rsidR="00BC5BC6" w:rsidRPr="00617260">
        <w:rPr>
          <w:rFonts w:asciiTheme="minorHAnsi" w:hAnsiTheme="minorHAnsi" w:cstheme="minorHAnsi"/>
          <w:sz w:val="22"/>
          <w:szCs w:val="22"/>
        </w:rPr>
        <w:t xml:space="preserve"> </w:t>
      </w:r>
      <w:r w:rsidRPr="00617260">
        <w:rPr>
          <w:rFonts w:asciiTheme="minorHAnsi" w:hAnsiTheme="minorHAnsi" w:cstheme="minorHAnsi"/>
          <w:sz w:val="22"/>
          <w:szCs w:val="22"/>
        </w:rPr>
        <w:t xml:space="preserve">(TSX - Venture: NRM / Frankfurt: N7R / OTCQB: NRVTF) </w:t>
      </w:r>
      <w:r w:rsidR="00BC5BC6" w:rsidRPr="00617260">
        <w:rPr>
          <w:rFonts w:asciiTheme="minorHAnsi" w:hAnsiTheme="minorHAnsi" w:cstheme="minorHAnsi"/>
          <w:sz w:val="22"/>
          <w:szCs w:val="22"/>
        </w:rPr>
        <w:t xml:space="preserve">is pleased to announce that the Company </w:t>
      </w:r>
      <w:r w:rsidR="00E565F9" w:rsidRPr="00617260">
        <w:rPr>
          <w:rFonts w:asciiTheme="minorHAnsi" w:hAnsiTheme="minorHAnsi" w:cstheme="minorHAnsi"/>
          <w:sz w:val="22"/>
          <w:szCs w:val="22"/>
        </w:rPr>
        <w:t xml:space="preserve">has </w:t>
      </w:r>
      <w:r w:rsidR="00F005B8" w:rsidRPr="00617260">
        <w:rPr>
          <w:rFonts w:asciiTheme="minorHAnsi" w:hAnsiTheme="minorHAnsi" w:cstheme="minorHAnsi"/>
          <w:sz w:val="22"/>
          <w:szCs w:val="22"/>
        </w:rPr>
        <w:t xml:space="preserve">received </w:t>
      </w:r>
      <w:r w:rsidR="00DD1659">
        <w:rPr>
          <w:rFonts w:asciiTheme="minorHAnsi" w:hAnsiTheme="minorHAnsi" w:cstheme="minorHAnsi"/>
          <w:sz w:val="22"/>
          <w:szCs w:val="22"/>
        </w:rPr>
        <w:t>approval from the Bureau of Land Management (“BLM”) to complete an additional 5 holes up to depths of 500</w:t>
      </w:r>
      <w:r w:rsidR="00EC53B6">
        <w:rPr>
          <w:rFonts w:asciiTheme="minorHAnsi" w:hAnsiTheme="minorHAnsi" w:cstheme="minorHAnsi"/>
          <w:sz w:val="22"/>
          <w:szCs w:val="22"/>
        </w:rPr>
        <w:t xml:space="preserve"> </w:t>
      </w:r>
      <w:r w:rsidR="00DD1659">
        <w:rPr>
          <w:rFonts w:asciiTheme="minorHAnsi" w:hAnsiTheme="minorHAnsi" w:cstheme="minorHAnsi"/>
          <w:sz w:val="22"/>
          <w:szCs w:val="22"/>
        </w:rPr>
        <w:t>ft as part of the Phase V Drill Program. As a result of successfully drilling the longest intersections to date</w:t>
      </w:r>
      <w:r w:rsidR="009F1FAB">
        <w:rPr>
          <w:rFonts w:asciiTheme="minorHAnsi" w:hAnsiTheme="minorHAnsi" w:cstheme="minorHAnsi"/>
          <w:sz w:val="22"/>
          <w:szCs w:val="22"/>
        </w:rPr>
        <w:t xml:space="preserve"> during this campaign</w:t>
      </w:r>
      <w:r w:rsidR="00DD1659">
        <w:rPr>
          <w:rFonts w:asciiTheme="minorHAnsi" w:hAnsiTheme="minorHAnsi" w:cstheme="minorHAnsi"/>
          <w:sz w:val="22"/>
          <w:szCs w:val="22"/>
        </w:rPr>
        <w:t>, the permitting depth was increased from 400</w:t>
      </w:r>
      <w:r w:rsidR="00EC53B6">
        <w:rPr>
          <w:rFonts w:asciiTheme="minorHAnsi" w:hAnsiTheme="minorHAnsi" w:cstheme="minorHAnsi"/>
          <w:sz w:val="22"/>
          <w:szCs w:val="22"/>
        </w:rPr>
        <w:t xml:space="preserve"> </w:t>
      </w:r>
      <w:r w:rsidR="00DD1659">
        <w:rPr>
          <w:rFonts w:asciiTheme="minorHAnsi" w:hAnsiTheme="minorHAnsi" w:cstheme="minorHAnsi"/>
          <w:sz w:val="22"/>
          <w:szCs w:val="22"/>
        </w:rPr>
        <w:t>ft (122</w:t>
      </w:r>
      <w:r w:rsidR="00EC53B6">
        <w:rPr>
          <w:rFonts w:asciiTheme="minorHAnsi" w:hAnsiTheme="minorHAnsi" w:cstheme="minorHAnsi"/>
          <w:sz w:val="22"/>
          <w:szCs w:val="22"/>
        </w:rPr>
        <w:t xml:space="preserve"> </w:t>
      </w:r>
      <w:r w:rsidR="00DD1659">
        <w:rPr>
          <w:rFonts w:asciiTheme="minorHAnsi" w:hAnsiTheme="minorHAnsi" w:cstheme="minorHAnsi"/>
          <w:sz w:val="22"/>
          <w:szCs w:val="22"/>
        </w:rPr>
        <w:t>m) to 500</w:t>
      </w:r>
      <w:r w:rsidR="00EC53B6">
        <w:rPr>
          <w:rFonts w:asciiTheme="minorHAnsi" w:hAnsiTheme="minorHAnsi" w:cstheme="minorHAnsi"/>
          <w:sz w:val="22"/>
          <w:szCs w:val="22"/>
        </w:rPr>
        <w:t xml:space="preserve"> </w:t>
      </w:r>
      <w:r w:rsidR="00DD1659">
        <w:rPr>
          <w:rFonts w:asciiTheme="minorHAnsi" w:hAnsiTheme="minorHAnsi" w:cstheme="minorHAnsi"/>
          <w:sz w:val="22"/>
          <w:szCs w:val="22"/>
        </w:rPr>
        <w:t>ft (152</w:t>
      </w:r>
      <w:r w:rsidR="00EC53B6">
        <w:rPr>
          <w:rFonts w:asciiTheme="minorHAnsi" w:hAnsiTheme="minorHAnsi" w:cstheme="minorHAnsi"/>
          <w:sz w:val="22"/>
          <w:szCs w:val="22"/>
        </w:rPr>
        <w:t xml:space="preserve"> </w:t>
      </w:r>
      <w:r w:rsidR="00DD1659">
        <w:rPr>
          <w:rFonts w:asciiTheme="minorHAnsi" w:hAnsiTheme="minorHAnsi" w:cstheme="minorHAnsi"/>
          <w:sz w:val="22"/>
          <w:szCs w:val="22"/>
        </w:rPr>
        <w:t xml:space="preserve">m). </w:t>
      </w:r>
    </w:p>
    <w:p w14:paraId="49A1C874" w14:textId="229B1897" w:rsidR="00DD1659" w:rsidRDefault="009F1FAB" w:rsidP="009F1FAB">
      <w:pPr>
        <w:pStyle w:val="NormalWeb"/>
        <w:jc w:val="center"/>
        <w:rPr>
          <w:rFonts w:asciiTheme="minorHAnsi" w:hAnsiTheme="minorHAnsi" w:cstheme="minorHAnsi"/>
          <w:sz w:val="22"/>
          <w:szCs w:val="22"/>
        </w:rPr>
      </w:pPr>
      <w:r w:rsidRPr="009F1FAB">
        <w:rPr>
          <w:rFonts w:asciiTheme="minorHAnsi" w:hAnsiTheme="minorHAnsi" w:cstheme="minorHAnsi"/>
          <w:noProof/>
          <w:sz w:val="22"/>
          <w:szCs w:val="22"/>
        </w:rPr>
        <w:drawing>
          <wp:inline distT="0" distB="0" distL="0" distR="0" wp14:anchorId="330B213D" wp14:editId="009E0F74">
            <wp:extent cx="4014424" cy="4065891"/>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7"/>
                    <a:stretch>
                      <a:fillRect/>
                    </a:stretch>
                  </pic:blipFill>
                  <pic:spPr>
                    <a:xfrm>
                      <a:off x="0" y="0"/>
                      <a:ext cx="4027472" cy="4079106"/>
                    </a:xfrm>
                    <a:prstGeom prst="rect">
                      <a:avLst/>
                    </a:prstGeom>
                  </pic:spPr>
                </pic:pic>
              </a:graphicData>
            </a:graphic>
          </wp:inline>
        </w:drawing>
      </w:r>
    </w:p>
    <w:p w14:paraId="0320A445" w14:textId="77777777" w:rsidR="009F1FAB" w:rsidRPr="00617260" w:rsidRDefault="009F1FAB" w:rsidP="009F1FAB">
      <w:pPr>
        <w:jc w:val="both"/>
        <w:rPr>
          <w:rFonts w:cstheme="minorHAnsi"/>
          <w:b/>
          <w:bCs/>
          <w:sz w:val="18"/>
          <w:szCs w:val="18"/>
        </w:rPr>
      </w:pPr>
      <w:r w:rsidRPr="006009D1">
        <w:rPr>
          <w:rFonts w:cstheme="minorHAnsi"/>
          <w:b/>
          <w:bCs/>
          <w:sz w:val="18"/>
          <w:szCs w:val="18"/>
        </w:rPr>
        <w:t>Figure 1. Zeus Property map showing a) location of current Indicated and Inferred resources at &gt;900ppm Li cut-off; b) location of drill sites</w:t>
      </w:r>
      <w:r>
        <w:rPr>
          <w:rFonts w:cstheme="minorHAnsi"/>
          <w:b/>
          <w:bCs/>
          <w:sz w:val="18"/>
          <w:szCs w:val="18"/>
        </w:rPr>
        <w:t xml:space="preserve"> completed or in progress (seen in green) to date</w:t>
      </w:r>
      <w:r w:rsidRPr="006009D1">
        <w:rPr>
          <w:rFonts w:cstheme="minorHAnsi"/>
          <w:b/>
          <w:bCs/>
          <w:sz w:val="18"/>
          <w:szCs w:val="18"/>
        </w:rPr>
        <w:t xml:space="preserve"> for </w:t>
      </w:r>
      <w:r>
        <w:rPr>
          <w:rFonts w:cstheme="minorHAnsi"/>
          <w:b/>
          <w:bCs/>
          <w:sz w:val="18"/>
          <w:szCs w:val="18"/>
        </w:rPr>
        <w:t xml:space="preserve">the </w:t>
      </w:r>
      <w:r w:rsidRPr="006009D1">
        <w:rPr>
          <w:rFonts w:cstheme="minorHAnsi"/>
          <w:b/>
          <w:bCs/>
          <w:sz w:val="18"/>
          <w:szCs w:val="18"/>
        </w:rPr>
        <w:t>Phase V 2020 program.</w:t>
      </w:r>
      <w:r>
        <w:rPr>
          <w:rFonts w:cstheme="minorHAnsi"/>
          <w:b/>
          <w:bCs/>
          <w:sz w:val="18"/>
          <w:szCs w:val="18"/>
        </w:rPr>
        <w:t xml:space="preserve"> Proposed drill sites not yet explored indicated in white. </w:t>
      </w:r>
    </w:p>
    <w:p w14:paraId="2827CBB8" w14:textId="75E8D8C8" w:rsidR="009F1FAB" w:rsidRDefault="009F1FAB" w:rsidP="00EC53B6">
      <w:pPr>
        <w:jc w:val="both"/>
      </w:pPr>
      <w:r>
        <w:t>CVZ-64 was completed at a depth of 422 ft (129</w:t>
      </w:r>
      <w:r w:rsidR="00EC53B6">
        <w:t xml:space="preserve"> </w:t>
      </w:r>
      <w:r>
        <w:t>m)</w:t>
      </w:r>
      <w:r w:rsidR="00EC53B6">
        <w:t xml:space="preserve"> and </w:t>
      </w:r>
      <w:r w:rsidR="00032F64">
        <w:t xml:space="preserve">potentially </w:t>
      </w:r>
      <w:r w:rsidR="00EC53B6">
        <w:t>mineralized claystone was apparent near surface at 22 ft (7 m)</w:t>
      </w:r>
      <w:r>
        <w:t>.  It contained approximately 240</w:t>
      </w:r>
      <w:r w:rsidR="00EC53B6">
        <w:t xml:space="preserve"> </w:t>
      </w:r>
      <w:r>
        <w:t>f</w:t>
      </w:r>
      <w:r w:rsidR="00EC53B6">
        <w:t>t</w:t>
      </w:r>
      <w:r>
        <w:t xml:space="preserve"> (73</w:t>
      </w:r>
      <w:r w:rsidR="00EC53B6">
        <w:t xml:space="preserve"> m</w:t>
      </w:r>
      <w:r>
        <w:t xml:space="preserve">) of promising </w:t>
      </w:r>
      <w:proofErr w:type="spellStart"/>
      <w:r>
        <w:t>claystones</w:t>
      </w:r>
      <w:proofErr w:type="spellEnd"/>
      <w:r>
        <w:t xml:space="preserve"> of olive, black and blue colors.  These type clays have contained high lithium values in drill holes from past Zeus Project drilling campaigns.  CVZ-64 had olive clays from 22 – 109</w:t>
      </w:r>
      <w:r w:rsidR="00EC53B6">
        <w:t>f</w:t>
      </w:r>
      <w:r>
        <w:t>t (7 – 33</w:t>
      </w:r>
      <w:r w:rsidR="00EC53B6">
        <w:t>m</w:t>
      </w:r>
      <w:r>
        <w:t xml:space="preserve">), black and blue </w:t>
      </w:r>
      <w:proofErr w:type="spellStart"/>
      <w:r>
        <w:t>claystones</w:t>
      </w:r>
      <w:proofErr w:type="spellEnd"/>
      <w:r>
        <w:t xml:space="preserve"> from 109 </w:t>
      </w:r>
      <w:r>
        <w:lastRenderedPageBreak/>
        <w:t xml:space="preserve">– 212 ft (33 – 65 m) and blue </w:t>
      </w:r>
      <w:proofErr w:type="spellStart"/>
      <w:r>
        <w:t>claystones</w:t>
      </w:r>
      <w:proofErr w:type="spellEnd"/>
      <w:r>
        <w:t xml:space="preserve"> from 212 – 268 ft (65 – 82 m).  Below this, the core hole intersected variably colored </w:t>
      </w:r>
      <w:proofErr w:type="spellStart"/>
      <w:r>
        <w:t>claystones</w:t>
      </w:r>
      <w:proofErr w:type="spellEnd"/>
      <w:r>
        <w:t xml:space="preserve"> that were gray, brown, blue and olive in color.  This hole is out in an area that has not been tested by drilling to these depths, so it is unknown whether the lower units (below 268 ft) will contain the higher lithium grades anticipated for the upper part of this drill hole.  </w:t>
      </w:r>
    </w:p>
    <w:p w14:paraId="1583701F" w14:textId="7B72D396" w:rsidR="00F1196D" w:rsidRDefault="00EC53B6" w:rsidP="00EC53B6">
      <w:pPr>
        <w:jc w:val="both"/>
        <w:rPr>
          <w:rFonts w:ascii="TimesNewRomanPSMT" w:hAnsi="TimesNewRomanPSMT"/>
        </w:rPr>
      </w:pPr>
      <w:r>
        <w:t>“</w:t>
      </w:r>
      <w:r w:rsidR="009F1FAB">
        <w:t xml:space="preserve">Holes CVZ-63 and CVZ-64 were both drilled near the northeastern extent of the Zeus property.  It is encouraging to note that both drill holes contain substantial thicknesses of the same </w:t>
      </w:r>
      <w:proofErr w:type="spellStart"/>
      <w:r w:rsidR="009F1FAB">
        <w:t>claystones</w:t>
      </w:r>
      <w:proofErr w:type="spellEnd"/>
      <w:r w:rsidR="009F1FAB">
        <w:t xml:space="preserve"> that were used to define the previously reported indicated and inferred lithium resource tonnages.  Since the </w:t>
      </w:r>
      <w:proofErr w:type="spellStart"/>
      <w:r w:rsidR="009F1FAB">
        <w:t>claystones</w:t>
      </w:r>
      <w:proofErr w:type="spellEnd"/>
      <w:r w:rsidR="009F1FAB">
        <w:t xml:space="preserve"> are blanket-like lakebed sediments, these two drill holes establish that the </w:t>
      </w:r>
      <w:proofErr w:type="spellStart"/>
      <w:r w:rsidR="009F1FAB">
        <w:t>claystones</w:t>
      </w:r>
      <w:proofErr w:type="spellEnd"/>
      <w:r w:rsidR="009F1FAB">
        <w:t xml:space="preserve"> are present from the southwest to the northeast corners of the Zeus property, a distance of approximately 4 kilometers</w:t>
      </w:r>
      <w:r w:rsidR="00293B07">
        <w:rPr>
          <w:rFonts w:cstheme="minorHAnsi"/>
        </w:rPr>
        <w:t>” commented</w:t>
      </w:r>
      <w:r w:rsidR="00293B07" w:rsidRPr="00293B07">
        <w:rPr>
          <w:rFonts w:cstheme="minorHAnsi"/>
        </w:rPr>
        <w:t xml:space="preserve"> Brad Peek, consulting geologist and Qualified Person for this and all 4 of the previous drilling phases of </w:t>
      </w:r>
      <w:proofErr w:type="spellStart"/>
      <w:r w:rsidR="00293B07" w:rsidRPr="00293B07">
        <w:rPr>
          <w:rFonts w:cstheme="minorHAnsi"/>
        </w:rPr>
        <w:t>Noram’s</w:t>
      </w:r>
      <w:proofErr w:type="spellEnd"/>
      <w:r w:rsidR="00293B07" w:rsidRPr="00293B07">
        <w:rPr>
          <w:rFonts w:cstheme="minorHAnsi"/>
        </w:rPr>
        <w:t xml:space="preserve"> Zeus lithium property.</w:t>
      </w:r>
      <w:r w:rsidR="00293B07">
        <w:rPr>
          <w:rFonts w:ascii="TimesNewRomanPSMT" w:hAnsi="TimesNewRomanPSMT"/>
        </w:rPr>
        <w:t xml:space="preserve"> </w:t>
      </w:r>
    </w:p>
    <w:p w14:paraId="7F2C2AD5" w14:textId="2B7CA61A" w:rsidR="004E46CA" w:rsidRPr="00293B07" w:rsidRDefault="000F0EA4" w:rsidP="004E46CA">
      <w:pPr>
        <w:jc w:val="center"/>
      </w:pPr>
      <w:r>
        <w:rPr>
          <w:noProof/>
        </w:rPr>
        <w:drawing>
          <wp:inline distT="0" distB="0" distL="0" distR="0" wp14:anchorId="67FCF71A" wp14:editId="6EA0A178">
            <wp:extent cx="5534025" cy="415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4025" cy="4152900"/>
                    </a:xfrm>
                    <a:prstGeom prst="rect">
                      <a:avLst/>
                    </a:prstGeom>
                  </pic:spPr>
                </pic:pic>
              </a:graphicData>
            </a:graphic>
          </wp:inline>
        </w:drawing>
      </w:r>
    </w:p>
    <w:p w14:paraId="78FDD64D" w14:textId="70E65BC4" w:rsidR="004E46CA" w:rsidRPr="004E46CA" w:rsidRDefault="004E46CA" w:rsidP="00EC53B6">
      <w:pPr>
        <w:pStyle w:val="NoSpacing"/>
        <w:rPr>
          <w:rFonts w:cstheme="minorHAnsi"/>
          <w:b/>
          <w:bCs/>
          <w:sz w:val="20"/>
          <w:szCs w:val="20"/>
        </w:rPr>
      </w:pPr>
      <w:r w:rsidRPr="004E46CA">
        <w:rPr>
          <w:rFonts w:cstheme="minorHAnsi"/>
          <w:b/>
          <w:bCs/>
          <w:sz w:val="20"/>
          <w:szCs w:val="20"/>
        </w:rPr>
        <w:t xml:space="preserve">Figure 2 – </w:t>
      </w:r>
      <w:proofErr w:type="spellStart"/>
      <w:r w:rsidRPr="004E46CA">
        <w:rPr>
          <w:rFonts w:cstheme="minorHAnsi"/>
          <w:b/>
          <w:bCs/>
          <w:sz w:val="20"/>
          <w:szCs w:val="20"/>
        </w:rPr>
        <w:t>Noram</w:t>
      </w:r>
      <w:proofErr w:type="spellEnd"/>
      <w:r w:rsidRPr="004E46CA">
        <w:rPr>
          <w:rFonts w:cstheme="minorHAnsi"/>
          <w:b/>
          <w:bCs/>
          <w:sz w:val="20"/>
          <w:szCs w:val="20"/>
        </w:rPr>
        <w:t xml:space="preserve"> drill rig operating at Site A (CVZ-63) on the northeastern extent of the Zeus Property. Albemarle’s Silver Peak lithium brine evaporation ponds visible in the background.</w:t>
      </w:r>
    </w:p>
    <w:p w14:paraId="6D3CDC9E" w14:textId="77777777" w:rsidR="004E46CA" w:rsidRDefault="004E46CA" w:rsidP="00EC53B6">
      <w:pPr>
        <w:pStyle w:val="NoSpacing"/>
        <w:rPr>
          <w:rFonts w:cstheme="minorHAnsi"/>
        </w:rPr>
      </w:pPr>
    </w:p>
    <w:p w14:paraId="540B1DC7" w14:textId="7EB175B6" w:rsidR="00881044" w:rsidRDefault="00EC53B6" w:rsidP="00EC53B6">
      <w:pPr>
        <w:pStyle w:val="NoSpacing"/>
        <w:rPr>
          <w:rFonts w:cstheme="minorHAnsi"/>
        </w:rPr>
      </w:pPr>
      <w:r>
        <w:rPr>
          <w:rFonts w:cstheme="minorHAnsi"/>
        </w:rPr>
        <w:t xml:space="preserve">Samples from CVZ-62 and CVZ-63 have been sent on a rush basis for analysis by </w:t>
      </w:r>
      <w:r w:rsidR="00881044">
        <w:rPr>
          <w:rFonts w:cstheme="minorHAnsi"/>
        </w:rPr>
        <w:t>ALS Global Laboratories, Vancouver, B.C. using the M</w:t>
      </w:r>
      <w:r w:rsidR="006435A0">
        <w:rPr>
          <w:rFonts w:cstheme="minorHAnsi"/>
        </w:rPr>
        <w:t>E</w:t>
      </w:r>
      <w:r w:rsidR="00881044">
        <w:rPr>
          <w:rFonts w:cstheme="minorHAnsi"/>
        </w:rPr>
        <w:t>-M</w:t>
      </w:r>
      <w:r w:rsidR="006435A0">
        <w:rPr>
          <w:rFonts w:cstheme="minorHAnsi"/>
        </w:rPr>
        <w:t>S</w:t>
      </w:r>
      <w:r w:rsidR="00881044">
        <w:rPr>
          <w:rFonts w:cstheme="minorHAnsi"/>
        </w:rPr>
        <w:t>61 method, which includes a four-acid digestion.</w:t>
      </w:r>
    </w:p>
    <w:p w14:paraId="2F586A87" w14:textId="77777777" w:rsidR="006435A0" w:rsidRDefault="006435A0" w:rsidP="007967FB">
      <w:pPr>
        <w:pStyle w:val="NoSpacing"/>
        <w:jc w:val="both"/>
        <w:rPr>
          <w:rFonts w:cstheme="minorHAnsi"/>
        </w:rPr>
      </w:pPr>
    </w:p>
    <w:p w14:paraId="4235AD6D" w14:textId="7302F8AE" w:rsidR="007967FB" w:rsidRPr="009D7E0F" w:rsidRDefault="007967FB" w:rsidP="00EC53B6">
      <w:pPr>
        <w:pStyle w:val="NoSpacing"/>
        <w:jc w:val="both"/>
        <w:rPr>
          <w:rFonts w:cstheme="minorHAnsi"/>
          <w:bCs/>
        </w:rPr>
      </w:pPr>
      <w:r w:rsidRPr="009D7E0F">
        <w:rPr>
          <w:rFonts w:cstheme="minorHAnsi"/>
        </w:rPr>
        <w:t>The technical information contained in this news release has been reviewed and approved by Brad Peek.,</w:t>
      </w:r>
      <w:r w:rsidRPr="009D7E0F">
        <w:rPr>
          <w:rFonts w:cstheme="minorHAnsi"/>
          <w:bCs/>
        </w:rPr>
        <w:t xml:space="preserve"> M.Sc., CPG, who is a Qualified Person with respect to </w:t>
      </w:r>
      <w:proofErr w:type="spellStart"/>
      <w:r w:rsidRPr="009D7E0F">
        <w:rPr>
          <w:rFonts w:cstheme="minorHAnsi"/>
          <w:bCs/>
        </w:rPr>
        <w:t>Noram’s</w:t>
      </w:r>
      <w:proofErr w:type="spellEnd"/>
      <w:r w:rsidRPr="009D7E0F">
        <w:rPr>
          <w:rFonts w:cstheme="minorHAnsi"/>
          <w:bCs/>
        </w:rPr>
        <w:t xml:space="preserve"> Clayton Valley Lithium Project as defined under National Instrument 43-101.</w:t>
      </w:r>
    </w:p>
    <w:p w14:paraId="7D140F00" w14:textId="77777777" w:rsidR="007967FB" w:rsidRPr="009D7E0F" w:rsidRDefault="007967FB" w:rsidP="007967FB">
      <w:pPr>
        <w:pStyle w:val="NoSpacing"/>
        <w:jc w:val="both"/>
        <w:rPr>
          <w:rFonts w:cstheme="minorHAnsi"/>
        </w:rPr>
      </w:pPr>
    </w:p>
    <w:p w14:paraId="67127613" w14:textId="4A4899E2" w:rsidR="009D5906" w:rsidRPr="00617260" w:rsidRDefault="00CD2DAA" w:rsidP="009D7E0F">
      <w:pPr>
        <w:rPr>
          <w:rFonts w:cstheme="minorHAnsi"/>
        </w:rPr>
      </w:pPr>
      <w:r w:rsidRPr="00617260">
        <w:rPr>
          <w:rFonts w:cstheme="minorHAnsi"/>
          <w:b/>
          <w:u w:val="single"/>
        </w:rPr>
        <w:lastRenderedPageBreak/>
        <w:t xml:space="preserve">About </w:t>
      </w:r>
      <w:proofErr w:type="spellStart"/>
      <w:r w:rsidRPr="00617260">
        <w:rPr>
          <w:rFonts w:cstheme="minorHAnsi"/>
          <w:b/>
          <w:u w:val="single"/>
        </w:rPr>
        <w:t>Noram</w:t>
      </w:r>
      <w:proofErr w:type="spellEnd"/>
      <w:r w:rsidRPr="00617260">
        <w:rPr>
          <w:rFonts w:cstheme="minorHAnsi"/>
          <w:b/>
          <w:u w:val="single"/>
        </w:rPr>
        <w:t xml:space="preserve"> Ventures Inc.</w:t>
      </w:r>
    </w:p>
    <w:p w14:paraId="2CFF26EB" w14:textId="2998F994" w:rsidR="00617260" w:rsidRPr="00617260" w:rsidRDefault="00CD2DAA" w:rsidP="00617260">
      <w:pPr>
        <w:pStyle w:val="NormalWeb"/>
        <w:jc w:val="both"/>
        <w:rPr>
          <w:rFonts w:asciiTheme="minorHAnsi" w:hAnsiTheme="minorHAnsi" w:cstheme="minorHAnsi"/>
          <w:sz w:val="22"/>
          <w:szCs w:val="22"/>
        </w:rPr>
      </w:pPr>
      <w:proofErr w:type="spellStart"/>
      <w:r w:rsidRPr="00617260">
        <w:rPr>
          <w:rFonts w:asciiTheme="minorHAnsi" w:hAnsiTheme="minorHAnsi" w:cstheme="minorHAnsi"/>
          <w:sz w:val="22"/>
          <w:szCs w:val="22"/>
        </w:rPr>
        <w:t>Noram</w:t>
      </w:r>
      <w:proofErr w:type="spellEnd"/>
      <w:r w:rsidRPr="00617260">
        <w:rPr>
          <w:rFonts w:asciiTheme="minorHAnsi" w:hAnsiTheme="minorHAnsi" w:cstheme="minorHAnsi"/>
          <w:sz w:val="22"/>
          <w:szCs w:val="22"/>
        </w:rPr>
        <w:t xml:space="preserve"> Ventures Inc. (TSX - Venture: NRM / Frankfurt: N7R / OTCQB: NRVTF) is a Canadian based junior exploration company, with a goal of developing lithium deposits and becoming a low - cost supplier. The Company’s primary business</w:t>
      </w:r>
      <w:r w:rsidR="00617260" w:rsidRPr="00617260">
        <w:rPr>
          <w:rFonts w:asciiTheme="minorHAnsi" w:hAnsiTheme="minorHAnsi" w:cstheme="minorHAnsi"/>
          <w:sz w:val="22"/>
          <w:szCs w:val="22"/>
        </w:rPr>
        <w:t xml:space="preserve"> is the Zeus Lithium Project (“Zeus”) in Clayton Valley, Nevada</w:t>
      </w:r>
      <w:r w:rsidRPr="00617260">
        <w:rPr>
          <w:rFonts w:asciiTheme="minorHAnsi" w:hAnsiTheme="minorHAnsi" w:cstheme="minorHAnsi"/>
          <w:sz w:val="22"/>
          <w:szCs w:val="22"/>
        </w:rPr>
        <w:t xml:space="preserve">. </w:t>
      </w:r>
      <w:r w:rsidR="00617260" w:rsidRPr="00617260">
        <w:rPr>
          <w:rFonts w:asciiTheme="minorHAnsi" w:hAnsiTheme="minorHAnsi" w:cstheme="minorHAnsi"/>
          <w:sz w:val="22"/>
          <w:szCs w:val="22"/>
        </w:rPr>
        <w:t xml:space="preserve">The Zeus Project has a current resource estimate of </w:t>
      </w:r>
      <w:r w:rsidR="00617260" w:rsidRPr="00617260">
        <w:rPr>
          <w:rFonts w:asciiTheme="minorHAnsi" w:hAnsiTheme="minorHAnsi" w:cstheme="minorHAnsi"/>
          <w:b/>
          <w:bCs/>
          <w:sz w:val="22"/>
          <w:szCs w:val="22"/>
        </w:rPr>
        <w:t xml:space="preserve">124 million </w:t>
      </w:r>
      <w:proofErr w:type="spellStart"/>
      <w:r w:rsidR="00617260" w:rsidRPr="00617260">
        <w:rPr>
          <w:rFonts w:asciiTheme="minorHAnsi" w:hAnsiTheme="minorHAnsi" w:cstheme="minorHAnsi"/>
          <w:b/>
          <w:bCs/>
          <w:sz w:val="22"/>
          <w:szCs w:val="22"/>
        </w:rPr>
        <w:t>tonnes</w:t>
      </w:r>
      <w:proofErr w:type="spellEnd"/>
      <w:r w:rsidR="00617260" w:rsidRPr="00617260">
        <w:rPr>
          <w:rFonts w:asciiTheme="minorHAnsi" w:hAnsiTheme="minorHAnsi" w:cstheme="minorHAnsi"/>
          <w:b/>
          <w:bCs/>
          <w:sz w:val="22"/>
          <w:szCs w:val="22"/>
        </w:rPr>
        <w:t xml:space="preserve"> at 1136 ppm lithium as Indicated Resources, and 77 million </w:t>
      </w:r>
      <w:proofErr w:type="spellStart"/>
      <w:r w:rsidR="00617260" w:rsidRPr="00617260">
        <w:rPr>
          <w:rFonts w:asciiTheme="minorHAnsi" w:hAnsiTheme="minorHAnsi" w:cstheme="minorHAnsi"/>
          <w:b/>
          <w:bCs/>
          <w:sz w:val="22"/>
          <w:szCs w:val="22"/>
        </w:rPr>
        <w:t>tonnes</w:t>
      </w:r>
      <w:proofErr w:type="spellEnd"/>
      <w:r w:rsidR="00617260" w:rsidRPr="00617260">
        <w:rPr>
          <w:rFonts w:asciiTheme="minorHAnsi" w:hAnsiTheme="minorHAnsi" w:cstheme="minorHAnsi"/>
          <w:b/>
          <w:bCs/>
          <w:sz w:val="22"/>
          <w:szCs w:val="22"/>
        </w:rPr>
        <w:t xml:space="preserve"> lithium at 1045 ppm lithium as Inferred Resources </w:t>
      </w:r>
      <w:r w:rsidR="00617260" w:rsidRPr="00617260">
        <w:rPr>
          <w:rFonts w:asciiTheme="minorHAnsi" w:hAnsiTheme="minorHAnsi" w:cstheme="minorHAnsi"/>
          <w:sz w:val="22"/>
          <w:szCs w:val="22"/>
        </w:rPr>
        <w:t xml:space="preserve">(900 ppm Li cut-off: 1.18 million </w:t>
      </w:r>
      <w:proofErr w:type="spellStart"/>
      <w:r w:rsidR="00617260" w:rsidRPr="00617260">
        <w:rPr>
          <w:rFonts w:asciiTheme="minorHAnsi" w:hAnsiTheme="minorHAnsi" w:cstheme="minorHAnsi"/>
          <w:sz w:val="22"/>
          <w:szCs w:val="22"/>
        </w:rPr>
        <w:t>tonnes</w:t>
      </w:r>
      <w:proofErr w:type="spellEnd"/>
      <w:r w:rsidR="00617260" w:rsidRPr="00617260">
        <w:rPr>
          <w:rFonts w:asciiTheme="minorHAnsi" w:hAnsiTheme="minorHAnsi" w:cstheme="minorHAnsi"/>
          <w:sz w:val="22"/>
          <w:szCs w:val="22"/>
        </w:rPr>
        <w:t xml:space="preserve"> lithium carbonate equivalent – “LCE”</w:t>
      </w:r>
      <w:r w:rsidR="00617260">
        <w:rPr>
          <w:rFonts w:asciiTheme="minorHAnsi" w:hAnsiTheme="minorHAnsi" w:cstheme="minorHAnsi"/>
          <w:sz w:val="22"/>
          <w:szCs w:val="22"/>
        </w:rPr>
        <w:t>.</w:t>
      </w:r>
    </w:p>
    <w:p w14:paraId="43856AF9" w14:textId="0BE03FFC" w:rsidR="00CD2DAA" w:rsidRPr="009D7E0F" w:rsidRDefault="00CD2DAA" w:rsidP="009D5906">
      <w:pPr>
        <w:jc w:val="both"/>
        <w:rPr>
          <w:rFonts w:cstheme="minorHAnsi"/>
          <w:b/>
          <w:u w:val="single"/>
        </w:rPr>
      </w:pPr>
      <w:proofErr w:type="spellStart"/>
      <w:r w:rsidRPr="009D7E0F">
        <w:rPr>
          <w:rFonts w:cstheme="minorHAnsi"/>
        </w:rPr>
        <w:t>Noram’s</w:t>
      </w:r>
      <w:proofErr w:type="spellEnd"/>
      <w:r w:rsidRPr="009D7E0F">
        <w:rPr>
          <w:rFonts w:cstheme="minorHAnsi"/>
        </w:rPr>
        <w:t xml:space="preserve"> long term strategy is to build a multi-national lithium minerals company to produce and sell lithium into the markets of Europe, North America and Asia. </w:t>
      </w:r>
    </w:p>
    <w:p w14:paraId="04BE31BF" w14:textId="52469737" w:rsidR="00CD2DAA" w:rsidRPr="009D7E0F" w:rsidRDefault="00CD2DAA" w:rsidP="00CD2DAA">
      <w:pPr>
        <w:pStyle w:val="NoSpacing"/>
        <w:rPr>
          <w:rFonts w:cstheme="minorHAnsi"/>
        </w:rPr>
      </w:pPr>
      <w:r w:rsidRPr="009D7E0F">
        <w:rPr>
          <w:rFonts w:cstheme="minorHAnsi"/>
        </w:rPr>
        <w:t xml:space="preserve">Please visit our web site for further information: </w:t>
      </w:r>
      <w:hyperlink r:id="rId9" w:history="1">
        <w:r w:rsidRPr="009D7E0F">
          <w:rPr>
            <w:rStyle w:val="Hyperlink"/>
            <w:rFonts w:asciiTheme="minorHAnsi" w:hAnsiTheme="minorHAnsi" w:cstheme="minorHAnsi"/>
            <w:sz w:val="22"/>
          </w:rPr>
          <w:t>www.noramventures.com</w:t>
        </w:r>
      </w:hyperlink>
      <w:r w:rsidRPr="009D7E0F">
        <w:rPr>
          <w:rFonts w:cstheme="minorHAnsi"/>
        </w:rPr>
        <w:t xml:space="preserve"> </w:t>
      </w:r>
    </w:p>
    <w:p w14:paraId="0F871E11" w14:textId="77777777" w:rsidR="00CD2DAA" w:rsidRPr="009D7E0F" w:rsidRDefault="00CD2DAA" w:rsidP="00CD2DAA">
      <w:pPr>
        <w:pStyle w:val="NoSpacing"/>
        <w:rPr>
          <w:rFonts w:cstheme="minorHAnsi"/>
        </w:rPr>
      </w:pPr>
    </w:p>
    <w:p w14:paraId="4D99360F" w14:textId="77777777" w:rsidR="00CD2DAA" w:rsidRPr="009D7E0F" w:rsidRDefault="00CD2DAA" w:rsidP="00CD2DAA">
      <w:pPr>
        <w:pStyle w:val="NoSpacing"/>
        <w:rPr>
          <w:rFonts w:cstheme="minorHAnsi"/>
          <w:b/>
          <w:bCs/>
        </w:rPr>
      </w:pPr>
      <w:r w:rsidRPr="009D7E0F">
        <w:rPr>
          <w:rFonts w:cstheme="minorHAnsi"/>
          <w:b/>
          <w:bCs/>
        </w:rPr>
        <w:t>ON BEHALF OF THE BOARD OF DIRECTORS</w:t>
      </w:r>
    </w:p>
    <w:p w14:paraId="09BBCD05" w14:textId="77777777" w:rsidR="00CD2DAA" w:rsidRPr="009D7E0F" w:rsidRDefault="00CD2DAA" w:rsidP="00CD2DAA">
      <w:pPr>
        <w:pStyle w:val="NoSpacing"/>
        <w:rPr>
          <w:rFonts w:cstheme="minorHAnsi"/>
          <w:i/>
          <w:sz w:val="24"/>
          <w:szCs w:val="24"/>
        </w:rPr>
      </w:pPr>
      <w:r w:rsidRPr="009D7E0F">
        <w:rPr>
          <w:rFonts w:cstheme="minorHAnsi"/>
          <w:i/>
        </w:rPr>
        <w:t xml:space="preserve">/s/ </w:t>
      </w:r>
      <w:r w:rsidRPr="009D7E0F">
        <w:rPr>
          <w:rFonts w:cstheme="minorHAnsi"/>
          <w:i/>
          <w:sz w:val="24"/>
          <w:szCs w:val="24"/>
        </w:rPr>
        <w:t>“Anita Algie.”</w:t>
      </w:r>
    </w:p>
    <w:p w14:paraId="04B4FE0E" w14:textId="77777777" w:rsidR="00CD2DAA" w:rsidRPr="009D7E0F" w:rsidRDefault="00CD2DAA" w:rsidP="00CD2DAA">
      <w:pPr>
        <w:pStyle w:val="NoSpacing"/>
        <w:rPr>
          <w:rFonts w:cstheme="minorHAnsi"/>
        </w:rPr>
      </w:pPr>
      <w:r w:rsidRPr="009D7E0F">
        <w:rPr>
          <w:rFonts w:cstheme="minorHAnsi"/>
        </w:rPr>
        <w:t>Director and CFO</w:t>
      </w:r>
    </w:p>
    <w:p w14:paraId="2E830C45" w14:textId="77777777" w:rsidR="00CD2DAA" w:rsidRPr="009D7E0F" w:rsidRDefault="00CD2DAA" w:rsidP="00CD2DAA">
      <w:pPr>
        <w:pStyle w:val="NoSpacing"/>
        <w:rPr>
          <w:rFonts w:cstheme="minorHAnsi"/>
        </w:rPr>
      </w:pPr>
      <w:r w:rsidRPr="009D7E0F">
        <w:rPr>
          <w:rFonts w:cstheme="minorHAnsi"/>
        </w:rPr>
        <w:t>Office: (604) 553-2279</w:t>
      </w:r>
    </w:p>
    <w:p w14:paraId="747A7AD8" w14:textId="77777777" w:rsidR="00CD2DAA" w:rsidRPr="006E1438" w:rsidRDefault="00CD2DAA" w:rsidP="00CD2DAA">
      <w:pPr>
        <w:pStyle w:val="NoSpacing"/>
        <w:jc w:val="both"/>
        <w:rPr>
          <w:rFonts w:ascii="Times New Roman" w:hAnsi="Times New Roman" w:cs="Times New Roman"/>
          <w:i/>
          <w:sz w:val="14"/>
          <w:szCs w:val="14"/>
        </w:rPr>
      </w:pPr>
      <w:r w:rsidRPr="006E1438">
        <w:rPr>
          <w:rFonts w:ascii="Times New Roman" w:hAnsi="Times New Roman" w:cs="Times New Roman"/>
          <w:i/>
          <w:sz w:val="28"/>
          <w:szCs w:val="28"/>
        </w:rPr>
        <w:br/>
      </w:r>
      <w:r w:rsidRPr="006E1438">
        <w:rPr>
          <w:rFonts w:ascii="Times New Roman" w:hAnsi="Times New Roman" w:cs="Times New Roman"/>
          <w:i/>
          <w:sz w:val="14"/>
          <w:szCs w:val="14"/>
        </w:rPr>
        <w:t xml:space="preserve">Neither the TSX Venture Exchange nor its Regulation Services Provider (as that term is defined in the policies of the TSX Venture Exchange) accepts responsibility for the adequacy or accuracy of this release. This news release may contain forward-looking information which is not comprised of historical facts. Forward-looking information involves risks, uncertainties and other factors that could cause actual events, results, performance, prospects and opportunities to differ materially from those expressed or implied by such forward-looking information. Forward-looking information in this news release includes statements regarding, among other things, the completion transactions completed in the Agreement. Factors that could cause actual results to differ materially from such forward-looking information include, but are not limited to, regulatory approval processes. Although </w:t>
      </w:r>
      <w:proofErr w:type="spellStart"/>
      <w:r w:rsidRPr="006E1438">
        <w:rPr>
          <w:rFonts w:ascii="Times New Roman" w:hAnsi="Times New Roman" w:cs="Times New Roman"/>
          <w:i/>
          <w:sz w:val="14"/>
          <w:szCs w:val="14"/>
        </w:rPr>
        <w:t>Noram</w:t>
      </w:r>
      <w:proofErr w:type="spellEnd"/>
      <w:r w:rsidRPr="006E1438">
        <w:rPr>
          <w:rFonts w:ascii="Times New Roman" w:hAnsi="Times New Roman" w:cs="Times New Roman"/>
          <w:i/>
          <w:sz w:val="14"/>
          <w:szCs w:val="14"/>
        </w:rPr>
        <w:t xml:space="preserve"> believes that the assumptions used in preparing the forward-looking information in this news release are reasonable, including that all necessary regulatory approvals will be obtained in a timely manner, undue reliance should not be placed on such information, which only applies as of the date of this news release, and no assurance can be given that such events will occur in the disclosed time frames or at all. </w:t>
      </w:r>
      <w:proofErr w:type="spellStart"/>
      <w:r w:rsidRPr="006E1438">
        <w:rPr>
          <w:rFonts w:ascii="Times New Roman" w:hAnsi="Times New Roman" w:cs="Times New Roman"/>
          <w:i/>
          <w:sz w:val="14"/>
          <w:szCs w:val="14"/>
        </w:rPr>
        <w:t>Noram</w:t>
      </w:r>
      <w:proofErr w:type="spellEnd"/>
      <w:r w:rsidRPr="006E1438">
        <w:rPr>
          <w:rFonts w:ascii="Times New Roman" w:hAnsi="Times New Roman" w:cs="Times New Roman"/>
          <w:i/>
          <w:sz w:val="14"/>
          <w:szCs w:val="14"/>
        </w:rPr>
        <w:t xml:space="preserve"> disclaims any intention or obligation to update or revise any forward-looking information, whether as a result of new information, future events or otherwise, other than as required by applicable securities laws.</w:t>
      </w:r>
    </w:p>
    <w:p w14:paraId="071B67E5" w14:textId="77777777" w:rsidR="00CD2DAA" w:rsidRPr="006E1438" w:rsidRDefault="00CD2DAA" w:rsidP="00CD2DAA">
      <w:pPr>
        <w:pStyle w:val="NoSpacing"/>
        <w:rPr>
          <w:rFonts w:ascii="Times New Roman" w:hAnsi="Times New Roman" w:cs="Times New Roman"/>
          <w:sz w:val="24"/>
          <w:szCs w:val="24"/>
        </w:rPr>
      </w:pPr>
    </w:p>
    <w:sectPr w:rsidR="00CD2DAA" w:rsidRPr="006E1438" w:rsidSect="00CD2DAA">
      <w:headerReference w:type="first" r:id="rId10"/>
      <w:pgSz w:w="12240" w:h="15840"/>
      <w:pgMar w:top="1440" w:right="1440" w:bottom="12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41910" w14:textId="77777777" w:rsidR="00EB1AE1" w:rsidRDefault="00EB1AE1" w:rsidP="00CD2DAA">
      <w:pPr>
        <w:spacing w:after="0" w:line="240" w:lineRule="auto"/>
      </w:pPr>
      <w:r>
        <w:separator/>
      </w:r>
    </w:p>
  </w:endnote>
  <w:endnote w:type="continuationSeparator" w:id="0">
    <w:p w14:paraId="6FA62BD0" w14:textId="77777777" w:rsidR="00EB1AE1" w:rsidRDefault="00EB1AE1" w:rsidP="00CD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ኀ"/>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5D29D" w14:textId="77777777" w:rsidR="00EB1AE1" w:rsidRDefault="00EB1AE1" w:rsidP="00CD2DAA">
      <w:pPr>
        <w:spacing w:after="0" w:line="240" w:lineRule="auto"/>
      </w:pPr>
      <w:r>
        <w:separator/>
      </w:r>
    </w:p>
  </w:footnote>
  <w:footnote w:type="continuationSeparator" w:id="0">
    <w:p w14:paraId="14BF1280" w14:textId="77777777" w:rsidR="00EB1AE1" w:rsidRDefault="00EB1AE1" w:rsidP="00CD2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CE8D" w14:textId="5BD3D025" w:rsidR="00CD2DAA" w:rsidRDefault="00CD2DAA" w:rsidP="00CD2DAA">
    <w:pPr>
      <w:pStyle w:val="Header"/>
      <w:ind w:left="-360"/>
      <w:jc w:val="right"/>
    </w:pPr>
    <w:r>
      <w:rPr>
        <w:noProof/>
      </w:rPr>
      <mc:AlternateContent>
        <mc:Choice Requires="wps">
          <w:drawing>
            <wp:anchor distT="0" distB="0" distL="114300" distR="114300" simplePos="0" relativeHeight="251659264" behindDoc="0" locked="0" layoutInCell="1" allowOverlap="1" wp14:anchorId="1E4DF7F7" wp14:editId="22356201">
              <wp:simplePos x="0" y="0"/>
              <wp:positionH relativeFrom="column">
                <wp:posOffset>0</wp:posOffset>
              </wp:positionH>
              <wp:positionV relativeFrom="paragraph">
                <wp:posOffset>57150</wp:posOffset>
              </wp:positionV>
              <wp:extent cx="1676400" cy="762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990F73" w14:textId="77777777" w:rsidR="00CD2DAA" w:rsidRPr="00CD2DAA" w:rsidRDefault="00CD2DAA" w:rsidP="00CD2DAA">
                          <w:pPr>
                            <w:pStyle w:val="NoSpacing"/>
                            <w:rPr>
                              <w:rFonts w:ascii="Times New Roman" w:hAnsi="Times New Roman" w:cs="Times New Roman"/>
                              <w:b/>
                              <w:bCs/>
                              <w:sz w:val="24"/>
                              <w:szCs w:val="24"/>
                            </w:rPr>
                          </w:pPr>
                          <w:r w:rsidRPr="00CD2DAA">
                            <w:rPr>
                              <w:rFonts w:ascii="Times New Roman" w:hAnsi="Times New Roman" w:cs="Times New Roman"/>
                              <w:b/>
                              <w:bCs/>
                              <w:sz w:val="24"/>
                              <w:szCs w:val="24"/>
                            </w:rPr>
                            <w:t>TSX.V: NRM</w:t>
                          </w:r>
                        </w:p>
                        <w:p w14:paraId="3AF2AFA8" w14:textId="77777777" w:rsidR="00CD2DAA" w:rsidRPr="00CD2DAA" w:rsidRDefault="00CD2DAA" w:rsidP="00CD2DAA">
                          <w:pPr>
                            <w:pStyle w:val="NoSpacing"/>
                            <w:rPr>
                              <w:rFonts w:ascii="Times New Roman" w:hAnsi="Times New Roman" w:cs="Times New Roman"/>
                              <w:b/>
                              <w:bCs/>
                              <w:sz w:val="24"/>
                              <w:szCs w:val="24"/>
                            </w:rPr>
                          </w:pPr>
                          <w:r w:rsidRPr="00CD2DAA">
                            <w:rPr>
                              <w:rFonts w:ascii="Times New Roman" w:hAnsi="Times New Roman" w:cs="Times New Roman"/>
                              <w:b/>
                              <w:bCs/>
                              <w:sz w:val="24"/>
                              <w:szCs w:val="24"/>
                            </w:rPr>
                            <w:t>Frankfurt: N7R</w:t>
                          </w:r>
                          <w:r w:rsidRPr="00CD2DAA">
                            <w:rPr>
                              <w:rFonts w:ascii="Times New Roman" w:hAnsi="Times New Roman" w:cs="Times New Roman"/>
                              <w:b/>
                              <w:bCs/>
                              <w:color w:val="000000" w:themeColor="text1"/>
                              <w:sz w:val="24"/>
                              <w:szCs w:val="24"/>
                            </w:rPr>
                            <w:t xml:space="preserve"> OTCQB: NRVTF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4DF7F7" id="_x0000_t202" coordsize="21600,21600" o:spt="202" path="m,l,21600r21600,l21600,xe">
              <v:stroke joinstyle="miter"/>
              <v:path gradientshapeok="t" o:connecttype="rect"/>
            </v:shapetype>
            <v:shape id="Text Box 2" o:spid="_x0000_s1026" type="#_x0000_t202" style="position:absolute;left:0;text-align:left;margin-left:0;margin-top:4.5pt;width:132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" filled="f" stroked="f">
              <v:textbox>
                <w:txbxContent>
                  <w:p w14:paraId="70990F73" w14:textId="77777777" w:rsidR="00CD2DAA" w:rsidRPr="00CD2DAA" w:rsidRDefault="00CD2DAA" w:rsidP="00CD2DAA">
                    <w:pPr>
                      <w:pStyle w:val="NoSpacing"/>
                      <w:rPr>
                        <w:rFonts w:ascii="Times New Roman" w:hAnsi="Times New Roman" w:cs="Times New Roman"/>
                        <w:b/>
                        <w:bCs/>
                        <w:sz w:val="24"/>
                        <w:szCs w:val="24"/>
                      </w:rPr>
                    </w:pPr>
                    <w:r w:rsidRPr="00CD2DAA">
                      <w:rPr>
                        <w:rFonts w:ascii="Times New Roman" w:hAnsi="Times New Roman" w:cs="Times New Roman"/>
                        <w:b/>
                        <w:bCs/>
                        <w:sz w:val="24"/>
                        <w:szCs w:val="24"/>
                      </w:rPr>
                      <w:t>TSX.V: NRM</w:t>
                    </w:r>
                  </w:p>
                  <w:p w14:paraId="3AF2AFA8" w14:textId="77777777" w:rsidR="00CD2DAA" w:rsidRPr="00CD2DAA" w:rsidRDefault="00CD2DAA" w:rsidP="00CD2DAA">
                    <w:pPr>
                      <w:pStyle w:val="NoSpacing"/>
                      <w:rPr>
                        <w:rFonts w:ascii="Times New Roman" w:hAnsi="Times New Roman" w:cs="Times New Roman"/>
                        <w:b/>
                        <w:bCs/>
                        <w:sz w:val="24"/>
                        <w:szCs w:val="24"/>
                      </w:rPr>
                    </w:pPr>
                    <w:r w:rsidRPr="00CD2DAA">
                      <w:rPr>
                        <w:rFonts w:ascii="Times New Roman" w:hAnsi="Times New Roman" w:cs="Times New Roman"/>
                        <w:b/>
                        <w:bCs/>
                        <w:sz w:val="24"/>
                        <w:szCs w:val="24"/>
                      </w:rPr>
                      <w:t>Frankfurt: N7R</w:t>
                    </w:r>
                    <w:r w:rsidRPr="00CD2DAA">
                      <w:rPr>
                        <w:rFonts w:ascii="Times New Roman" w:hAnsi="Times New Roman" w:cs="Times New Roman"/>
                        <w:b/>
                        <w:bCs/>
                        <w:color w:val="000000" w:themeColor="text1"/>
                        <w:sz w:val="24"/>
                        <w:szCs w:val="24"/>
                      </w:rPr>
                      <w:t xml:space="preserve"> OTCQB: NRVTF</w:t>
                    </w:r>
                  </w:p>
                </w:txbxContent>
              </v:textbox>
            </v:shape>
          </w:pict>
        </mc:Fallback>
      </mc:AlternateContent>
    </w:r>
    <w:r>
      <w:rPr>
        <w:noProof/>
      </w:rPr>
      <w:drawing>
        <wp:inline distT="0" distB="0" distL="0" distR="0" wp14:anchorId="0563B8F1" wp14:editId="5DBAA188">
          <wp:extent cx="2838450" cy="986155"/>
          <wp:effectExtent l="19050" t="0" r="0" b="0"/>
          <wp:docPr id="5" name="Picture 1" descr="NRM_N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M_NR-logo"/>
                  <pic:cNvPicPr>
                    <a:picLocks noChangeAspect="1" noChangeArrowheads="1"/>
                  </pic:cNvPicPr>
                </pic:nvPicPr>
                <pic:blipFill>
                  <a:blip r:embed="rId1"/>
                  <a:srcRect/>
                  <a:stretch>
                    <a:fillRect/>
                  </a:stretch>
                </pic:blipFill>
                <pic:spPr bwMode="auto">
                  <a:xfrm>
                    <a:off x="0" y="0"/>
                    <a:ext cx="2838450" cy="9861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4711C"/>
    <w:multiLevelType w:val="multilevel"/>
    <w:tmpl w:val="11C4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A09"/>
    <w:rsid w:val="00010C51"/>
    <w:rsid w:val="0001125E"/>
    <w:rsid w:val="00032F64"/>
    <w:rsid w:val="000563A7"/>
    <w:rsid w:val="000702D5"/>
    <w:rsid w:val="0008688D"/>
    <w:rsid w:val="000B302A"/>
    <w:rsid w:val="000F0EA4"/>
    <w:rsid w:val="0018143D"/>
    <w:rsid w:val="00192F98"/>
    <w:rsid w:val="001C33E4"/>
    <w:rsid w:val="001D10BD"/>
    <w:rsid w:val="001D55A5"/>
    <w:rsid w:val="001E2823"/>
    <w:rsid w:val="0024480D"/>
    <w:rsid w:val="00293B07"/>
    <w:rsid w:val="002F0308"/>
    <w:rsid w:val="00326E11"/>
    <w:rsid w:val="00341B04"/>
    <w:rsid w:val="00361484"/>
    <w:rsid w:val="00386921"/>
    <w:rsid w:val="004224AD"/>
    <w:rsid w:val="004C6A18"/>
    <w:rsid w:val="004D3EA2"/>
    <w:rsid w:val="004E46CA"/>
    <w:rsid w:val="00553A3E"/>
    <w:rsid w:val="00575019"/>
    <w:rsid w:val="005C7AEB"/>
    <w:rsid w:val="006009D1"/>
    <w:rsid w:val="00617260"/>
    <w:rsid w:val="006435A0"/>
    <w:rsid w:val="006570EA"/>
    <w:rsid w:val="006612B5"/>
    <w:rsid w:val="0066531D"/>
    <w:rsid w:val="006C3340"/>
    <w:rsid w:val="006E1438"/>
    <w:rsid w:val="00732694"/>
    <w:rsid w:val="007967FB"/>
    <w:rsid w:val="00834F93"/>
    <w:rsid w:val="00835E67"/>
    <w:rsid w:val="00876D2E"/>
    <w:rsid w:val="00881044"/>
    <w:rsid w:val="008870B5"/>
    <w:rsid w:val="00912A09"/>
    <w:rsid w:val="00922CF8"/>
    <w:rsid w:val="00931794"/>
    <w:rsid w:val="009512A5"/>
    <w:rsid w:val="009D5906"/>
    <w:rsid w:val="009D7E0F"/>
    <w:rsid w:val="009F1FAB"/>
    <w:rsid w:val="00A05287"/>
    <w:rsid w:val="00A83B12"/>
    <w:rsid w:val="00AB4E7A"/>
    <w:rsid w:val="00AF3C45"/>
    <w:rsid w:val="00B37537"/>
    <w:rsid w:val="00B50E45"/>
    <w:rsid w:val="00B8559B"/>
    <w:rsid w:val="00BC09B9"/>
    <w:rsid w:val="00BC5BC6"/>
    <w:rsid w:val="00BD7D7D"/>
    <w:rsid w:val="00BF2FB8"/>
    <w:rsid w:val="00C16F7F"/>
    <w:rsid w:val="00CD2DAA"/>
    <w:rsid w:val="00D2061E"/>
    <w:rsid w:val="00D43AD3"/>
    <w:rsid w:val="00DD1659"/>
    <w:rsid w:val="00E565F9"/>
    <w:rsid w:val="00E73172"/>
    <w:rsid w:val="00E91ED9"/>
    <w:rsid w:val="00EB1AE1"/>
    <w:rsid w:val="00EC516A"/>
    <w:rsid w:val="00EC53B6"/>
    <w:rsid w:val="00EE47A0"/>
    <w:rsid w:val="00F005B8"/>
    <w:rsid w:val="00F01AC8"/>
    <w:rsid w:val="00F1196D"/>
    <w:rsid w:val="00F164A6"/>
    <w:rsid w:val="00F435A5"/>
    <w:rsid w:val="00F74831"/>
    <w:rsid w:val="00F91261"/>
    <w:rsid w:val="00FC1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2854E6"/>
  <w15:chartTrackingRefBased/>
  <w15:docId w15:val="{0771FB8A-0B4D-4DBC-B720-9A04E7A73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D2DAA"/>
    <w:pPr>
      <w:keepNext/>
      <w:widowControl w:val="0"/>
      <w:autoSpaceDE w:val="0"/>
      <w:autoSpaceDN w:val="0"/>
      <w:adjustRightInd w:val="0"/>
      <w:spacing w:after="120" w:line="240" w:lineRule="auto"/>
      <w:outlineLvl w:val="0"/>
    </w:pPr>
    <w:rPr>
      <w:rFonts w:ascii="Times" w:eastAsia="Times New Roman" w:hAnsi="Times" w:cs="Times New Roman"/>
      <w:b/>
      <w:bCs/>
      <w:sz w:val="48"/>
      <w:szCs w:val="48"/>
    </w:rPr>
  </w:style>
  <w:style w:type="paragraph" w:styleId="Heading6">
    <w:name w:val="heading 6"/>
    <w:basedOn w:val="Normal"/>
    <w:next w:val="Normal"/>
    <w:link w:val="Heading6Char"/>
    <w:uiPriority w:val="9"/>
    <w:semiHidden/>
    <w:unhideWhenUsed/>
    <w:qFormat/>
    <w:rsid w:val="00CD2DA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D2DA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3E4"/>
    <w:rPr>
      <w:rFonts w:ascii="Times New Roman" w:hAnsi="Times New Roman"/>
      <w:color w:val="0000FF"/>
      <w:sz w:val="24"/>
      <w:u w:val="single"/>
    </w:rPr>
  </w:style>
  <w:style w:type="paragraph" w:styleId="NormalWeb">
    <w:name w:val="Normal (Web)"/>
    <w:basedOn w:val="Normal"/>
    <w:uiPriority w:val="99"/>
    <w:unhideWhenUsed/>
    <w:rsid w:val="006C33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4E7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4E7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B4E7A"/>
    <w:rPr>
      <w:sz w:val="16"/>
      <w:szCs w:val="16"/>
    </w:rPr>
  </w:style>
  <w:style w:type="paragraph" w:styleId="CommentText">
    <w:name w:val="annotation text"/>
    <w:basedOn w:val="Normal"/>
    <w:link w:val="CommentTextChar"/>
    <w:uiPriority w:val="99"/>
    <w:semiHidden/>
    <w:unhideWhenUsed/>
    <w:rsid w:val="00AB4E7A"/>
    <w:pPr>
      <w:spacing w:line="240" w:lineRule="auto"/>
    </w:pPr>
    <w:rPr>
      <w:sz w:val="20"/>
      <w:szCs w:val="20"/>
    </w:rPr>
  </w:style>
  <w:style w:type="character" w:customStyle="1" w:styleId="CommentTextChar">
    <w:name w:val="Comment Text Char"/>
    <w:basedOn w:val="DefaultParagraphFont"/>
    <w:link w:val="CommentText"/>
    <w:uiPriority w:val="99"/>
    <w:semiHidden/>
    <w:rsid w:val="00AB4E7A"/>
    <w:rPr>
      <w:sz w:val="20"/>
      <w:szCs w:val="20"/>
    </w:rPr>
  </w:style>
  <w:style w:type="paragraph" w:styleId="CommentSubject">
    <w:name w:val="annotation subject"/>
    <w:basedOn w:val="CommentText"/>
    <w:next w:val="CommentText"/>
    <w:link w:val="CommentSubjectChar"/>
    <w:uiPriority w:val="99"/>
    <w:semiHidden/>
    <w:unhideWhenUsed/>
    <w:rsid w:val="00AB4E7A"/>
    <w:rPr>
      <w:b/>
      <w:bCs/>
    </w:rPr>
  </w:style>
  <w:style w:type="character" w:customStyle="1" w:styleId="CommentSubjectChar">
    <w:name w:val="Comment Subject Char"/>
    <w:basedOn w:val="CommentTextChar"/>
    <w:link w:val="CommentSubject"/>
    <w:uiPriority w:val="99"/>
    <w:semiHidden/>
    <w:rsid w:val="00AB4E7A"/>
    <w:rPr>
      <w:b/>
      <w:bCs/>
      <w:sz w:val="20"/>
      <w:szCs w:val="20"/>
    </w:rPr>
  </w:style>
  <w:style w:type="paragraph" w:styleId="Header">
    <w:name w:val="header"/>
    <w:basedOn w:val="Normal"/>
    <w:link w:val="HeaderChar"/>
    <w:unhideWhenUsed/>
    <w:rsid w:val="00CD2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DAA"/>
  </w:style>
  <w:style w:type="paragraph" w:styleId="Footer">
    <w:name w:val="footer"/>
    <w:basedOn w:val="Normal"/>
    <w:link w:val="FooterChar"/>
    <w:uiPriority w:val="99"/>
    <w:unhideWhenUsed/>
    <w:rsid w:val="00CD2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DAA"/>
  </w:style>
  <w:style w:type="character" w:customStyle="1" w:styleId="Heading1Char">
    <w:name w:val="Heading 1 Char"/>
    <w:basedOn w:val="DefaultParagraphFont"/>
    <w:link w:val="Heading1"/>
    <w:rsid w:val="00CD2DAA"/>
    <w:rPr>
      <w:rFonts w:ascii="Times" w:eastAsia="Times New Roman" w:hAnsi="Times" w:cs="Times New Roman"/>
      <w:b/>
      <w:bCs/>
      <w:sz w:val="48"/>
      <w:szCs w:val="48"/>
    </w:rPr>
  </w:style>
  <w:style w:type="paragraph" w:styleId="NoSpacing">
    <w:name w:val="No Spacing"/>
    <w:uiPriority w:val="1"/>
    <w:qFormat/>
    <w:rsid w:val="00CD2DAA"/>
    <w:pPr>
      <w:spacing w:after="0" w:line="240" w:lineRule="auto"/>
    </w:pPr>
  </w:style>
  <w:style w:type="character" w:customStyle="1" w:styleId="Heading6Char">
    <w:name w:val="Heading 6 Char"/>
    <w:basedOn w:val="DefaultParagraphFont"/>
    <w:link w:val="Heading6"/>
    <w:uiPriority w:val="9"/>
    <w:semiHidden/>
    <w:rsid w:val="00CD2D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D2DAA"/>
    <w:rPr>
      <w:rFonts w:asciiTheme="majorHAnsi" w:eastAsiaTheme="majorEastAsia" w:hAnsiTheme="majorHAnsi" w:cstheme="majorBidi"/>
      <w:i/>
      <w:iCs/>
      <w:color w:val="1F4D78" w:themeColor="accent1" w:themeShade="7F"/>
    </w:rPr>
  </w:style>
  <w:style w:type="character" w:styleId="UnresolvedMention">
    <w:name w:val="Unresolved Mention"/>
    <w:basedOn w:val="DefaultParagraphFont"/>
    <w:uiPriority w:val="99"/>
    <w:semiHidden/>
    <w:unhideWhenUsed/>
    <w:rsid w:val="00CD2DAA"/>
    <w:rPr>
      <w:color w:val="605E5C"/>
      <w:shd w:val="clear" w:color="auto" w:fill="E1DFDD"/>
    </w:rPr>
  </w:style>
  <w:style w:type="character" w:styleId="FollowedHyperlink">
    <w:name w:val="FollowedHyperlink"/>
    <w:basedOn w:val="DefaultParagraphFont"/>
    <w:uiPriority w:val="99"/>
    <w:semiHidden/>
    <w:unhideWhenUsed/>
    <w:rsid w:val="00361484"/>
    <w:rPr>
      <w:color w:val="954F72" w:themeColor="followedHyperlink"/>
      <w:u w:val="single"/>
    </w:rPr>
  </w:style>
  <w:style w:type="character" w:styleId="Strong">
    <w:name w:val="Strong"/>
    <w:basedOn w:val="DefaultParagraphFont"/>
    <w:uiPriority w:val="22"/>
    <w:qFormat/>
    <w:rsid w:val="00F164A6"/>
    <w:rPr>
      <w:b/>
      <w:bCs/>
    </w:rPr>
  </w:style>
  <w:style w:type="paragraph" w:styleId="Revision">
    <w:name w:val="Revision"/>
    <w:hidden/>
    <w:uiPriority w:val="99"/>
    <w:semiHidden/>
    <w:rsid w:val="00BC0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44251">
      <w:bodyDiv w:val="1"/>
      <w:marLeft w:val="0"/>
      <w:marRight w:val="0"/>
      <w:marTop w:val="0"/>
      <w:marBottom w:val="0"/>
      <w:divBdr>
        <w:top w:val="none" w:sz="0" w:space="0" w:color="auto"/>
        <w:left w:val="none" w:sz="0" w:space="0" w:color="auto"/>
        <w:bottom w:val="none" w:sz="0" w:space="0" w:color="auto"/>
        <w:right w:val="none" w:sz="0" w:space="0" w:color="auto"/>
      </w:divBdr>
      <w:divsChild>
        <w:div w:id="1855264249">
          <w:marLeft w:val="0"/>
          <w:marRight w:val="0"/>
          <w:marTop w:val="0"/>
          <w:marBottom w:val="0"/>
          <w:divBdr>
            <w:top w:val="none" w:sz="0" w:space="0" w:color="auto"/>
            <w:left w:val="none" w:sz="0" w:space="0" w:color="auto"/>
            <w:bottom w:val="none" w:sz="0" w:space="0" w:color="auto"/>
            <w:right w:val="none" w:sz="0" w:space="0" w:color="auto"/>
          </w:divBdr>
          <w:divsChild>
            <w:div w:id="180440175">
              <w:marLeft w:val="0"/>
              <w:marRight w:val="0"/>
              <w:marTop w:val="0"/>
              <w:marBottom w:val="0"/>
              <w:divBdr>
                <w:top w:val="none" w:sz="0" w:space="0" w:color="auto"/>
                <w:left w:val="none" w:sz="0" w:space="0" w:color="auto"/>
                <w:bottom w:val="none" w:sz="0" w:space="0" w:color="auto"/>
                <w:right w:val="none" w:sz="0" w:space="0" w:color="auto"/>
              </w:divBdr>
              <w:divsChild>
                <w:div w:id="8570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4796">
      <w:bodyDiv w:val="1"/>
      <w:marLeft w:val="0"/>
      <w:marRight w:val="0"/>
      <w:marTop w:val="0"/>
      <w:marBottom w:val="0"/>
      <w:divBdr>
        <w:top w:val="none" w:sz="0" w:space="0" w:color="auto"/>
        <w:left w:val="none" w:sz="0" w:space="0" w:color="auto"/>
        <w:bottom w:val="none" w:sz="0" w:space="0" w:color="auto"/>
        <w:right w:val="none" w:sz="0" w:space="0" w:color="auto"/>
      </w:divBdr>
    </w:div>
    <w:div w:id="787239602">
      <w:bodyDiv w:val="1"/>
      <w:marLeft w:val="0"/>
      <w:marRight w:val="0"/>
      <w:marTop w:val="0"/>
      <w:marBottom w:val="0"/>
      <w:divBdr>
        <w:top w:val="none" w:sz="0" w:space="0" w:color="auto"/>
        <w:left w:val="none" w:sz="0" w:space="0" w:color="auto"/>
        <w:bottom w:val="none" w:sz="0" w:space="0" w:color="auto"/>
        <w:right w:val="none" w:sz="0" w:space="0" w:color="auto"/>
      </w:divBdr>
    </w:div>
    <w:div w:id="899251026">
      <w:bodyDiv w:val="1"/>
      <w:marLeft w:val="0"/>
      <w:marRight w:val="0"/>
      <w:marTop w:val="0"/>
      <w:marBottom w:val="0"/>
      <w:divBdr>
        <w:top w:val="none" w:sz="0" w:space="0" w:color="auto"/>
        <w:left w:val="none" w:sz="0" w:space="0" w:color="auto"/>
        <w:bottom w:val="none" w:sz="0" w:space="0" w:color="auto"/>
        <w:right w:val="none" w:sz="0" w:space="0" w:color="auto"/>
      </w:divBdr>
      <w:divsChild>
        <w:div w:id="1140656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837615">
              <w:marLeft w:val="0"/>
              <w:marRight w:val="0"/>
              <w:marTop w:val="0"/>
              <w:marBottom w:val="0"/>
              <w:divBdr>
                <w:top w:val="none" w:sz="0" w:space="0" w:color="auto"/>
                <w:left w:val="none" w:sz="0" w:space="0" w:color="auto"/>
                <w:bottom w:val="none" w:sz="0" w:space="0" w:color="auto"/>
                <w:right w:val="none" w:sz="0" w:space="0" w:color="auto"/>
              </w:divBdr>
              <w:divsChild>
                <w:div w:id="4804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2799">
      <w:bodyDiv w:val="1"/>
      <w:marLeft w:val="0"/>
      <w:marRight w:val="0"/>
      <w:marTop w:val="0"/>
      <w:marBottom w:val="0"/>
      <w:divBdr>
        <w:top w:val="none" w:sz="0" w:space="0" w:color="auto"/>
        <w:left w:val="none" w:sz="0" w:space="0" w:color="auto"/>
        <w:bottom w:val="none" w:sz="0" w:space="0" w:color="auto"/>
        <w:right w:val="none" w:sz="0" w:space="0" w:color="auto"/>
      </w:divBdr>
    </w:div>
    <w:div w:id="1313370509">
      <w:bodyDiv w:val="1"/>
      <w:marLeft w:val="0"/>
      <w:marRight w:val="0"/>
      <w:marTop w:val="0"/>
      <w:marBottom w:val="0"/>
      <w:divBdr>
        <w:top w:val="none" w:sz="0" w:space="0" w:color="auto"/>
        <w:left w:val="none" w:sz="0" w:space="0" w:color="auto"/>
        <w:bottom w:val="none" w:sz="0" w:space="0" w:color="auto"/>
        <w:right w:val="none" w:sz="0" w:space="0" w:color="auto"/>
      </w:divBdr>
    </w:div>
    <w:div w:id="1776748963">
      <w:bodyDiv w:val="1"/>
      <w:marLeft w:val="0"/>
      <w:marRight w:val="0"/>
      <w:marTop w:val="0"/>
      <w:marBottom w:val="0"/>
      <w:divBdr>
        <w:top w:val="none" w:sz="0" w:space="0" w:color="auto"/>
        <w:left w:val="none" w:sz="0" w:space="0" w:color="auto"/>
        <w:bottom w:val="none" w:sz="0" w:space="0" w:color="auto"/>
        <w:right w:val="none" w:sz="0" w:space="0" w:color="auto"/>
      </w:divBdr>
    </w:div>
    <w:div w:id="1816601360">
      <w:bodyDiv w:val="1"/>
      <w:marLeft w:val="0"/>
      <w:marRight w:val="0"/>
      <w:marTop w:val="0"/>
      <w:marBottom w:val="0"/>
      <w:divBdr>
        <w:top w:val="none" w:sz="0" w:space="0" w:color="auto"/>
        <w:left w:val="none" w:sz="0" w:space="0" w:color="auto"/>
        <w:bottom w:val="none" w:sz="0" w:space="0" w:color="auto"/>
        <w:right w:val="none" w:sz="0" w:space="0" w:color="auto"/>
      </w:divBdr>
    </w:div>
    <w:div w:id="1851531053">
      <w:bodyDiv w:val="1"/>
      <w:marLeft w:val="0"/>
      <w:marRight w:val="0"/>
      <w:marTop w:val="0"/>
      <w:marBottom w:val="0"/>
      <w:divBdr>
        <w:top w:val="none" w:sz="0" w:space="0" w:color="auto"/>
        <w:left w:val="none" w:sz="0" w:space="0" w:color="auto"/>
        <w:bottom w:val="none" w:sz="0" w:space="0" w:color="auto"/>
        <w:right w:val="none" w:sz="0" w:space="0" w:color="auto"/>
      </w:divBdr>
      <w:divsChild>
        <w:div w:id="1742672880">
          <w:marLeft w:val="0"/>
          <w:marRight w:val="0"/>
          <w:marTop w:val="0"/>
          <w:marBottom w:val="0"/>
          <w:divBdr>
            <w:top w:val="none" w:sz="0" w:space="0" w:color="auto"/>
            <w:left w:val="none" w:sz="0" w:space="0" w:color="auto"/>
            <w:bottom w:val="none" w:sz="0" w:space="0" w:color="auto"/>
            <w:right w:val="none" w:sz="0" w:space="0" w:color="auto"/>
          </w:divBdr>
          <w:divsChild>
            <w:div w:id="111365762">
              <w:marLeft w:val="0"/>
              <w:marRight w:val="0"/>
              <w:marTop w:val="0"/>
              <w:marBottom w:val="0"/>
              <w:divBdr>
                <w:top w:val="none" w:sz="0" w:space="0" w:color="auto"/>
                <w:left w:val="none" w:sz="0" w:space="0" w:color="auto"/>
                <w:bottom w:val="none" w:sz="0" w:space="0" w:color="auto"/>
                <w:right w:val="none" w:sz="0" w:space="0" w:color="auto"/>
              </w:divBdr>
              <w:divsChild>
                <w:div w:id="12070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5380">
      <w:bodyDiv w:val="1"/>
      <w:marLeft w:val="0"/>
      <w:marRight w:val="0"/>
      <w:marTop w:val="0"/>
      <w:marBottom w:val="0"/>
      <w:divBdr>
        <w:top w:val="none" w:sz="0" w:space="0" w:color="auto"/>
        <w:left w:val="none" w:sz="0" w:space="0" w:color="auto"/>
        <w:bottom w:val="none" w:sz="0" w:space="0" w:color="auto"/>
        <w:right w:val="none" w:sz="0" w:space="0" w:color="auto"/>
      </w:divBdr>
      <w:divsChild>
        <w:div w:id="1503009163">
          <w:marLeft w:val="0"/>
          <w:marRight w:val="0"/>
          <w:marTop w:val="0"/>
          <w:marBottom w:val="0"/>
          <w:divBdr>
            <w:top w:val="single" w:sz="6" w:space="8" w:color="121212"/>
            <w:left w:val="single" w:sz="6" w:space="9" w:color="121212"/>
            <w:bottom w:val="single" w:sz="6" w:space="8" w:color="121212"/>
            <w:right w:val="single" w:sz="6" w:space="9" w:color="121212"/>
          </w:divBdr>
          <w:divsChild>
            <w:div w:id="12289591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oramventur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Tucker Barrie</dc:creator>
  <cp:keywords/>
  <dc:description/>
  <cp:lastModifiedBy>Samantha Stewart</cp:lastModifiedBy>
  <cp:revision>2</cp:revision>
  <dcterms:created xsi:type="dcterms:W3CDTF">2020-12-16T06:38:00Z</dcterms:created>
  <dcterms:modified xsi:type="dcterms:W3CDTF">2020-12-16T06:38:00Z</dcterms:modified>
</cp:coreProperties>
</file>