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3511D" w14:textId="77777777" w:rsidR="00602E0C" w:rsidRPr="00B13AD3" w:rsidRDefault="00602E0C" w:rsidP="00602E0C">
      <w:pPr>
        <w:keepNext/>
        <w:jc w:val="center"/>
        <w:outlineLvl w:val="1"/>
        <w:rPr>
          <w:b/>
          <w:bCs/>
          <w:lang w:val="en-CA" w:eastAsia="en-CA"/>
        </w:rPr>
      </w:pPr>
      <w:r w:rsidRPr="00B13AD3">
        <w:rPr>
          <w:b/>
          <w:bCs/>
          <w:lang w:val="en-CA" w:eastAsia="en-CA"/>
        </w:rPr>
        <w:t>EMGOLD MINING CORPORATION</w:t>
      </w:r>
    </w:p>
    <w:p w14:paraId="1EBBA7D8" w14:textId="77777777" w:rsidR="00602E0C" w:rsidRPr="00B13AD3" w:rsidRDefault="00602E0C" w:rsidP="00602E0C">
      <w:pPr>
        <w:jc w:val="center"/>
        <w:rPr>
          <w:sz w:val="22"/>
          <w:szCs w:val="22"/>
          <w:lang w:val="en-CA" w:eastAsia="en-CA"/>
        </w:rPr>
      </w:pPr>
      <w:r w:rsidRPr="00B13AD3">
        <w:rPr>
          <w:sz w:val="22"/>
          <w:szCs w:val="22"/>
          <w:lang w:val="en-CA" w:eastAsia="en-CA"/>
        </w:rPr>
        <w:t xml:space="preserve">Suite </w:t>
      </w:r>
      <w:r w:rsidR="00D1705F">
        <w:rPr>
          <w:sz w:val="22"/>
          <w:szCs w:val="22"/>
          <w:lang w:val="en-CA" w:eastAsia="en-CA"/>
        </w:rPr>
        <w:t>1015</w:t>
      </w:r>
      <w:r w:rsidRPr="00B13AD3">
        <w:rPr>
          <w:sz w:val="22"/>
          <w:szCs w:val="22"/>
          <w:lang w:val="en-CA" w:eastAsia="en-CA"/>
        </w:rPr>
        <w:t xml:space="preserve"> – </w:t>
      </w:r>
      <w:r w:rsidR="00D1705F">
        <w:rPr>
          <w:sz w:val="22"/>
          <w:szCs w:val="22"/>
          <w:lang w:val="en-CA" w:eastAsia="en-CA"/>
        </w:rPr>
        <w:t>789 West Pender Street</w:t>
      </w:r>
    </w:p>
    <w:p w14:paraId="2022C8EF" w14:textId="77777777" w:rsidR="00602E0C" w:rsidRPr="00B13AD3" w:rsidRDefault="00602E0C" w:rsidP="00602E0C">
      <w:pPr>
        <w:jc w:val="center"/>
        <w:rPr>
          <w:sz w:val="22"/>
          <w:szCs w:val="22"/>
          <w:lang w:val="fr-FR" w:eastAsia="en-CA"/>
        </w:rPr>
      </w:pPr>
      <w:r w:rsidRPr="00B13AD3">
        <w:rPr>
          <w:sz w:val="22"/>
          <w:szCs w:val="22"/>
          <w:lang w:val="fr-FR" w:eastAsia="en-CA"/>
        </w:rPr>
        <w:t>Vancouver, B.C.  V</w:t>
      </w:r>
      <w:r w:rsidR="00D1705F">
        <w:rPr>
          <w:sz w:val="22"/>
          <w:szCs w:val="22"/>
          <w:lang w:val="fr-FR" w:eastAsia="en-CA"/>
        </w:rPr>
        <w:t>6C 1H2</w:t>
      </w:r>
    </w:p>
    <w:p w14:paraId="71834CE4" w14:textId="77777777" w:rsidR="00602E0C" w:rsidRPr="00B13AD3" w:rsidRDefault="00602E0C" w:rsidP="00602E0C">
      <w:pPr>
        <w:jc w:val="center"/>
        <w:rPr>
          <w:sz w:val="22"/>
          <w:szCs w:val="22"/>
          <w:lang w:val="fr-FR" w:eastAsia="en-CA"/>
        </w:rPr>
      </w:pPr>
      <w:r w:rsidRPr="00B13AD3">
        <w:rPr>
          <w:sz w:val="22"/>
          <w:szCs w:val="22"/>
          <w:lang w:val="fr-FR" w:eastAsia="en-CA"/>
        </w:rPr>
        <w:t>www.emgold.com</w:t>
      </w:r>
    </w:p>
    <w:p w14:paraId="5529BF63" w14:textId="77777777" w:rsidR="00602E0C" w:rsidRPr="00B13AD3" w:rsidRDefault="00602E0C" w:rsidP="00602E0C">
      <w:pPr>
        <w:rPr>
          <w:sz w:val="22"/>
          <w:szCs w:val="22"/>
          <w:lang w:val="fr-FR" w:eastAsia="en-CA"/>
        </w:rPr>
      </w:pPr>
    </w:p>
    <w:tbl>
      <w:tblPr>
        <w:tblW w:w="0" w:type="auto"/>
        <w:tblLook w:val="04A0" w:firstRow="1" w:lastRow="0" w:firstColumn="1" w:lastColumn="0" w:noHBand="0" w:noVBand="1"/>
      </w:tblPr>
      <w:tblGrid>
        <w:gridCol w:w="4676"/>
        <w:gridCol w:w="4684"/>
      </w:tblGrid>
      <w:tr w:rsidR="00602E0C" w:rsidRPr="00B13AD3" w14:paraId="2CF2D3F7" w14:textId="77777777" w:rsidTr="00975F2C">
        <w:tc>
          <w:tcPr>
            <w:tcW w:w="4932" w:type="dxa"/>
            <w:shd w:val="clear" w:color="auto" w:fill="auto"/>
          </w:tcPr>
          <w:p w14:paraId="3DA01CD8" w14:textId="500CC11F" w:rsidR="00602E0C" w:rsidRPr="00A1202D" w:rsidRDefault="00A1202D" w:rsidP="00130F31">
            <w:pPr>
              <w:rPr>
                <w:lang w:val="en-CA" w:eastAsia="en-CA"/>
              </w:rPr>
            </w:pPr>
            <w:r w:rsidRPr="00A1202D">
              <w:rPr>
                <w:sz w:val="22"/>
                <w:szCs w:val="22"/>
                <w:lang w:val="en-CA" w:eastAsia="en-CA"/>
              </w:rPr>
              <w:t xml:space="preserve">December </w:t>
            </w:r>
            <w:r w:rsidR="007821CB">
              <w:rPr>
                <w:sz w:val="22"/>
                <w:szCs w:val="22"/>
                <w:lang w:val="en-CA" w:eastAsia="en-CA"/>
              </w:rPr>
              <w:t>21</w:t>
            </w:r>
            <w:r w:rsidR="009C506D" w:rsidRPr="00A1202D">
              <w:rPr>
                <w:sz w:val="22"/>
                <w:szCs w:val="22"/>
                <w:lang w:val="en-CA" w:eastAsia="en-CA"/>
              </w:rPr>
              <w:t>,</w:t>
            </w:r>
            <w:r w:rsidR="00216A2C" w:rsidRPr="00A1202D">
              <w:rPr>
                <w:sz w:val="22"/>
                <w:szCs w:val="22"/>
                <w:lang w:val="en-CA" w:eastAsia="en-CA"/>
              </w:rPr>
              <w:t xml:space="preserve"> 20</w:t>
            </w:r>
            <w:r w:rsidR="00474D96" w:rsidRPr="00A1202D">
              <w:rPr>
                <w:sz w:val="22"/>
                <w:szCs w:val="22"/>
                <w:lang w:val="en-CA" w:eastAsia="en-CA"/>
              </w:rPr>
              <w:t>20</w:t>
            </w:r>
          </w:p>
        </w:tc>
        <w:tc>
          <w:tcPr>
            <w:tcW w:w="4932" w:type="dxa"/>
            <w:shd w:val="clear" w:color="auto" w:fill="auto"/>
          </w:tcPr>
          <w:p w14:paraId="427F692E" w14:textId="572F4FF5" w:rsidR="00602E0C" w:rsidRPr="00B13AD3" w:rsidRDefault="00602E0C" w:rsidP="00975F2C">
            <w:pPr>
              <w:jc w:val="right"/>
              <w:rPr>
                <w:lang w:val="fr-FR" w:eastAsia="en-CA"/>
              </w:rPr>
            </w:pPr>
            <w:r w:rsidRPr="00B13AD3">
              <w:rPr>
                <w:sz w:val="22"/>
                <w:szCs w:val="22"/>
                <w:lang w:val="fr-FR" w:eastAsia="en-CA"/>
              </w:rPr>
              <w:t>T</w:t>
            </w:r>
            <w:r>
              <w:rPr>
                <w:sz w:val="22"/>
                <w:szCs w:val="22"/>
                <w:lang w:val="fr-FR" w:eastAsia="en-CA"/>
              </w:rPr>
              <w:t>SX</w:t>
            </w:r>
            <w:r w:rsidRPr="00B13AD3">
              <w:rPr>
                <w:sz w:val="22"/>
                <w:szCs w:val="22"/>
                <w:lang w:val="fr-FR" w:eastAsia="en-CA"/>
              </w:rPr>
              <w:t xml:space="preserve"> Venture Exchange:  </w:t>
            </w:r>
            <w:r w:rsidRPr="00B13AD3">
              <w:rPr>
                <w:b/>
                <w:sz w:val="22"/>
                <w:szCs w:val="22"/>
                <w:lang w:val="fr-FR" w:eastAsia="en-CA"/>
              </w:rPr>
              <w:t>EMR</w:t>
            </w:r>
          </w:p>
        </w:tc>
      </w:tr>
      <w:tr w:rsidR="00602E0C" w:rsidRPr="00B13AD3" w14:paraId="73E7AB40" w14:textId="77777777" w:rsidTr="00975F2C">
        <w:tc>
          <w:tcPr>
            <w:tcW w:w="4932" w:type="dxa"/>
            <w:shd w:val="clear" w:color="auto" w:fill="auto"/>
          </w:tcPr>
          <w:p w14:paraId="7ABA84CB" w14:textId="77777777" w:rsidR="00602E0C" w:rsidRPr="00B13AD3" w:rsidRDefault="00602E0C" w:rsidP="00975F2C">
            <w:pPr>
              <w:rPr>
                <w:lang w:val="fr-FR" w:eastAsia="en-CA"/>
              </w:rPr>
            </w:pPr>
          </w:p>
        </w:tc>
        <w:tc>
          <w:tcPr>
            <w:tcW w:w="4932" w:type="dxa"/>
            <w:shd w:val="clear" w:color="auto" w:fill="auto"/>
          </w:tcPr>
          <w:p w14:paraId="60854652" w14:textId="4D1B5381" w:rsidR="00602E0C" w:rsidRPr="00B13AD3" w:rsidRDefault="00602E0C" w:rsidP="00975F2C">
            <w:pPr>
              <w:jc w:val="right"/>
              <w:rPr>
                <w:lang w:val="fr-FR" w:eastAsia="en-CA"/>
              </w:rPr>
            </w:pPr>
            <w:r w:rsidRPr="00B13AD3">
              <w:rPr>
                <w:sz w:val="22"/>
                <w:szCs w:val="22"/>
                <w:lang w:val="fr-FR" w:eastAsia="en-CA"/>
              </w:rPr>
              <w:t xml:space="preserve">OTC:  </w:t>
            </w:r>
            <w:r w:rsidRPr="00B13AD3">
              <w:rPr>
                <w:b/>
                <w:sz w:val="22"/>
                <w:szCs w:val="22"/>
                <w:lang w:val="fr-FR" w:eastAsia="en-CA"/>
              </w:rPr>
              <w:t>EGMCF</w:t>
            </w:r>
          </w:p>
        </w:tc>
      </w:tr>
      <w:tr w:rsidR="00602E0C" w:rsidRPr="00B13AD3" w14:paraId="7F1F0116" w14:textId="77777777" w:rsidTr="00975F2C">
        <w:tc>
          <w:tcPr>
            <w:tcW w:w="4932" w:type="dxa"/>
            <w:shd w:val="clear" w:color="auto" w:fill="auto"/>
          </w:tcPr>
          <w:p w14:paraId="19A1B2EF" w14:textId="77777777" w:rsidR="00602E0C" w:rsidRPr="00B13AD3" w:rsidRDefault="00602E0C" w:rsidP="00975F2C">
            <w:pPr>
              <w:rPr>
                <w:lang w:val="fr-FR" w:eastAsia="en-CA"/>
              </w:rPr>
            </w:pPr>
          </w:p>
        </w:tc>
        <w:tc>
          <w:tcPr>
            <w:tcW w:w="4932" w:type="dxa"/>
            <w:shd w:val="clear" w:color="auto" w:fill="auto"/>
          </w:tcPr>
          <w:p w14:paraId="6B5A37E3" w14:textId="3C1A18A8" w:rsidR="00602E0C" w:rsidRPr="00B13AD3" w:rsidRDefault="00602E0C" w:rsidP="00975F2C">
            <w:pPr>
              <w:jc w:val="right"/>
              <w:rPr>
                <w:lang w:val="fr-FR" w:eastAsia="en-CA"/>
              </w:rPr>
            </w:pPr>
            <w:r w:rsidRPr="00B13AD3">
              <w:rPr>
                <w:sz w:val="22"/>
                <w:szCs w:val="22"/>
                <w:lang w:val="fr-FR" w:eastAsia="en-CA"/>
              </w:rPr>
              <w:t xml:space="preserve">Frankfurt </w:t>
            </w:r>
            <w:r w:rsidR="00474D96">
              <w:rPr>
                <w:sz w:val="22"/>
                <w:szCs w:val="22"/>
                <w:lang w:val="fr-FR" w:eastAsia="en-CA"/>
              </w:rPr>
              <w:t>and Berlin</w:t>
            </w:r>
            <w:r w:rsidR="00474D96" w:rsidRPr="00B13AD3">
              <w:rPr>
                <w:sz w:val="22"/>
                <w:szCs w:val="22"/>
                <w:lang w:val="fr-FR" w:eastAsia="en-CA"/>
              </w:rPr>
              <w:t xml:space="preserve"> Exchange</w:t>
            </w:r>
            <w:r w:rsidR="00474D96">
              <w:rPr>
                <w:sz w:val="22"/>
                <w:szCs w:val="22"/>
                <w:lang w:val="fr-FR" w:eastAsia="en-CA"/>
              </w:rPr>
              <w:t>s</w:t>
            </w:r>
            <w:r w:rsidRPr="00B13AD3">
              <w:rPr>
                <w:sz w:val="22"/>
                <w:szCs w:val="22"/>
                <w:lang w:val="fr-FR" w:eastAsia="en-CA"/>
              </w:rPr>
              <w:t xml:space="preserve">:  </w:t>
            </w:r>
            <w:r w:rsidRPr="00B13AD3">
              <w:rPr>
                <w:b/>
                <w:sz w:val="22"/>
                <w:szCs w:val="22"/>
                <w:lang w:val="fr-FR" w:eastAsia="en-CA"/>
              </w:rPr>
              <w:t>EMLN</w:t>
            </w:r>
          </w:p>
        </w:tc>
      </w:tr>
    </w:tbl>
    <w:p w14:paraId="4EC124E0" w14:textId="77777777" w:rsidR="00602E0C" w:rsidRPr="00B13AD3" w:rsidRDefault="00602E0C" w:rsidP="00602E0C">
      <w:pPr>
        <w:tabs>
          <w:tab w:val="left" w:pos="5760"/>
        </w:tabs>
        <w:jc w:val="center"/>
        <w:rPr>
          <w:b/>
          <w:bCs/>
          <w:sz w:val="22"/>
          <w:szCs w:val="22"/>
          <w:lang w:val="en-CA" w:eastAsia="en-CA"/>
        </w:rPr>
      </w:pPr>
    </w:p>
    <w:p w14:paraId="0870B15B" w14:textId="22E66C32" w:rsidR="0007616F" w:rsidRDefault="00602E0C" w:rsidP="00130F31">
      <w:pPr>
        <w:jc w:val="center"/>
        <w:rPr>
          <w:b/>
        </w:rPr>
      </w:pPr>
      <w:r w:rsidRPr="00545AC0">
        <w:rPr>
          <w:b/>
        </w:rPr>
        <w:t>EMGOLD</w:t>
      </w:r>
      <w:r w:rsidR="00812740" w:rsidRPr="00545AC0">
        <w:rPr>
          <w:b/>
        </w:rPr>
        <w:t xml:space="preserve"> </w:t>
      </w:r>
      <w:r w:rsidR="0007616F">
        <w:rPr>
          <w:b/>
        </w:rPr>
        <w:t xml:space="preserve">ANNOUNCES INITIATION OF AN </w:t>
      </w:r>
    </w:p>
    <w:p w14:paraId="7CF632CD" w14:textId="7B116B04" w:rsidR="0007616F" w:rsidRDefault="0007616F" w:rsidP="00130F31">
      <w:pPr>
        <w:jc w:val="center"/>
        <w:rPr>
          <w:b/>
        </w:rPr>
      </w:pPr>
      <w:r>
        <w:rPr>
          <w:b/>
        </w:rPr>
        <w:t xml:space="preserve">AIRBORNE MAGNECTIC-RADIOMETRIC GEOPHYSICS SURVEY </w:t>
      </w:r>
    </w:p>
    <w:p w14:paraId="5859D238" w14:textId="435A5EDE" w:rsidR="00BE027B" w:rsidRDefault="0007616F" w:rsidP="00130F31">
      <w:pPr>
        <w:jc w:val="center"/>
        <w:rPr>
          <w:b/>
        </w:rPr>
      </w:pPr>
      <w:r>
        <w:rPr>
          <w:b/>
        </w:rPr>
        <w:t xml:space="preserve">AT ITS </w:t>
      </w:r>
      <w:r w:rsidR="00BE027B">
        <w:rPr>
          <w:b/>
        </w:rPr>
        <w:t>MINDORA PROPERTY, NV</w:t>
      </w:r>
    </w:p>
    <w:p w14:paraId="55018482" w14:textId="3107EE73" w:rsidR="00474D96" w:rsidRDefault="00CB6F34" w:rsidP="007821CB">
      <w:pPr>
        <w:shd w:val="clear" w:color="auto" w:fill="FFFFFF"/>
        <w:spacing w:before="100" w:beforeAutospacing="1"/>
        <w:jc w:val="both"/>
        <w:rPr>
          <w:sz w:val="22"/>
          <w:szCs w:val="22"/>
          <w:shd w:val="clear" w:color="auto" w:fill="FFFFFF"/>
        </w:rPr>
      </w:pPr>
      <w:r w:rsidRPr="00C373C9">
        <w:rPr>
          <w:b/>
          <w:sz w:val="22"/>
          <w:szCs w:val="22"/>
        </w:rPr>
        <w:t xml:space="preserve">Vancouver, British Columbia - </w:t>
      </w:r>
      <w:r w:rsidR="00602E0C" w:rsidRPr="00C373C9">
        <w:rPr>
          <w:b/>
          <w:sz w:val="22"/>
          <w:szCs w:val="22"/>
        </w:rPr>
        <w:t>Emgold Mining Corporation (TSX-V: EMR) (</w:t>
      </w:r>
      <w:r w:rsidR="00333ECE" w:rsidRPr="00C373C9">
        <w:rPr>
          <w:sz w:val="22"/>
          <w:szCs w:val="22"/>
        </w:rPr>
        <w:t>“</w:t>
      </w:r>
      <w:r w:rsidR="00602E0C" w:rsidRPr="00C373C9">
        <w:rPr>
          <w:b/>
          <w:sz w:val="22"/>
          <w:szCs w:val="22"/>
        </w:rPr>
        <w:t>Emgold</w:t>
      </w:r>
      <w:r w:rsidR="00333ECE" w:rsidRPr="00C373C9">
        <w:rPr>
          <w:sz w:val="22"/>
          <w:szCs w:val="22"/>
        </w:rPr>
        <w:t>”</w:t>
      </w:r>
      <w:r w:rsidR="00602E0C" w:rsidRPr="00C373C9">
        <w:rPr>
          <w:sz w:val="22"/>
          <w:szCs w:val="22"/>
        </w:rPr>
        <w:t xml:space="preserve"> or the "</w:t>
      </w:r>
      <w:r w:rsidR="00602E0C" w:rsidRPr="00C373C9">
        <w:rPr>
          <w:b/>
          <w:sz w:val="22"/>
          <w:szCs w:val="22"/>
        </w:rPr>
        <w:t>Company</w:t>
      </w:r>
      <w:r w:rsidR="00602E0C" w:rsidRPr="00C373C9">
        <w:rPr>
          <w:sz w:val="22"/>
          <w:szCs w:val="22"/>
        </w:rPr>
        <w:t xml:space="preserve">") </w:t>
      </w:r>
      <w:r w:rsidR="00110122" w:rsidRPr="00C373C9">
        <w:rPr>
          <w:sz w:val="22"/>
          <w:szCs w:val="22"/>
        </w:rPr>
        <w:t>is pleased to announce</w:t>
      </w:r>
      <w:r w:rsidR="00BE027B">
        <w:rPr>
          <w:sz w:val="22"/>
          <w:szCs w:val="22"/>
        </w:rPr>
        <w:t xml:space="preserve"> </w:t>
      </w:r>
      <w:r w:rsidR="0007616F">
        <w:rPr>
          <w:sz w:val="22"/>
          <w:szCs w:val="22"/>
        </w:rPr>
        <w:t xml:space="preserve">that it had contracted with Precision </w:t>
      </w:r>
      <w:proofErr w:type="spellStart"/>
      <w:r w:rsidR="0007616F">
        <w:rPr>
          <w:sz w:val="22"/>
          <w:szCs w:val="22"/>
        </w:rPr>
        <w:t>GeoSurveys</w:t>
      </w:r>
      <w:proofErr w:type="spellEnd"/>
      <w:r w:rsidR="0007616F">
        <w:rPr>
          <w:sz w:val="22"/>
          <w:szCs w:val="22"/>
        </w:rPr>
        <w:t xml:space="preserve"> Inc. to perform an airborne magnetic-radiometric survey at its Mindora Property, NV (the “</w:t>
      </w:r>
      <w:r w:rsidR="0007616F" w:rsidRPr="0007616F">
        <w:rPr>
          <w:b/>
          <w:bCs/>
          <w:sz w:val="22"/>
          <w:szCs w:val="22"/>
        </w:rPr>
        <w:t>Property</w:t>
      </w:r>
      <w:r w:rsidR="0007616F" w:rsidRPr="00B46FAC">
        <w:rPr>
          <w:sz w:val="22"/>
          <w:szCs w:val="22"/>
        </w:rPr>
        <w:t>”</w:t>
      </w:r>
      <w:r w:rsidR="0007616F">
        <w:rPr>
          <w:sz w:val="22"/>
          <w:szCs w:val="22"/>
        </w:rPr>
        <w:t>).  Plans are to conduct a 262 line</w:t>
      </w:r>
      <w:r w:rsidR="00B46FAC">
        <w:rPr>
          <w:sz w:val="22"/>
          <w:szCs w:val="22"/>
        </w:rPr>
        <w:t>-</w:t>
      </w:r>
      <w:r w:rsidR="0007616F">
        <w:rPr>
          <w:sz w:val="22"/>
          <w:szCs w:val="22"/>
        </w:rPr>
        <w:t>km survey</w:t>
      </w:r>
      <w:r w:rsidR="007821CB">
        <w:rPr>
          <w:sz w:val="22"/>
          <w:szCs w:val="22"/>
        </w:rPr>
        <w:t>,</w:t>
      </w:r>
      <w:r w:rsidR="0007616F">
        <w:rPr>
          <w:sz w:val="22"/>
          <w:szCs w:val="22"/>
        </w:rPr>
        <w:t xml:space="preserve"> covering an area of </w:t>
      </w:r>
      <w:r w:rsidR="00B46FAC">
        <w:rPr>
          <w:sz w:val="22"/>
          <w:szCs w:val="22"/>
        </w:rPr>
        <w:t xml:space="preserve">about </w:t>
      </w:r>
      <w:r w:rsidR="0007616F">
        <w:rPr>
          <w:sz w:val="22"/>
          <w:szCs w:val="22"/>
        </w:rPr>
        <w:t>11.7 square kilometers</w:t>
      </w:r>
      <w:r w:rsidR="007821CB">
        <w:rPr>
          <w:sz w:val="22"/>
          <w:szCs w:val="22"/>
        </w:rPr>
        <w:t xml:space="preserve"> consisting of the entire claim block of 147 unpatented claims.</w:t>
      </w:r>
      <w:r w:rsidR="0007616F">
        <w:rPr>
          <w:sz w:val="22"/>
          <w:szCs w:val="22"/>
        </w:rPr>
        <w:t xml:space="preserve">  The goal of the survey is to apply modern geophysics to the Property</w:t>
      </w:r>
      <w:r w:rsidR="00B46FAC">
        <w:rPr>
          <w:sz w:val="22"/>
          <w:szCs w:val="22"/>
        </w:rPr>
        <w:t xml:space="preserve"> with the goal of identifying both gold-silver and base metal exploration targets.  Results from the survey are expected in first quarter 2021.</w:t>
      </w:r>
      <w:r w:rsidR="0007616F">
        <w:rPr>
          <w:sz w:val="22"/>
          <w:szCs w:val="22"/>
        </w:rPr>
        <w:t xml:space="preserve">  </w:t>
      </w:r>
    </w:p>
    <w:p w14:paraId="528521C5" w14:textId="77777777" w:rsidR="00BE027B" w:rsidRDefault="00BE027B" w:rsidP="00BE027B">
      <w:pPr>
        <w:pStyle w:val="Default"/>
        <w:jc w:val="both"/>
        <w:rPr>
          <w:b/>
          <w:sz w:val="22"/>
          <w:szCs w:val="22"/>
          <w:u w:val="single"/>
        </w:rPr>
      </w:pPr>
    </w:p>
    <w:p w14:paraId="62398B4B" w14:textId="0924595E" w:rsidR="00BE027B" w:rsidRPr="004D018D" w:rsidRDefault="00BE027B" w:rsidP="00BE027B">
      <w:pPr>
        <w:pStyle w:val="Default"/>
        <w:jc w:val="both"/>
        <w:rPr>
          <w:b/>
          <w:sz w:val="22"/>
          <w:szCs w:val="22"/>
          <w:u w:val="single"/>
        </w:rPr>
      </w:pPr>
      <w:r w:rsidRPr="004D018D">
        <w:rPr>
          <w:b/>
          <w:sz w:val="22"/>
          <w:szCs w:val="22"/>
          <w:u w:val="single"/>
        </w:rPr>
        <w:t xml:space="preserve">About the Mindora Property </w:t>
      </w:r>
    </w:p>
    <w:p w14:paraId="54A1A598" w14:textId="77777777" w:rsidR="00BE027B" w:rsidRPr="00775398" w:rsidRDefault="00BE027B" w:rsidP="00BE027B">
      <w:pPr>
        <w:pStyle w:val="Default"/>
        <w:jc w:val="both"/>
        <w:rPr>
          <w:color w:val="auto"/>
          <w:sz w:val="22"/>
          <w:szCs w:val="22"/>
        </w:rPr>
      </w:pPr>
    </w:p>
    <w:p w14:paraId="585AA0E4" w14:textId="31387DEA" w:rsidR="00BE027B" w:rsidRPr="00775398" w:rsidRDefault="00BE027B" w:rsidP="00BE027B">
      <w:pPr>
        <w:shd w:val="clear" w:color="auto" w:fill="FFFFFF"/>
        <w:spacing w:after="240"/>
        <w:jc w:val="both"/>
        <w:textAlignment w:val="baseline"/>
        <w:rPr>
          <w:sz w:val="22"/>
          <w:szCs w:val="22"/>
        </w:rPr>
      </w:pPr>
      <w:r>
        <w:rPr>
          <w:sz w:val="22"/>
          <w:szCs w:val="22"/>
        </w:rPr>
        <w:t xml:space="preserve">Mindora </w:t>
      </w:r>
      <w:r w:rsidRPr="00775398">
        <w:rPr>
          <w:sz w:val="22"/>
          <w:szCs w:val="22"/>
        </w:rPr>
        <w:t xml:space="preserve">is a gold/silver and base metal </w:t>
      </w:r>
      <w:r>
        <w:rPr>
          <w:sz w:val="22"/>
          <w:szCs w:val="22"/>
        </w:rPr>
        <w:t xml:space="preserve">exploration </w:t>
      </w:r>
      <w:r w:rsidRPr="00775398">
        <w:rPr>
          <w:sz w:val="22"/>
          <w:szCs w:val="22"/>
        </w:rPr>
        <w:t xml:space="preserve">property located 20 miles southeast of Hawthorne, Nevada.  The gold-silver zone is an epithermal, carbonate-hosted, structurally controlled deposit in the Luning Limestone Formation. The gold-silver zone overlies a porphyry system with molybdenum mineralization. </w:t>
      </w:r>
      <w:r w:rsidR="00F65D0B">
        <w:rPr>
          <w:sz w:val="22"/>
          <w:szCs w:val="22"/>
        </w:rPr>
        <w:t xml:space="preserve"> </w:t>
      </w:r>
      <w:r w:rsidRPr="00775398">
        <w:rPr>
          <w:sz w:val="22"/>
          <w:szCs w:val="22"/>
        </w:rPr>
        <w:t>There is also evidence of copper skarn and copper porphyry mineralization on the Property.</w:t>
      </w:r>
    </w:p>
    <w:p w14:paraId="27DB4184" w14:textId="77777777" w:rsidR="00BE027B" w:rsidRPr="00775398" w:rsidRDefault="00BE027B" w:rsidP="00BE027B">
      <w:pPr>
        <w:shd w:val="clear" w:color="auto" w:fill="FFFFFF"/>
        <w:spacing w:after="240"/>
        <w:jc w:val="both"/>
        <w:textAlignment w:val="baseline"/>
        <w:rPr>
          <w:sz w:val="22"/>
          <w:szCs w:val="22"/>
        </w:rPr>
      </w:pPr>
      <w:r w:rsidRPr="00775398">
        <w:rPr>
          <w:sz w:val="22"/>
          <w:szCs w:val="22"/>
        </w:rPr>
        <w:t>The Property was discovered and worked in the late 1800’s.  In the 1920’s a limited amount of production came from a series of rich, silver-bearing veins.  During the period 1946-1948, an estimated 10,000 tons of direct-shipping ore was mined from the Property at unknown grade.</w:t>
      </w:r>
    </w:p>
    <w:p w14:paraId="216D3401" w14:textId="3AA63888" w:rsidR="00BE027B" w:rsidRPr="00775398" w:rsidRDefault="00BE027B" w:rsidP="00BE027B">
      <w:pPr>
        <w:shd w:val="clear" w:color="auto" w:fill="FFFFFF"/>
        <w:spacing w:after="240"/>
        <w:jc w:val="both"/>
        <w:textAlignment w:val="baseline"/>
        <w:rPr>
          <w:sz w:val="22"/>
          <w:szCs w:val="22"/>
        </w:rPr>
      </w:pPr>
      <w:r w:rsidRPr="00775398">
        <w:rPr>
          <w:sz w:val="22"/>
          <w:szCs w:val="22"/>
        </w:rPr>
        <w:t xml:space="preserve">In the 1970’s, geologists recognized the </w:t>
      </w:r>
      <w:r>
        <w:rPr>
          <w:sz w:val="22"/>
          <w:szCs w:val="22"/>
        </w:rPr>
        <w:t xml:space="preserve">potential for </w:t>
      </w:r>
      <w:r w:rsidRPr="00775398">
        <w:rPr>
          <w:sz w:val="22"/>
          <w:szCs w:val="22"/>
        </w:rPr>
        <w:t xml:space="preserve">epithermal </w:t>
      </w:r>
      <w:r>
        <w:rPr>
          <w:sz w:val="22"/>
          <w:szCs w:val="22"/>
        </w:rPr>
        <w:t xml:space="preserve">gold and silver </w:t>
      </w:r>
      <w:r w:rsidRPr="00775398">
        <w:rPr>
          <w:sz w:val="22"/>
          <w:szCs w:val="22"/>
        </w:rPr>
        <w:t xml:space="preserve">mineralization, and similarities to the nearby Santa Fe deposit and other carbonate-rich sediment-hosted gold deposits in Nevada.   Several companies staked the </w:t>
      </w:r>
      <w:r w:rsidR="00F65D0B">
        <w:rPr>
          <w:sz w:val="22"/>
          <w:szCs w:val="22"/>
        </w:rPr>
        <w:t>P</w:t>
      </w:r>
      <w:r w:rsidRPr="00775398">
        <w:rPr>
          <w:sz w:val="22"/>
          <w:szCs w:val="22"/>
        </w:rPr>
        <w:t>roperty during this period, did limited sampling and geophysics, and then dropped their claims.</w:t>
      </w:r>
    </w:p>
    <w:p w14:paraId="7570D60A" w14:textId="7667BCBF" w:rsidR="00BE027B" w:rsidRPr="00775398" w:rsidRDefault="00BE027B" w:rsidP="00BE027B">
      <w:pPr>
        <w:shd w:val="clear" w:color="auto" w:fill="FFFFFF"/>
        <w:spacing w:after="240"/>
        <w:jc w:val="both"/>
        <w:textAlignment w:val="baseline"/>
        <w:rPr>
          <w:sz w:val="22"/>
          <w:szCs w:val="22"/>
        </w:rPr>
      </w:pPr>
      <w:r w:rsidRPr="00775398">
        <w:rPr>
          <w:sz w:val="22"/>
          <w:szCs w:val="22"/>
        </w:rPr>
        <w:t xml:space="preserve">Hawthorne Gold Corporation acquired the property in 1979, and in the following year, brought in E&amp;B Exploration Inc. </w:t>
      </w:r>
      <w:r>
        <w:rPr>
          <w:sz w:val="22"/>
          <w:szCs w:val="22"/>
        </w:rPr>
        <w:t>(“</w:t>
      </w:r>
      <w:r w:rsidRPr="006C4E79">
        <w:rPr>
          <w:b/>
          <w:bCs/>
          <w:sz w:val="22"/>
          <w:szCs w:val="22"/>
        </w:rPr>
        <w:t>E&amp;B</w:t>
      </w:r>
      <w:r>
        <w:rPr>
          <w:sz w:val="22"/>
          <w:szCs w:val="22"/>
        </w:rPr>
        <w:t xml:space="preserve">”) </w:t>
      </w:r>
      <w:r w:rsidRPr="00775398">
        <w:rPr>
          <w:sz w:val="22"/>
          <w:szCs w:val="22"/>
        </w:rPr>
        <w:t xml:space="preserve">as a joint-venture partner and operator. E&amp;B completed programs of rock-chip sampling and trench sampling, surface and underground </w:t>
      </w:r>
      <w:r>
        <w:rPr>
          <w:sz w:val="22"/>
          <w:szCs w:val="22"/>
        </w:rPr>
        <w:t xml:space="preserve">geologic </w:t>
      </w:r>
      <w:r w:rsidRPr="00775398">
        <w:rPr>
          <w:sz w:val="22"/>
          <w:szCs w:val="22"/>
        </w:rPr>
        <w:t>mapping, geophysical surveys, and drilled approximately 31,425 ft. (9,578 m) in 134 holes (</w:t>
      </w:r>
      <w:r w:rsidR="007821CB">
        <w:rPr>
          <w:sz w:val="22"/>
          <w:szCs w:val="22"/>
        </w:rPr>
        <w:t xml:space="preserve">mostly rotary and reverse circulation, but also </w:t>
      </w:r>
      <w:r w:rsidRPr="00775398">
        <w:rPr>
          <w:sz w:val="22"/>
          <w:szCs w:val="22"/>
        </w:rPr>
        <w:t>including a water-well and two diamond core holes). E&amp;B’s work developed four known mineralized zones.</w:t>
      </w:r>
    </w:p>
    <w:p w14:paraId="04D02902" w14:textId="6AA66E0A" w:rsidR="00BE027B" w:rsidRPr="00775398" w:rsidRDefault="00BE027B" w:rsidP="00BE027B">
      <w:pPr>
        <w:shd w:val="clear" w:color="auto" w:fill="FFFFFF"/>
        <w:spacing w:after="240"/>
        <w:jc w:val="both"/>
        <w:textAlignment w:val="baseline"/>
        <w:rPr>
          <w:sz w:val="22"/>
          <w:szCs w:val="22"/>
        </w:rPr>
      </w:pPr>
      <w:r w:rsidRPr="00775398">
        <w:rPr>
          <w:sz w:val="22"/>
          <w:szCs w:val="22"/>
        </w:rPr>
        <w:t>Eureka Resources, Inc.</w:t>
      </w:r>
      <w:r>
        <w:rPr>
          <w:sz w:val="22"/>
          <w:szCs w:val="22"/>
        </w:rPr>
        <w:t>(“</w:t>
      </w:r>
      <w:r w:rsidRPr="006C4E79">
        <w:rPr>
          <w:b/>
          <w:bCs/>
          <w:sz w:val="22"/>
          <w:szCs w:val="22"/>
        </w:rPr>
        <w:t>Eureka</w:t>
      </w:r>
      <w:r>
        <w:rPr>
          <w:sz w:val="22"/>
          <w:szCs w:val="22"/>
        </w:rPr>
        <w:t>”)</w:t>
      </w:r>
      <w:r w:rsidRPr="00775398">
        <w:rPr>
          <w:sz w:val="22"/>
          <w:szCs w:val="22"/>
        </w:rPr>
        <w:t xml:space="preserve"> acquired E&amp;B’s interest in 1983. Eureka conducted IP, magnetic and VLF electromagnetic surveys, soil and rock-chip sampling and drilled an additional approximately 11,441 ft. (3,487 m) in 40 holes. In 1988, Eureka commissioned metallurgical studies and a detailed review by Kilborn Engineering with the goal of developing a small open pit gold mine.  Total drilling on the Property is therefore about 42,836 ft. (13,056 m), mostly in vertical holes in the range of 200-400 ft. (61-122 m), with a maximum drilling depth of 700 ft. (214 m).</w:t>
      </w:r>
    </w:p>
    <w:p w14:paraId="40C1F071" w14:textId="285672DC" w:rsidR="00BE027B" w:rsidRDefault="00BE027B" w:rsidP="00BE027B">
      <w:pPr>
        <w:shd w:val="clear" w:color="auto" w:fill="FFFFFF"/>
        <w:spacing w:after="240"/>
        <w:jc w:val="both"/>
        <w:textAlignment w:val="baseline"/>
        <w:rPr>
          <w:sz w:val="22"/>
          <w:szCs w:val="22"/>
        </w:rPr>
      </w:pPr>
      <w:r w:rsidRPr="00775398">
        <w:rPr>
          <w:sz w:val="22"/>
          <w:szCs w:val="22"/>
        </w:rPr>
        <w:t xml:space="preserve">The data available on the Property was generated through exploration prior to the implementation of </w:t>
      </w:r>
      <w:r>
        <w:rPr>
          <w:sz w:val="22"/>
          <w:szCs w:val="22"/>
        </w:rPr>
        <w:t>National Instrument 43-101</w:t>
      </w:r>
      <w:r w:rsidR="007821CB">
        <w:rPr>
          <w:sz w:val="22"/>
          <w:szCs w:val="22"/>
        </w:rPr>
        <w:t xml:space="preserve"> (“NI 43-101)</w:t>
      </w:r>
      <w:r>
        <w:rPr>
          <w:sz w:val="22"/>
          <w:szCs w:val="22"/>
        </w:rPr>
        <w:t>.   No mineral resources or reserves have been defined on the Property that meet NI 43-101 or CIM Standards of Disclosure.</w:t>
      </w:r>
    </w:p>
    <w:p w14:paraId="5D9A541B" w14:textId="1F81E4FE" w:rsidR="00BE027B" w:rsidRPr="00D964B8" w:rsidRDefault="00BE027B" w:rsidP="00BE027B">
      <w:pPr>
        <w:pStyle w:val="p4"/>
        <w:shd w:val="clear" w:color="auto" w:fill="FFFFFF"/>
        <w:spacing w:before="0" w:beforeAutospacing="0" w:after="0" w:afterAutospacing="0"/>
        <w:textAlignment w:val="baseline"/>
        <w:rPr>
          <w:rStyle w:val="s3"/>
          <w:b/>
          <w:bCs/>
          <w:sz w:val="22"/>
          <w:szCs w:val="22"/>
          <w:u w:val="single"/>
          <w:bdr w:val="none" w:sz="0" w:space="0" w:color="auto" w:frame="1"/>
        </w:rPr>
      </w:pPr>
      <w:r w:rsidRPr="00D964B8">
        <w:rPr>
          <w:rStyle w:val="s3"/>
          <w:b/>
          <w:bCs/>
          <w:sz w:val="22"/>
          <w:szCs w:val="22"/>
          <w:u w:val="single"/>
          <w:bdr w:val="none" w:sz="0" w:space="0" w:color="auto" w:frame="1"/>
        </w:rPr>
        <w:lastRenderedPageBreak/>
        <w:t>Qualified Person</w:t>
      </w:r>
    </w:p>
    <w:p w14:paraId="04996B73" w14:textId="77777777" w:rsidR="00BE027B" w:rsidRPr="00D964B8" w:rsidRDefault="00BE027B" w:rsidP="00BE027B">
      <w:pPr>
        <w:pStyle w:val="p4"/>
        <w:shd w:val="clear" w:color="auto" w:fill="FFFFFF"/>
        <w:spacing w:before="0" w:beforeAutospacing="0" w:after="0" w:afterAutospacing="0"/>
        <w:jc w:val="both"/>
        <w:textAlignment w:val="baseline"/>
        <w:rPr>
          <w:sz w:val="22"/>
          <w:szCs w:val="22"/>
        </w:rPr>
      </w:pPr>
    </w:p>
    <w:p w14:paraId="0CBBD3E0" w14:textId="77777777" w:rsidR="00BE027B" w:rsidRPr="00D964B8" w:rsidRDefault="00BE027B" w:rsidP="00BE027B">
      <w:pPr>
        <w:pStyle w:val="p4"/>
        <w:shd w:val="clear" w:color="auto" w:fill="FFFFFF"/>
        <w:spacing w:before="0" w:beforeAutospacing="0" w:after="0" w:afterAutospacing="0"/>
        <w:jc w:val="both"/>
        <w:textAlignment w:val="baseline"/>
        <w:rPr>
          <w:sz w:val="22"/>
          <w:szCs w:val="22"/>
        </w:rPr>
      </w:pPr>
      <w:r w:rsidRPr="00D964B8">
        <w:rPr>
          <w:rStyle w:val="s1"/>
          <w:sz w:val="22"/>
          <w:szCs w:val="22"/>
          <w:bdr w:val="none" w:sz="0" w:space="0" w:color="auto" w:frame="1"/>
        </w:rPr>
        <w:t>Robert Pease, C.P.G., a qualified person under the NI 43-101 instrument, has reviewed and approved the content of this press release.</w:t>
      </w:r>
    </w:p>
    <w:p w14:paraId="14471165" w14:textId="77777777" w:rsidR="007921B4" w:rsidRDefault="007921B4" w:rsidP="00474D96">
      <w:pPr>
        <w:shd w:val="clear" w:color="auto" w:fill="FFFFFF"/>
        <w:jc w:val="both"/>
        <w:rPr>
          <w:b/>
          <w:sz w:val="22"/>
          <w:szCs w:val="22"/>
          <w:u w:val="single"/>
          <w:lang w:val="en-CA"/>
        </w:rPr>
      </w:pPr>
    </w:p>
    <w:p w14:paraId="349D0BFB" w14:textId="685EB4B2" w:rsidR="00474D96" w:rsidRDefault="00474D96" w:rsidP="00474D96">
      <w:pPr>
        <w:shd w:val="clear" w:color="auto" w:fill="FFFFFF"/>
        <w:jc w:val="both"/>
        <w:rPr>
          <w:b/>
          <w:sz w:val="22"/>
          <w:szCs w:val="22"/>
          <w:u w:val="single"/>
          <w:lang w:val="en-CA"/>
        </w:rPr>
      </w:pPr>
      <w:r w:rsidRPr="0074200D">
        <w:rPr>
          <w:b/>
          <w:sz w:val="22"/>
          <w:szCs w:val="22"/>
          <w:u w:val="single"/>
          <w:lang w:val="en-CA"/>
        </w:rPr>
        <w:t>About Emgold</w:t>
      </w:r>
    </w:p>
    <w:p w14:paraId="07E15F79" w14:textId="77777777" w:rsidR="00474D96" w:rsidRDefault="00474D96" w:rsidP="00474D96">
      <w:pPr>
        <w:shd w:val="clear" w:color="auto" w:fill="FFFFFF"/>
        <w:jc w:val="both"/>
        <w:rPr>
          <w:b/>
          <w:sz w:val="22"/>
          <w:szCs w:val="22"/>
          <w:u w:val="single"/>
          <w:lang w:val="en-CA"/>
        </w:rPr>
      </w:pPr>
    </w:p>
    <w:p w14:paraId="6C185CC7" w14:textId="77777777" w:rsidR="00474D96" w:rsidRPr="0074200D" w:rsidRDefault="00474D96" w:rsidP="00474D96">
      <w:pPr>
        <w:jc w:val="both"/>
        <w:rPr>
          <w:sz w:val="22"/>
          <w:szCs w:val="22"/>
          <w:shd w:val="clear" w:color="auto" w:fill="FFFFFF"/>
        </w:rPr>
      </w:pPr>
      <w:r w:rsidRPr="0074200D">
        <w:rPr>
          <w:sz w:val="22"/>
          <w:szCs w:val="22"/>
          <w:shd w:val="clear" w:color="auto" w:fill="FFFFFF"/>
        </w:rPr>
        <w:t>Emgold is a gold and base metal exploration company focused on Nevada and Quebec. The Company’s strategy is to look for quality acquisitions, add value to these assets through exploration, and monetize them through sale, joint ventures, option, royalty, and other transactions to create value for our shareholders</w:t>
      </w:r>
      <w:r>
        <w:rPr>
          <w:sz w:val="22"/>
          <w:szCs w:val="22"/>
          <w:shd w:val="clear" w:color="auto" w:fill="FFFFFF"/>
        </w:rPr>
        <w:t xml:space="preserve"> (acquisition and divestiture (A&amp;D) business model)</w:t>
      </w:r>
      <w:r w:rsidRPr="0074200D">
        <w:rPr>
          <w:sz w:val="22"/>
          <w:szCs w:val="22"/>
          <w:shd w:val="clear" w:color="auto" w:fill="FFFFFF"/>
        </w:rPr>
        <w:t xml:space="preserve">.  </w:t>
      </w:r>
    </w:p>
    <w:p w14:paraId="7DAC247E" w14:textId="77777777" w:rsidR="00474D96" w:rsidRPr="0074200D" w:rsidRDefault="00474D96" w:rsidP="00474D96">
      <w:pPr>
        <w:jc w:val="both"/>
        <w:rPr>
          <w:sz w:val="22"/>
          <w:szCs w:val="22"/>
          <w:shd w:val="clear" w:color="auto" w:fill="FFFFFF"/>
        </w:rPr>
      </w:pPr>
    </w:p>
    <w:p w14:paraId="5000ECAF" w14:textId="079BBF29" w:rsidR="00474D96" w:rsidRPr="0074200D" w:rsidRDefault="00474D96" w:rsidP="00474D96">
      <w:pPr>
        <w:jc w:val="both"/>
        <w:rPr>
          <w:sz w:val="22"/>
          <w:szCs w:val="22"/>
          <w:shd w:val="clear" w:color="auto" w:fill="FFFFFF"/>
        </w:rPr>
      </w:pPr>
      <w:r w:rsidRPr="0074200D">
        <w:rPr>
          <w:sz w:val="22"/>
          <w:szCs w:val="22"/>
          <w:shd w:val="clear" w:color="auto" w:fill="FFFFFF"/>
        </w:rPr>
        <w:t>In Nevada, Emgold’s Golden Arrow Property, the core asset of the Company, is an advanced stage gold and silver property with a well-defined measured and indicated resource.  New York Canyon is a base metal property subject to an Earn-in with Option to Joint Venture Agreement with Kennecott Exploration, a subsidiary of Rio Tinto Plc (</w:t>
      </w:r>
      <w:proofErr w:type="gramStart"/>
      <w:r w:rsidRPr="0074200D">
        <w:rPr>
          <w:b/>
          <w:bCs/>
          <w:sz w:val="22"/>
          <w:szCs w:val="22"/>
          <w:shd w:val="clear" w:color="auto" w:fill="FFFFFF"/>
        </w:rPr>
        <w:t>NYSE:RIO</w:t>
      </w:r>
      <w:proofErr w:type="gramEnd"/>
      <w:r w:rsidRPr="0074200D">
        <w:rPr>
          <w:sz w:val="22"/>
          <w:szCs w:val="22"/>
          <w:shd w:val="clear" w:color="auto" w:fill="FFFFFF"/>
        </w:rPr>
        <w:t xml:space="preserve">).  </w:t>
      </w:r>
      <w:r>
        <w:rPr>
          <w:sz w:val="22"/>
          <w:szCs w:val="22"/>
          <w:shd w:val="clear" w:color="auto" w:fill="FFFFFF"/>
        </w:rPr>
        <w:t xml:space="preserve">The Mindora Property is a gold and base metal property located 12 miles from New York Canyon.  </w:t>
      </w:r>
      <w:r w:rsidRPr="0074200D">
        <w:rPr>
          <w:sz w:val="22"/>
          <w:szCs w:val="22"/>
          <w:shd w:val="clear" w:color="auto" w:fill="FFFFFF"/>
        </w:rPr>
        <w:t xml:space="preserve">Buckskin Rawhide East is a gold and silver property leased </w:t>
      </w:r>
      <w:r>
        <w:rPr>
          <w:sz w:val="22"/>
          <w:szCs w:val="22"/>
          <w:shd w:val="clear" w:color="auto" w:fill="FFFFFF"/>
        </w:rPr>
        <w:t>to</w:t>
      </w:r>
      <w:r w:rsidRPr="0074200D">
        <w:rPr>
          <w:sz w:val="22"/>
          <w:szCs w:val="22"/>
          <w:shd w:val="clear" w:color="auto" w:fill="FFFFFF"/>
        </w:rPr>
        <w:t xml:space="preserve"> Rawhide Mining LLC, who operate the adjacent Rawhide Mine and represents a royalty opportunity for the Company.  </w:t>
      </w:r>
    </w:p>
    <w:p w14:paraId="4E84D99A" w14:textId="77777777" w:rsidR="00474D96" w:rsidRPr="0074200D" w:rsidRDefault="00474D96" w:rsidP="00474D96">
      <w:pPr>
        <w:jc w:val="both"/>
        <w:rPr>
          <w:sz w:val="22"/>
          <w:szCs w:val="22"/>
          <w:shd w:val="clear" w:color="auto" w:fill="FFFFFF"/>
        </w:rPr>
      </w:pPr>
    </w:p>
    <w:p w14:paraId="599CD597" w14:textId="7A6AC3C5" w:rsidR="00474D96" w:rsidRDefault="00474D96" w:rsidP="00474D96">
      <w:pPr>
        <w:jc w:val="both"/>
        <w:rPr>
          <w:sz w:val="22"/>
          <w:szCs w:val="22"/>
          <w:shd w:val="clear" w:color="auto" w:fill="FFFFFF"/>
        </w:rPr>
      </w:pPr>
      <w:r w:rsidRPr="0074200D">
        <w:rPr>
          <w:sz w:val="22"/>
          <w:szCs w:val="22"/>
          <w:shd w:val="clear" w:color="auto" w:fill="FFFFFF"/>
        </w:rPr>
        <w:t>In Quebec, the Casa South Property, is an early stage gold property adjacent to Hecla Mining Corporation’s (</w:t>
      </w:r>
      <w:proofErr w:type="gramStart"/>
      <w:r w:rsidRPr="0074200D">
        <w:rPr>
          <w:b/>
          <w:bCs/>
          <w:sz w:val="22"/>
          <w:szCs w:val="22"/>
          <w:shd w:val="clear" w:color="auto" w:fill="FFFFFF"/>
        </w:rPr>
        <w:t>NYSE:HL</w:t>
      </w:r>
      <w:proofErr w:type="gramEnd"/>
      <w:r w:rsidRPr="0074200D">
        <w:rPr>
          <w:sz w:val="22"/>
          <w:szCs w:val="22"/>
          <w:shd w:val="clear" w:color="auto" w:fill="FFFFFF"/>
        </w:rPr>
        <w:t>) operating Casa Berardi Mine.  The East-West Property</w:t>
      </w:r>
      <w:r>
        <w:rPr>
          <w:sz w:val="22"/>
          <w:szCs w:val="22"/>
          <w:shd w:val="clear" w:color="auto" w:fill="FFFFFF"/>
        </w:rPr>
        <w:t xml:space="preserve"> </w:t>
      </w:r>
      <w:r w:rsidRPr="0074200D">
        <w:rPr>
          <w:sz w:val="22"/>
          <w:szCs w:val="22"/>
          <w:shd w:val="clear" w:color="auto" w:fill="FFFFFF"/>
        </w:rPr>
        <w:t>is a gold property adjacent to and on strike with Wesdome Gold Mine Ltd.’s (</w:t>
      </w:r>
      <w:proofErr w:type="gramStart"/>
      <w:r w:rsidRPr="0074200D">
        <w:rPr>
          <w:b/>
          <w:bCs/>
          <w:sz w:val="22"/>
          <w:szCs w:val="22"/>
          <w:shd w:val="clear" w:color="auto" w:fill="FFFFFF"/>
        </w:rPr>
        <w:t>TSX:WDO</w:t>
      </w:r>
      <w:proofErr w:type="gramEnd"/>
      <w:r w:rsidRPr="0074200D">
        <w:rPr>
          <w:sz w:val="22"/>
          <w:szCs w:val="22"/>
          <w:shd w:val="clear" w:color="auto" w:fill="FFFFFF"/>
        </w:rPr>
        <w:t>) Kiena Complex</w:t>
      </w:r>
      <w:r>
        <w:rPr>
          <w:sz w:val="22"/>
          <w:szCs w:val="22"/>
          <w:shd w:val="clear" w:color="auto" w:fill="FFFFFF"/>
        </w:rPr>
        <w:t xml:space="preserve"> and</w:t>
      </w:r>
      <w:r w:rsidRPr="0074200D">
        <w:rPr>
          <w:sz w:val="22"/>
          <w:szCs w:val="22"/>
          <w:shd w:val="clear" w:color="auto" w:fill="FFFFFF"/>
        </w:rPr>
        <w:t xml:space="preserve"> O3 Mining Corporation’s (</w:t>
      </w:r>
      <w:r w:rsidRPr="0074200D">
        <w:rPr>
          <w:b/>
          <w:bCs/>
          <w:sz w:val="22"/>
          <w:szCs w:val="22"/>
          <w:shd w:val="clear" w:color="auto" w:fill="FFFFFF"/>
        </w:rPr>
        <w:t>TSX:OIII</w:t>
      </w:r>
      <w:r w:rsidRPr="0074200D">
        <w:rPr>
          <w:sz w:val="22"/>
          <w:szCs w:val="22"/>
          <w:shd w:val="clear" w:color="auto" w:fill="FFFFFF"/>
        </w:rPr>
        <w:t>) Ma</w:t>
      </w:r>
      <w:r>
        <w:rPr>
          <w:sz w:val="22"/>
          <w:szCs w:val="22"/>
          <w:shd w:val="clear" w:color="auto" w:fill="FFFFFF"/>
        </w:rPr>
        <w:t>larctic</w:t>
      </w:r>
      <w:r w:rsidRPr="0074200D">
        <w:rPr>
          <w:sz w:val="22"/>
          <w:szCs w:val="22"/>
          <w:shd w:val="clear" w:color="auto" w:fill="FFFFFF"/>
        </w:rPr>
        <w:t xml:space="preserve"> </w:t>
      </w:r>
      <w:r>
        <w:rPr>
          <w:sz w:val="22"/>
          <w:szCs w:val="22"/>
          <w:shd w:val="clear" w:color="auto" w:fill="FFFFFF"/>
        </w:rPr>
        <w:t>Property (Marban Project)</w:t>
      </w:r>
      <w:r w:rsidRPr="0074200D">
        <w:rPr>
          <w:sz w:val="22"/>
          <w:szCs w:val="22"/>
          <w:shd w:val="clear" w:color="auto" w:fill="FFFFFF"/>
        </w:rPr>
        <w:t>.  Emgold also has a 1% NSR in the Troilus North Property, part of the Troilus Mine Property being explored by Troilus Gold Corporation (</w:t>
      </w:r>
      <w:proofErr w:type="gramStart"/>
      <w:r w:rsidRPr="0074200D">
        <w:rPr>
          <w:b/>
          <w:sz w:val="22"/>
          <w:szCs w:val="22"/>
          <w:shd w:val="clear" w:color="auto" w:fill="FFFFFF"/>
        </w:rPr>
        <w:t>TSX:TLG</w:t>
      </w:r>
      <w:proofErr w:type="gramEnd"/>
      <w:r w:rsidRPr="0074200D">
        <w:rPr>
          <w:sz w:val="22"/>
          <w:szCs w:val="22"/>
          <w:shd w:val="clear" w:color="auto" w:fill="FFFFFF"/>
        </w:rPr>
        <w:t xml:space="preserve">).  </w:t>
      </w:r>
    </w:p>
    <w:p w14:paraId="70BAEA3A" w14:textId="77777777" w:rsidR="00474D96" w:rsidRDefault="00474D96" w:rsidP="00474D96">
      <w:pPr>
        <w:jc w:val="both"/>
        <w:rPr>
          <w:sz w:val="22"/>
          <w:szCs w:val="22"/>
          <w:shd w:val="clear" w:color="auto" w:fill="FFFFFF"/>
        </w:rPr>
      </w:pPr>
    </w:p>
    <w:p w14:paraId="4DB8B43F" w14:textId="77777777" w:rsidR="00474D96" w:rsidRPr="0074200D" w:rsidRDefault="00474D96" w:rsidP="00474D96">
      <w:pPr>
        <w:jc w:val="both"/>
        <w:rPr>
          <w:sz w:val="22"/>
          <w:szCs w:val="22"/>
          <w:shd w:val="clear" w:color="auto" w:fill="FFFFFF"/>
        </w:rPr>
      </w:pPr>
      <w:r w:rsidRPr="0074200D">
        <w:rPr>
          <w:sz w:val="22"/>
          <w:szCs w:val="22"/>
          <w:shd w:val="clear" w:color="auto" w:fill="FFFFFF"/>
        </w:rPr>
        <w:t>Note that the location of Emgold’s properties adjacent to producing or past producing mines does not guarantee exploration success at Emgold’s properties or that mineral resources or reserves will be delineated.  For more information on the Company, investors should review the Company’s website at </w:t>
      </w:r>
      <w:hyperlink r:id="rId9" w:history="1">
        <w:r w:rsidRPr="0074200D">
          <w:rPr>
            <w:rStyle w:val="Hyperlink"/>
            <w:sz w:val="22"/>
            <w:szCs w:val="22"/>
            <w:bdr w:val="none" w:sz="0" w:space="0" w:color="auto" w:frame="1"/>
            <w:shd w:val="clear" w:color="auto" w:fill="FFFFFF"/>
          </w:rPr>
          <w:t>www.emgold.com</w:t>
        </w:r>
      </w:hyperlink>
      <w:r w:rsidRPr="0074200D">
        <w:rPr>
          <w:rStyle w:val="s2"/>
          <w:sz w:val="22"/>
          <w:szCs w:val="22"/>
          <w:bdr w:val="none" w:sz="0" w:space="0" w:color="auto" w:frame="1"/>
          <w:shd w:val="clear" w:color="auto" w:fill="FFFFFF"/>
        </w:rPr>
        <w:t> </w:t>
      </w:r>
      <w:r w:rsidRPr="0074200D">
        <w:rPr>
          <w:sz w:val="22"/>
          <w:szCs w:val="22"/>
          <w:shd w:val="clear" w:color="auto" w:fill="FFFFFF"/>
        </w:rPr>
        <w:t>or view the Company’s filings available at </w:t>
      </w:r>
      <w:hyperlink r:id="rId10" w:history="1">
        <w:r w:rsidRPr="0074200D">
          <w:rPr>
            <w:rStyle w:val="Hyperlink"/>
            <w:sz w:val="22"/>
            <w:szCs w:val="22"/>
            <w:bdr w:val="none" w:sz="0" w:space="0" w:color="auto" w:frame="1"/>
            <w:shd w:val="clear" w:color="auto" w:fill="FFFFFF"/>
          </w:rPr>
          <w:t>www.sedar.com</w:t>
        </w:r>
      </w:hyperlink>
      <w:r w:rsidRPr="0074200D">
        <w:rPr>
          <w:sz w:val="22"/>
          <w:szCs w:val="22"/>
          <w:shd w:val="clear" w:color="auto" w:fill="FFFFFF"/>
        </w:rPr>
        <w:t>.</w:t>
      </w:r>
    </w:p>
    <w:p w14:paraId="71015D69" w14:textId="08A5EE5C" w:rsidR="00474D96" w:rsidRPr="00D26C38" w:rsidRDefault="00474D96" w:rsidP="00474D96">
      <w:pPr>
        <w:shd w:val="clear" w:color="auto" w:fill="FFFFFF"/>
        <w:spacing w:before="100" w:beforeAutospacing="1" w:after="120" w:line="240" w:lineRule="atLeast"/>
        <w:jc w:val="center"/>
        <w:rPr>
          <w:b/>
          <w:sz w:val="22"/>
          <w:u w:val="single"/>
        </w:rPr>
      </w:pPr>
      <w:r>
        <w:rPr>
          <w:b/>
          <w:sz w:val="22"/>
          <w:u w:val="single"/>
        </w:rPr>
        <w:t>On</w:t>
      </w:r>
      <w:r w:rsidRPr="00D26C38">
        <w:rPr>
          <w:b/>
          <w:sz w:val="22"/>
          <w:u w:val="single"/>
        </w:rPr>
        <w:t xml:space="preserve"> behalf of the Board of Directors</w:t>
      </w:r>
      <w:r w:rsidRPr="00D26C38">
        <w:rPr>
          <w:b/>
          <w:sz w:val="22"/>
          <w:u w:val="single"/>
        </w:rPr>
        <w:br/>
        <w:t>David G. Watkinson, P.Eng.</w:t>
      </w:r>
      <w:r w:rsidRPr="00D26C38">
        <w:rPr>
          <w:b/>
          <w:sz w:val="22"/>
          <w:u w:val="single"/>
        </w:rPr>
        <w:br/>
        <w:t>President &amp; CEO</w:t>
      </w:r>
      <w:r w:rsidRPr="00D26C38">
        <w:rPr>
          <w:b/>
          <w:sz w:val="22"/>
          <w:u w:val="single"/>
        </w:rPr>
        <w:br/>
      </w:r>
      <w:r w:rsidRPr="00D26C38">
        <w:rPr>
          <w:b/>
          <w:sz w:val="22"/>
          <w:u w:val="single"/>
        </w:rPr>
        <w:br/>
      </w:r>
      <w:r w:rsidRPr="00663660">
        <w:rPr>
          <w:sz w:val="22"/>
        </w:rPr>
        <w:t>For further information</w:t>
      </w:r>
      <w:r w:rsidRPr="00663660">
        <w:rPr>
          <w:sz w:val="22"/>
          <w:szCs w:val="22"/>
        </w:rPr>
        <w:t>,</w:t>
      </w:r>
      <w:r w:rsidRPr="00663660">
        <w:rPr>
          <w:sz w:val="22"/>
        </w:rPr>
        <w:t xml:space="preserve"> please contact:</w:t>
      </w:r>
    </w:p>
    <w:p w14:paraId="5C697E9A" w14:textId="77777777" w:rsidR="00474D96" w:rsidRPr="007028EC" w:rsidRDefault="00474D96" w:rsidP="00474D96">
      <w:pPr>
        <w:jc w:val="center"/>
        <w:rPr>
          <w:sz w:val="22"/>
          <w:szCs w:val="22"/>
        </w:rPr>
      </w:pPr>
      <w:r w:rsidRPr="001A090A">
        <w:rPr>
          <w:color w:val="000000"/>
          <w:sz w:val="22"/>
          <w:szCs w:val="22"/>
        </w:rPr>
        <w:t>David G. Watkinson, P.Eng.</w:t>
      </w:r>
      <w:r w:rsidRPr="008F75AA">
        <w:rPr>
          <w:color w:val="000000"/>
          <w:sz w:val="22"/>
          <w:szCs w:val="22"/>
        </w:rPr>
        <w:br/>
        <w:t xml:space="preserve">Tel: </w:t>
      </w:r>
      <w:r>
        <w:rPr>
          <w:color w:val="000000"/>
          <w:sz w:val="22"/>
          <w:szCs w:val="22"/>
        </w:rPr>
        <w:t>530</w:t>
      </w:r>
      <w:r w:rsidRPr="008F75AA">
        <w:rPr>
          <w:color w:val="000000"/>
          <w:sz w:val="22"/>
          <w:szCs w:val="22"/>
        </w:rPr>
        <w:t>-</w:t>
      </w:r>
      <w:r>
        <w:rPr>
          <w:color w:val="000000"/>
          <w:sz w:val="22"/>
          <w:szCs w:val="22"/>
        </w:rPr>
        <w:t>271</w:t>
      </w:r>
      <w:r w:rsidRPr="008F75AA">
        <w:rPr>
          <w:color w:val="000000"/>
          <w:sz w:val="22"/>
          <w:szCs w:val="22"/>
        </w:rPr>
        <w:t>-</w:t>
      </w:r>
      <w:r>
        <w:rPr>
          <w:color w:val="000000"/>
          <w:sz w:val="22"/>
          <w:szCs w:val="22"/>
        </w:rPr>
        <w:t>0679 Ext 101</w:t>
      </w:r>
      <w:r w:rsidRPr="008F75AA">
        <w:rPr>
          <w:color w:val="000000"/>
          <w:sz w:val="22"/>
          <w:szCs w:val="22"/>
        </w:rPr>
        <w:br/>
      </w:r>
      <w:r w:rsidRPr="007028EC">
        <w:rPr>
          <w:sz w:val="22"/>
          <w:szCs w:val="22"/>
        </w:rPr>
        <w:t xml:space="preserve">Email: </w:t>
      </w:r>
      <w:hyperlink r:id="rId11" w:history="1">
        <w:r w:rsidRPr="007028EC">
          <w:rPr>
            <w:sz w:val="22"/>
            <w:szCs w:val="22"/>
            <w:u w:val="single"/>
          </w:rPr>
          <w:t>info@emgold.com</w:t>
        </w:r>
      </w:hyperlink>
    </w:p>
    <w:p w14:paraId="562AC4B8" w14:textId="77777777" w:rsidR="00474D96" w:rsidRPr="00B13AD3" w:rsidRDefault="00474D96" w:rsidP="00474D96">
      <w:pPr>
        <w:jc w:val="both"/>
        <w:rPr>
          <w:sz w:val="20"/>
          <w:szCs w:val="20"/>
        </w:rPr>
      </w:pPr>
    </w:p>
    <w:p w14:paraId="41C99A77" w14:textId="77777777" w:rsidR="00474D96" w:rsidRPr="00DD2BA9" w:rsidRDefault="00474D96" w:rsidP="00474D96">
      <w:pPr>
        <w:pStyle w:val="BodyText"/>
        <w:tabs>
          <w:tab w:val="left" w:pos="6480"/>
        </w:tabs>
        <w:spacing w:after="120"/>
        <w:rPr>
          <w:b/>
          <w:szCs w:val="18"/>
        </w:rPr>
      </w:pPr>
      <w:r w:rsidRPr="002C0268">
        <w:rPr>
          <w:b/>
          <w:szCs w:val="18"/>
        </w:rPr>
        <w:t xml:space="preserve">Neither TSX Venture Exchange nor its Regulation Services Provider (as the term is defined in the policies of the TSX Venture Exchange) accepts responsibility for the adequacy or accuracy of this release.  </w:t>
      </w:r>
    </w:p>
    <w:p w14:paraId="6E3795FA" w14:textId="77777777" w:rsidR="00474D96" w:rsidRDefault="00474D96" w:rsidP="00474D96">
      <w:pPr>
        <w:pStyle w:val="BodyText"/>
        <w:tabs>
          <w:tab w:val="left" w:pos="6480"/>
        </w:tabs>
        <w:rPr>
          <w:b/>
          <w:i/>
          <w:sz w:val="18"/>
          <w:szCs w:val="18"/>
        </w:rPr>
      </w:pPr>
    </w:p>
    <w:p w14:paraId="65819459" w14:textId="77777777" w:rsidR="00474D96" w:rsidRPr="00765DB1" w:rsidRDefault="00474D96" w:rsidP="00474D96">
      <w:pPr>
        <w:pStyle w:val="BodyText"/>
        <w:tabs>
          <w:tab w:val="left" w:pos="6480"/>
        </w:tabs>
        <w:rPr>
          <w:b/>
          <w:i/>
          <w:sz w:val="18"/>
          <w:szCs w:val="18"/>
        </w:rPr>
      </w:pPr>
      <w:r w:rsidRPr="00765DB1">
        <w:rPr>
          <w:b/>
          <w:i/>
          <w:sz w:val="18"/>
          <w:szCs w:val="18"/>
        </w:rPr>
        <w:t>Cautionary Note on Forward-Looking Statements</w:t>
      </w:r>
    </w:p>
    <w:p w14:paraId="37251657" w14:textId="77777777" w:rsidR="00474D96" w:rsidRPr="00765DB1" w:rsidRDefault="00474D96" w:rsidP="00474D96">
      <w:pPr>
        <w:jc w:val="both"/>
        <w:rPr>
          <w:sz w:val="18"/>
          <w:szCs w:val="18"/>
        </w:rPr>
      </w:pPr>
    </w:p>
    <w:p w14:paraId="24D6D2B0" w14:textId="77777777" w:rsidR="00474D96" w:rsidRPr="00765DB1" w:rsidRDefault="00474D96" w:rsidP="00474D96">
      <w:pPr>
        <w:pStyle w:val="BodyText"/>
        <w:tabs>
          <w:tab w:val="left" w:pos="6480"/>
        </w:tabs>
        <w:spacing w:after="120"/>
        <w:rPr>
          <w:sz w:val="18"/>
          <w:szCs w:val="18"/>
        </w:rPr>
      </w:pPr>
      <w:r w:rsidRPr="00A9198F">
        <w:rPr>
          <w:iCs/>
          <w:sz w:val="18"/>
          <w:szCs w:val="18"/>
          <w:shd w:val="clear" w:color="auto" w:fill="FFFFFF"/>
        </w:rPr>
        <w:t>Certain statements made and information contained herein may constitute “forward looking information” and “forward looking statements” within the meaning of applicable Canadian and United States securities legislation. These statements and information are based on facts currently available to the Company and there is no assurance that actual results will meet management’s expectations.</w:t>
      </w:r>
      <w:r>
        <w:rPr>
          <w:iCs/>
          <w:sz w:val="18"/>
          <w:szCs w:val="18"/>
          <w:shd w:val="clear" w:color="auto" w:fill="FFFFFF"/>
        </w:rPr>
        <w:t xml:space="preserve">  </w:t>
      </w:r>
      <w:r w:rsidRPr="00A9198F">
        <w:rPr>
          <w:iCs/>
          <w:sz w:val="18"/>
          <w:szCs w:val="18"/>
          <w:shd w:val="clear" w:color="auto" w:fill="FFFFFF"/>
        </w:rPr>
        <w:t>Forward-looking statements and information may be identified by such terms as “anticipates”, “believes”, “targets”, “estimates”, “plans”, “expects”, “may”, “will”, “could” or “would”.</w:t>
      </w:r>
      <w:r>
        <w:rPr>
          <w:iCs/>
          <w:sz w:val="18"/>
          <w:szCs w:val="18"/>
          <w:shd w:val="clear" w:color="auto" w:fill="FFFFFF"/>
        </w:rPr>
        <w:t xml:space="preserve"> </w:t>
      </w:r>
      <w:r w:rsidRPr="00A9198F">
        <w:rPr>
          <w:iCs/>
          <w:sz w:val="18"/>
          <w:szCs w:val="18"/>
          <w:shd w:val="clear" w:color="auto" w:fill="FFFFFF"/>
        </w:rPr>
        <w:t>Forward-looking statements and information contained herein are based on certain factors and assumptions regarding, among other things, the estimation of mineral resources and reserves, the realization of resource and reserve estimates, metal prices, taxation, the estimation, timing and amount of future exploration and development, capital and operating costs, the availability of financing, the receipt of regulatory approvals, environmental risks, title disputes and other matters.</w:t>
      </w:r>
      <w:r>
        <w:rPr>
          <w:iCs/>
          <w:sz w:val="18"/>
          <w:szCs w:val="18"/>
          <w:shd w:val="clear" w:color="auto" w:fill="FFFFFF"/>
        </w:rPr>
        <w:t xml:space="preserve"> </w:t>
      </w:r>
      <w:r w:rsidRPr="00A9198F">
        <w:rPr>
          <w:iCs/>
          <w:sz w:val="18"/>
          <w:szCs w:val="18"/>
          <w:shd w:val="clear" w:color="auto" w:fill="FFFFFF"/>
        </w:rPr>
        <w:t xml:space="preserve">While the Company considers its assumptions to be reasonable as of the date hereof, forward-looking </w:t>
      </w:r>
      <w:r w:rsidRPr="00A9198F">
        <w:rPr>
          <w:iCs/>
          <w:sz w:val="18"/>
          <w:szCs w:val="18"/>
          <w:shd w:val="clear" w:color="auto" w:fill="FFFFFF"/>
        </w:rPr>
        <w:lastRenderedPageBreak/>
        <w:t xml:space="preserve">statements and information are not </w:t>
      </w:r>
      <w:proofErr w:type="gramStart"/>
      <w:r w:rsidRPr="00A9198F">
        <w:rPr>
          <w:iCs/>
          <w:sz w:val="18"/>
          <w:szCs w:val="18"/>
          <w:shd w:val="clear" w:color="auto" w:fill="FFFFFF"/>
        </w:rPr>
        <w:t>guarantees</w:t>
      </w:r>
      <w:proofErr w:type="gramEnd"/>
      <w:r w:rsidRPr="00A9198F">
        <w:rPr>
          <w:iCs/>
          <w:sz w:val="18"/>
          <w:szCs w:val="18"/>
          <w:shd w:val="clear" w:color="auto" w:fill="FFFFFF"/>
        </w:rPr>
        <w:t xml:space="preserve"> of future performance and readers should not place undue importance on such statements as actual events and results may differ materially from those described herein. The Company does not undertake to update any forward-looking statements or information except as may be required by applicable securities laws.</w:t>
      </w:r>
      <w:r>
        <w:rPr>
          <w:iCs/>
          <w:sz w:val="18"/>
          <w:szCs w:val="18"/>
          <w:shd w:val="clear" w:color="auto" w:fill="FFFFFF"/>
        </w:rPr>
        <w:t xml:space="preserve">  </w:t>
      </w:r>
      <w:r w:rsidRPr="00765DB1">
        <w:rPr>
          <w:sz w:val="18"/>
          <w:szCs w:val="18"/>
        </w:rPr>
        <w:t xml:space="preserve">The Company's Canadian public disclosure filings may be accessed via </w:t>
      </w:r>
      <w:r w:rsidRPr="00765DB1">
        <w:rPr>
          <w:rStyle w:val="Hyperlink"/>
          <w:sz w:val="18"/>
          <w:szCs w:val="18"/>
        </w:rPr>
        <w:t>www.sedar.com</w:t>
      </w:r>
      <w:r w:rsidRPr="00765DB1">
        <w:rPr>
          <w:sz w:val="18"/>
          <w:szCs w:val="18"/>
        </w:rPr>
        <w:t xml:space="preserve"> and readers are urged to review these materials, including </w:t>
      </w:r>
      <w:r>
        <w:rPr>
          <w:sz w:val="18"/>
          <w:szCs w:val="18"/>
        </w:rPr>
        <w:t>any</w:t>
      </w:r>
      <w:r w:rsidRPr="00765DB1">
        <w:rPr>
          <w:sz w:val="18"/>
          <w:szCs w:val="18"/>
        </w:rPr>
        <w:t xml:space="preserve"> technical reports filed with respect to the Company's mineral properties.  </w:t>
      </w:r>
    </w:p>
    <w:p w14:paraId="7625334F" w14:textId="77777777" w:rsidR="00474D96" w:rsidRPr="0010788C" w:rsidRDefault="00474D96" w:rsidP="00130F31">
      <w:pPr>
        <w:shd w:val="clear" w:color="auto" w:fill="FFFFFF"/>
        <w:spacing w:before="100" w:beforeAutospacing="1" w:after="120"/>
        <w:jc w:val="both"/>
        <w:rPr>
          <w:sz w:val="22"/>
          <w:szCs w:val="22"/>
        </w:rPr>
      </w:pPr>
    </w:p>
    <w:sectPr w:rsidR="00474D96" w:rsidRPr="0010788C" w:rsidSect="00975F2C">
      <w:headerReference w:type="default" r:id="rId12"/>
      <w:footerReference w:type="default" r:id="rId13"/>
      <w:footerReference w:type="first" r:id="rId14"/>
      <w:type w:val="continuous"/>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A4F38" w14:textId="77777777" w:rsidR="00096BE6" w:rsidRDefault="00096BE6">
      <w:r>
        <w:separator/>
      </w:r>
    </w:p>
  </w:endnote>
  <w:endnote w:type="continuationSeparator" w:id="0">
    <w:p w14:paraId="3090BAAC" w14:textId="77777777" w:rsidR="00096BE6" w:rsidRDefault="00096BE6">
      <w:r>
        <w:continuationSeparator/>
      </w:r>
    </w:p>
  </w:endnote>
  <w:endnote w:type="continuationNotice" w:id="1">
    <w:p w14:paraId="742EB352" w14:textId="77777777" w:rsidR="00096BE6" w:rsidRDefault="00096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C4C38" w14:textId="77777777" w:rsidR="001E3A4E" w:rsidRPr="001A090A" w:rsidRDefault="001E3A4E" w:rsidP="00975F2C">
    <w:pPr>
      <w:pStyle w:val="Footer"/>
    </w:pPr>
    <w:r w:rsidRPr="000533E8">
      <w:rPr>
        <w:noProof/>
        <w:vanish/>
        <w:sz w:val="14"/>
      </w:rPr>
      <w:t>{ }</w:t>
    </w:r>
    <w:r>
      <w:rPr>
        <w:noProof/>
        <w:sz w:val="14"/>
      </w:rPr>
      <w:tab/>
    </w:r>
    <w:r w:rsidRPr="001A090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D2FCC" w14:textId="77777777" w:rsidR="001E3A4E" w:rsidRPr="00F07DF0" w:rsidRDefault="001E3A4E" w:rsidP="00975F2C">
    <w:pPr>
      <w:pStyle w:val="Footer"/>
    </w:pPr>
    <w:r w:rsidRPr="000533E8">
      <w:rPr>
        <w:noProof/>
        <w:vanish/>
        <w:sz w:val="14"/>
      </w:rPr>
      <w:t>{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35C0A" w14:textId="77777777" w:rsidR="00096BE6" w:rsidRDefault="00096BE6">
      <w:pPr>
        <w:rPr>
          <w:noProof/>
        </w:rPr>
      </w:pPr>
      <w:r>
        <w:rPr>
          <w:noProof/>
        </w:rPr>
        <w:separator/>
      </w:r>
    </w:p>
  </w:footnote>
  <w:footnote w:type="continuationSeparator" w:id="0">
    <w:p w14:paraId="0EB53D05" w14:textId="77777777" w:rsidR="00096BE6" w:rsidRDefault="00096BE6">
      <w:r>
        <w:continuationSeparator/>
      </w:r>
    </w:p>
  </w:footnote>
  <w:footnote w:type="continuationNotice" w:id="1">
    <w:p w14:paraId="4A65C64C" w14:textId="77777777" w:rsidR="00096BE6" w:rsidRDefault="00096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4CFF2" w14:textId="77777777" w:rsidR="001E3A4E" w:rsidRPr="003420EB" w:rsidRDefault="001E3A4E">
    <w:pPr>
      <w:pStyle w:val="Header"/>
      <w:jc w:val="center"/>
      <w:rPr>
        <w:sz w:val="22"/>
        <w:szCs w:val="22"/>
      </w:rPr>
    </w:pPr>
    <w:r w:rsidRPr="003420EB">
      <w:rPr>
        <w:sz w:val="22"/>
        <w:szCs w:val="22"/>
      </w:rPr>
      <w:t xml:space="preserve">- </w:t>
    </w:r>
    <w:r w:rsidRPr="003420EB">
      <w:rPr>
        <w:sz w:val="22"/>
        <w:szCs w:val="22"/>
      </w:rPr>
      <w:fldChar w:fldCharType="begin"/>
    </w:r>
    <w:r w:rsidRPr="003420EB">
      <w:rPr>
        <w:sz w:val="22"/>
        <w:szCs w:val="22"/>
      </w:rPr>
      <w:instrText xml:space="preserve"> PAGE   \* MERGEFORMAT </w:instrText>
    </w:r>
    <w:r w:rsidRPr="003420EB">
      <w:rPr>
        <w:sz w:val="22"/>
        <w:szCs w:val="22"/>
      </w:rPr>
      <w:fldChar w:fldCharType="separate"/>
    </w:r>
    <w:r>
      <w:rPr>
        <w:noProof/>
        <w:sz w:val="22"/>
        <w:szCs w:val="22"/>
      </w:rPr>
      <w:t>2</w:t>
    </w:r>
    <w:r w:rsidRPr="003420EB">
      <w:rPr>
        <w:noProof/>
        <w:sz w:val="22"/>
        <w:szCs w:val="22"/>
      </w:rPr>
      <w:fldChar w:fldCharType="end"/>
    </w:r>
    <w:r w:rsidRPr="003420EB">
      <w:rPr>
        <w:noProof/>
        <w:sz w:val="22"/>
        <w:szCs w:val="22"/>
      </w:rPr>
      <w:t xml:space="preserve"> -</w:t>
    </w:r>
  </w:p>
  <w:p w14:paraId="350A43DE" w14:textId="77777777" w:rsidR="001E3A4E" w:rsidRPr="003420EB" w:rsidRDefault="001E3A4E">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B5A36"/>
    <w:multiLevelType w:val="hybridMultilevel"/>
    <w:tmpl w:val="2B385FE6"/>
    <w:lvl w:ilvl="0" w:tplc="0C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B7E75"/>
    <w:multiLevelType w:val="hybridMultilevel"/>
    <w:tmpl w:val="489E4B1C"/>
    <w:lvl w:ilvl="0" w:tplc="6EE9C575">
      <w:start w:val="1"/>
      <w:numFmt w:val="lowerRoman"/>
      <w:lvlText w:val="(%1)"/>
      <w:lvlJc w:val="left"/>
      <w:pPr>
        <w:ind w:left="1440" w:hanging="360"/>
      </w:pPr>
      <w:rPr>
        <w:rFonts w:cs="Times New Roman"/>
        <w:snapToGrid/>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326790"/>
    <w:multiLevelType w:val="multilevel"/>
    <w:tmpl w:val="AC5A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54510"/>
    <w:multiLevelType w:val="hybridMultilevel"/>
    <w:tmpl w:val="1E54BC16"/>
    <w:lvl w:ilvl="0" w:tplc="0C0C0011">
      <w:start w:val="1"/>
      <w:numFmt w:val="decimal"/>
      <w:lvlText w:val="%1)"/>
      <w:lvlJc w:val="left"/>
      <w:pPr>
        <w:ind w:left="720" w:hanging="360"/>
      </w:pPr>
    </w:lvl>
    <w:lvl w:ilvl="1" w:tplc="34A062DC">
      <w:numFmt w:val="bullet"/>
      <w:lvlText w:val="-"/>
      <w:lvlJc w:val="left"/>
      <w:pPr>
        <w:ind w:left="1440" w:hanging="360"/>
      </w:pPr>
      <w:rPr>
        <w:rFonts w:ascii="Times New Roman" w:eastAsia="Times New Roman" w:hAnsi="Times New Roman" w:cs="Times New Roman"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EB12F1A"/>
    <w:multiLevelType w:val="hybridMultilevel"/>
    <w:tmpl w:val="6E74E2A2"/>
    <w:lvl w:ilvl="0" w:tplc="0C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E0B93"/>
    <w:multiLevelType w:val="hybridMultilevel"/>
    <w:tmpl w:val="672697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3A110C3"/>
    <w:multiLevelType w:val="multilevel"/>
    <w:tmpl w:val="73FC1D98"/>
    <w:lvl w:ilvl="0">
      <w:start w:val="1"/>
      <w:numFmt w:val="lowerLetter"/>
      <w:pStyle w:val="sfalevel1"/>
      <w:lvlText w:val="%1)"/>
      <w:lvlJc w:val="left"/>
      <w:pPr>
        <w:tabs>
          <w:tab w:val="num" w:pos="0"/>
        </w:tabs>
        <w:ind w:left="0" w:firstLine="0"/>
      </w:pPr>
      <w:rPr>
        <w:rFonts w:ascii="Times New Roman" w:eastAsia="Times New Roman" w:hAnsi="Times New Roman" w:cs="Times New Roman"/>
        <w:lang w:val="en-US" w:eastAsia="en-US" w:bidi="ar-SA"/>
      </w:rPr>
    </w:lvl>
    <w:lvl w:ilvl="1">
      <w:start w:val="1"/>
      <w:numFmt w:val="lowerLetter"/>
      <w:pStyle w:val="sfalevel2"/>
      <w:lvlText w:val="(%2)"/>
      <w:lvlJc w:val="left"/>
      <w:pPr>
        <w:tabs>
          <w:tab w:val="num" w:pos="720"/>
        </w:tabs>
        <w:ind w:left="0" w:firstLine="720"/>
      </w:pPr>
      <w:rPr>
        <w:lang w:val="en-US" w:eastAsia="en-US" w:bidi="ar-SA"/>
      </w:rPr>
    </w:lvl>
    <w:lvl w:ilvl="2">
      <w:start w:val="1"/>
      <w:numFmt w:val="lowerRoman"/>
      <w:pStyle w:val="sfalevel3"/>
      <w:lvlText w:val="(%3)"/>
      <w:lvlJc w:val="left"/>
      <w:pPr>
        <w:tabs>
          <w:tab w:val="num" w:pos="1440"/>
        </w:tabs>
        <w:ind w:left="0" w:firstLine="1440"/>
      </w:pPr>
      <w:rPr>
        <w:lang w:val="en-US" w:eastAsia="en-US" w:bidi="ar-SA"/>
      </w:rPr>
    </w:lvl>
    <w:lvl w:ilvl="3">
      <w:start w:val="1"/>
      <w:numFmt w:val="decimal"/>
      <w:lvlText w:val="%1.%2.%3.%4."/>
      <w:lvlJc w:val="left"/>
      <w:pPr>
        <w:tabs>
          <w:tab w:val="num" w:pos="1728"/>
        </w:tabs>
        <w:ind w:left="1728" w:hanging="648"/>
      </w:pPr>
      <w:rPr>
        <w:lang w:val="en-US" w:eastAsia="en-US" w:bidi="ar-SA"/>
      </w:rPr>
    </w:lvl>
    <w:lvl w:ilvl="4">
      <w:start w:val="1"/>
      <w:numFmt w:val="decimal"/>
      <w:lvlText w:val="%1.%2.%3.%4.%5."/>
      <w:lvlJc w:val="left"/>
      <w:pPr>
        <w:tabs>
          <w:tab w:val="num" w:pos="2232"/>
        </w:tabs>
        <w:ind w:left="2232" w:hanging="792"/>
      </w:pPr>
      <w:rPr>
        <w:lang w:val="en-US" w:eastAsia="en-US" w:bidi="ar-SA"/>
      </w:rPr>
    </w:lvl>
    <w:lvl w:ilvl="5">
      <w:start w:val="1"/>
      <w:numFmt w:val="decimal"/>
      <w:lvlText w:val="%1.%2.%3.%4.%5.%6."/>
      <w:lvlJc w:val="left"/>
      <w:pPr>
        <w:tabs>
          <w:tab w:val="num" w:pos="2736"/>
        </w:tabs>
        <w:ind w:left="2736" w:hanging="936"/>
      </w:pPr>
      <w:rPr>
        <w:lang w:val="en-US" w:eastAsia="en-US" w:bidi="ar-SA"/>
      </w:rPr>
    </w:lvl>
    <w:lvl w:ilvl="6">
      <w:start w:val="1"/>
      <w:numFmt w:val="decimal"/>
      <w:lvlText w:val="%1.%2.%3.%4.%5.%6.%7."/>
      <w:lvlJc w:val="left"/>
      <w:pPr>
        <w:tabs>
          <w:tab w:val="num" w:pos="3240"/>
        </w:tabs>
        <w:ind w:left="3240" w:hanging="1080"/>
      </w:pPr>
      <w:rPr>
        <w:lang w:val="en-US" w:eastAsia="en-US" w:bidi="ar-SA"/>
      </w:rPr>
    </w:lvl>
    <w:lvl w:ilvl="7">
      <w:start w:val="1"/>
      <w:numFmt w:val="decimal"/>
      <w:lvlText w:val="%1.%2.%3.%4.%5.%6.%7.%8."/>
      <w:lvlJc w:val="left"/>
      <w:pPr>
        <w:tabs>
          <w:tab w:val="num" w:pos="3744"/>
        </w:tabs>
        <w:ind w:left="3744" w:hanging="1224"/>
      </w:pPr>
      <w:rPr>
        <w:lang w:val="en-US" w:eastAsia="en-US" w:bidi="ar-SA"/>
      </w:rPr>
    </w:lvl>
    <w:lvl w:ilvl="8">
      <w:start w:val="1"/>
      <w:numFmt w:val="decimal"/>
      <w:lvlText w:val="%1.%2.%3.%4.%5.%6.%7.%8.%9."/>
      <w:lvlJc w:val="left"/>
      <w:pPr>
        <w:tabs>
          <w:tab w:val="num" w:pos="4320"/>
        </w:tabs>
        <w:ind w:left="4320" w:hanging="1440"/>
      </w:pPr>
      <w:rPr>
        <w:lang w:val="en-US" w:eastAsia="en-US" w:bidi="ar-SA"/>
      </w:rPr>
    </w:lvl>
  </w:abstractNum>
  <w:abstractNum w:abstractNumId="7" w15:restartNumberingAfterBreak="0">
    <w:nsid w:val="63882863"/>
    <w:multiLevelType w:val="hybridMultilevel"/>
    <w:tmpl w:val="20F4A5C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4FB2D35"/>
    <w:multiLevelType w:val="hybridMultilevel"/>
    <w:tmpl w:val="1E54BC16"/>
    <w:lvl w:ilvl="0" w:tplc="0C0C0011">
      <w:start w:val="1"/>
      <w:numFmt w:val="decimal"/>
      <w:lvlText w:val="%1)"/>
      <w:lvlJc w:val="left"/>
      <w:pPr>
        <w:ind w:left="720" w:hanging="360"/>
      </w:pPr>
    </w:lvl>
    <w:lvl w:ilvl="1" w:tplc="34A062DC">
      <w:numFmt w:val="bullet"/>
      <w:lvlText w:val="-"/>
      <w:lvlJc w:val="left"/>
      <w:pPr>
        <w:ind w:left="1440" w:hanging="360"/>
      </w:pPr>
      <w:rPr>
        <w:rFonts w:ascii="Times New Roman" w:eastAsia="Times New Roman" w:hAnsi="Times New Roman" w:cs="Times New Roman"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76D1F5E"/>
    <w:multiLevelType w:val="hybridMultilevel"/>
    <w:tmpl w:val="1E54BC16"/>
    <w:lvl w:ilvl="0" w:tplc="0C0C0011">
      <w:start w:val="1"/>
      <w:numFmt w:val="decimal"/>
      <w:lvlText w:val="%1)"/>
      <w:lvlJc w:val="left"/>
      <w:pPr>
        <w:ind w:left="720" w:hanging="360"/>
      </w:pPr>
    </w:lvl>
    <w:lvl w:ilvl="1" w:tplc="34A062DC">
      <w:numFmt w:val="bullet"/>
      <w:lvlText w:val="-"/>
      <w:lvlJc w:val="left"/>
      <w:pPr>
        <w:ind w:left="1440" w:hanging="360"/>
      </w:pPr>
      <w:rPr>
        <w:rFonts w:ascii="Times New Roman" w:eastAsia="Times New Roman" w:hAnsi="Times New Roman" w:cs="Times New Roman"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0BB73C5"/>
    <w:multiLevelType w:val="hybridMultilevel"/>
    <w:tmpl w:val="30B4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072C24"/>
    <w:multiLevelType w:val="hybridMultilevel"/>
    <w:tmpl w:val="4A7A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3"/>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4"/>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6"/>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0C"/>
    <w:rsid w:val="000028A8"/>
    <w:rsid w:val="0000382E"/>
    <w:rsid w:val="000133C9"/>
    <w:rsid w:val="00016D8E"/>
    <w:rsid w:val="000371E2"/>
    <w:rsid w:val="00044A16"/>
    <w:rsid w:val="00050761"/>
    <w:rsid w:val="0005304C"/>
    <w:rsid w:val="000533E8"/>
    <w:rsid w:val="0005357D"/>
    <w:rsid w:val="00054DE6"/>
    <w:rsid w:val="0007616F"/>
    <w:rsid w:val="00084B36"/>
    <w:rsid w:val="00085E16"/>
    <w:rsid w:val="00096BE6"/>
    <w:rsid w:val="000A7D5E"/>
    <w:rsid w:val="000B55E1"/>
    <w:rsid w:val="000B7CAE"/>
    <w:rsid w:val="000D36D0"/>
    <w:rsid w:val="000D423E"/>
    <w:rsid w:val="000D5B20"/>
    <w:rsid w:val="000E0D88"/>
    <w:rsid w:val="000E3D55"/>
    <w:rsid w:val="000F12F7"/>
    <w:rsid w:val="000F7A7C"/>
    <w:rsid w:val="0010788C"/>
    <w:rsid w:val="00110122"/>
    <w:rsid w:val="00123D12"/>
    <w:rsid w:val="00130F31"/>
    <w:rsid w:val="0013292A"/>
    <w:rsid w:val="00145A84"/>
    <w:rsid w:val="00165701"/>
    <w:rsid w:val="001662EC"/>
    <w:rsid w:val="00166653"/>
    <w:rsid w:val="001804CB"/>
    <w:rsid w:val="0018418D"/>
    <w:rsid w:val="001B3C35"/>
    <w:rsid w:val="001C7477"/>
    <w:rsid w:val="001C7EAC"/>
    <w:rsid w:val="001D2AD1"/>
    <w:rsid w:val="001D5DC7"/>
    <w:rsid w:val="001E1E0E"/>
    <w:rsid w:val="001E2CE3"/>
    <w:rsid w:val="001E3A4E"/>
    <w:rsid w:val="001E3C2B"/>
    <w:rsid w:val="001E6B1E"/>
    <w:rsid w:val="001F4A8B"/>
    <w:rsid w:val="00200982"/>
    <w:rsid w:val="00216A2C"/>
    <w:rsid w:val="00222E04"/>
    <w:rsid w:val="00236EEE"/>
    <w:rsid w:val="00246E56"/>
    <w:rsid w:val="00274857"/>
    <w:rsid w:val="0029120B"/>
    <w:rsid w:val="002A1F6E"/>
    <w:rsid w:val="002A2178"/>
    <w:rsid w:val="002A6AFF"/>
    <w:rsid w:val="002B0BA9"/>
    <w:rsid w:val="002B0D34"/>
    <w:rsid w:val="002B5109"/>
    <w:rsid w:val="002D11D4"/>
    <w:rsid w:val="002D26CB"/>
    <w:rsid w:val="002F2546"/>
    <w:rsid w:val="00310611"/>
    <w:rsid w:val="0031775A"/>
    <w:rsid w:val="003309AD"/>
    <w:rsid w:val="00333ECE"/>
    <w:rsid w:val="00337359"/>
    <w:rsid w:val="0034153D"/>
    <w:rsid w:val="00351F3E"/>
    <w:rsid w:val="00354721"/>
    <w:rsid w:val="00360109"/>
    <w:rsid w:val="00362363"/>
    <w:rsid w:val="00375154"/>
    <w:rsid w:val="00384338"/>
    <w:rsid w:val="00384C03"/>
    <w:rsid w:val="00386842"/>
    <w:rsid w:val="00387C21"/>
    <w:rsid w:val="003900F7"/>
    <w:rsid w:val="003973B7"/>
    <w:rsid w:val="00397A65"/>
    <w:rsid w:val="003B0ADE"/>
    <w:rsid w:val="003B2693"/>
    <w:rsid w:val="003B604B"/>
    <w:rsid w:val="003C723F"/>
    <w:rsid w:val="003D5C46"/>
    <w:rsid w:val="004000AF"/>
    <w:rsid w:val="00422167"/>
    <w:rsid w:val="00425E71"/>
    <w:rsid w:val="004457AB"/>
    <w:rsid w:val="00445CFC"/>
    <w:rsid w:val="004460D9"/>
    <w:rsid w:val="00460DED"/>
    <w:rsid w:val="00465B98"/>
    <w:rsid w:val="00471443"/>
    <w:rsid w:val="00474D96"/>
    <w:rsid w:val="0048350D"/>
    <w:rsid w:val="00483F88"/>
    <w:rsid w:val="004A1CF7"/>
    <w:rsid w:val="004B03EA"/>
    <w:rsid w:val="004B2C0F"/>
    <w:rsid w:val="004E5474"/>
    <w:rsid w:val="004E68AD"/>
    <w:rsid w:val="00505C7E"/>
    <w:rsid w:val="005248D1"/>
    <w:rsid w:val="005252FF"/>
    <w:rsid w:val="00527E4F"/>
    <w:rsid w:val="00532D1D"/>
    <w:rsid w:val="00532E61"/>
    <w:rsid w:val="00536954"/>
    <w:rsid w:val="00545AC0"/>
    <w:rsid w:val="005468A5"/>
    <w:rsid w:val="00547414"/>
    <w:rsid w:val="00551C05"/>
    <w:rsid w:val="005662C4"/>
    <w:rsid w:val="005748AB"/>
    <w:rsid w:val="005774D8"/>
    <w:rsid w:val="00586A19"/>
    <w:rsid w:val="005873C6"/>
    <w:rsid w:val="005901B0"/>
    <w:rsid w:val="00596773"/>
    <w:rsid w:val="005A344A"/>
    <w:rsid w:val="005A54C5"/>
    <w:rsid w:val="005C12F4"/>
    <w:rsid w:val="005C2B63"/>
    <w:rsid w:val="005C4282"/>
    <w:rsid w:val="005C58D0"/>
    <w:rsid w:val="005E6FF6"/>
    <w:rsid w:val="005F0441"/>
    <w:rsid w:val="00602E0C"/>
    <w:rsid w:val="006052BF"/>
    <w:rsid w:val="00614103"/>
    <w:rsid w:val="006237DE"/>
    <w:rsid w:val="00632108"/>
    <w:rsid w:val="006321A9"/>
    <w:rsid w:val="00634FF5"/>
    <w:rsid w:val="00644DF0"/>
    <w:rsid w:val="00650B81"/>
    <w:rsid w:val="00657AF5"/>
    <w:rsid w:val="00666277"/>
    <w:rsid w:val="00670398"/>
    <w:rsid w:val="00675BF3"/>
    <w:rsid w:val="00681B86"/>
    <w:rsid w:val="00692CB5"/>
    <w:rsid w:val="006937FE"/>
    <w:rsid w:val="006A0E9E"/>
    <w:rsid w:val="006A6F05"/>
    <w:rsid w:val="006C4E79"/>
    <w:rsid w:val="006E25CC"/>
    <w:rsid w:val="006E3870"/>
    <w:rsid w:val="006E7B0C"/>
    <w:rsid w:val="006F01E8"/>
    <w:rsid w:val="006F44A0"/>
    <w:rsid w:val="007065C2"/>
    <w:rsid w:val="00720303"/>
    <w:rsid w:val="00723B00"/>
    <w:rsid w:val="00724051"/>
    <w:rsid w:val="00733374"/>
    <w:rsid w:val="00734AC3"/>
    <w:rsid w:val="00753013"/>
    <w:rsid w:val="0077771C"/>
    <w:rsid w:val="007821CB"/>
    <w:rsid w:val="00784987"/>
    <w:rsid w:val="007857AD"/>
    <w:rsid w:val="007921B4"/>
    <w:rsid w:val="00793081"/>
    <w:rsid w:val="0079462F"/>
    <w:rsid w:val="007A7384"/>
    <w:rsid w:val="007C233A"/>
    <w:rsid w:val="007C4B5C"/>
    <w:rsid w:val="007D2BE2"/>
    <w:rsid w:val="007E3CCC"/>
    <w:rsid w:val="007E7628"/>
    <w:rsid w:val="007F4C68"/>
    <w:rsid w:val="00803A14"/>
    <w:rsid w:val="0080658D"/>
    <w:rsid w:val="00812740"/>
    <w:rsid w:val="008348B6"/>
    <w:rsid w:val="0083741D"/>
    <w:rsid w:val="00852821"/>
    <w:rsid w:val="0086022C"/>
    <w:rsid w:val="00861B0B"/>
    <w:rsid w:val="0086345F"/>
    <w:rsid w:val="00864C9A"/>
    <w:rsid w:val="008651D2"/>
    <w:rsid w:val="00871657"/>
    <w:rsid w:val="00872000"/>
    <w:rsid w:val="0087464B"/>
    <w:rsid w:val="00881811"/>
    <w:rsid w:val="008845D2"/>
    <w:rsid w:val="00894FC1"/>
    <w:rsid w:val="00897206"/>
    <w:rsid w:val="00897BF2"/>
    <w:rsid w:val="008A6444"/>
    <w:rsid w:val="008B31EC"/>
    <w:rsid w:val="008C5B4F"/>
    <w:rsid w:val="008D2ECD"/>
    <w:rsid w:val="008E0B25"/>
    <w:rsid w:val="008E10C3"/>
    <w:rsid w:val="00921370"/>
    <w:rsid w:val="0093753D"/>
    <w:rsid w:val="00946129"/>
    <w:rsid w:val="0095128F"/>
    <w:rsid w:val="009576A4"/>
    <w:rsid w:val="00975F2C"/>
    <w:rsid w:val="00991BC3"/>
    <w:rsid w:val="00992100"/>
    <w:rsid w:val="00992CF2"/>
    <w:rsid w:val="009A7D81"/>
    <w:rsid w:val="009C4468"/>
    <w:rsid w:val="009C506D"/>
    <w:rsid w:val="009D09D2"/>
    <w:rsid w:val="009D7156"/>
    <w:rsid w:val="009E220F"/>
    <w:rsid w:val="009E4FCE"/>
    <w:rsid w:val="009E5F05"/>
    <w:rsid w:val="009F04A9"/>
    <w:rsid w:val="009F5573"/>
    <w:rsid w:val="009F5BAC"/>
    <w:rsid w:val="00A001B9"/>
    <w:rsid w:val="00A1202D"/>
    <w:rsid w:val="00A16EAF"/>
    <w:rsid w:val="00A24CB9"/>
    <w:rsid w:val="00A27A0B"/>
    <w:rsid w:val="00A3241F"/>
    <w:rsid w:val="00A460F6"/>
    <w:rsid w:val="00A5130C"/>
    <w:rsid w:val="00A67301"/>
    <w:rsid w:val="00A800F0"/>
    <w:rsid w:val="00A8376E"/>
    <w:rsid w:val="00A9592F"/>
    <w:rsid w:val="00AB2AC1"/>
    <w:rsid w:val="00AB3DF7"/>
    <w:rsid w:val="00AB4613"/>
    <w:rsid w:val="00AD3363"/>
    <w:rsid w:val="00AD381E"/>
    <w:rsid w:val="00AE7D63"/>
    <w:rsid w:val="00AF41C4"/>
    <w:rsid w:val="00AF4DEF"/>
    <w:rsid w:val="00AF7091"/>
    <w:rsid w:val="00B04127"/>
    <w:rsid w:val="00B23BF8"/>
    <w:rsid w:val="00B30D27"/>
    <w:rsid w:val="00B43CDA"/>
    <w:rsid w:val="00B46FAC"/>
    <w:rsid w:val="00B50E19"/>
    <w:rsid w:val="00B53D54"/>
    <w:rsid w:val="00B6069C"/>
    <w:rsid w:val="00B66647"/>
    <w:rsid w:val="00B77F9D"/>
    <w:rsid w:val="00B901A8"/>
    <w:rsid w:val="00BA3150"/>
    <w:rsid w:val="00BA318C"/>
    <w:rsid w:val="00BA5882"/>
    <w:rsid w:val="00BB7202"/>
    <w:rsid w:val="00BC4603"/>
    <w:rsid w:val="00BD29DC"/>
    <w:rsid w:val="00BD3037"/>
    <w:rsid w:val="00BD3233"/>
    <w:rsid w:val="00BE027B"/>
    <w:rsid w:val="00BE14F0"/>
    <w:rsid w:val="00BE56A3"/>
    <w:rsid w:val="00BF29FA"/>
    <w:rsid w:val="00BF6F2F"/>
    <w:rsid w:val="00BF7470"/>
    <w:rsid w:val="00C13126"/>
    <w:rsid w:val="00C15BB7"/>
    <w:rsid w:val="00C26F0C"/>
    <w:rsid w:val="00C33F50"/>
    <w:rsid w:val="00C373C9"/>
    <w:rsid w:val="00C375D6"/>
    <w:rsid w:val="00C40608"/>
    <w:rsid w:val="00C41C7C"/>
    <w:rsid w:val="00C46EC0"/>
    <w:rsid w:val="00C47B1E"/>
    <w:rsid w:val="00C5755A"/>
    <w:rsid w:val="00C74355"/>
    <w:rsid w:val="00C77060"/>
    <w:rsid w:val="00C77FDA"/>
    <w:rsid w:val="00C82243"/>
    <w:rsid w:val="00C86F21"/>
    <w:rsid w:val="00C90A4E"/>
    <w:rsid w:val="00C95E73"/>
    <w:rsid w:val="00CA0C55"/>
    <w:rsid w:val="00CA0D48"/>
    <w:rsid w:val="00CA6B24"/>
    <w:rsid w:val="00CB062B"/>
    <w:rsid w:val="00CB07FC"/>
    <w:rsid w:val="00CB0BE3"/>
    <w:rsid w:val="00CB48E3"/>
    <w:rsid w:val="00CB6F34"/>
    <w:rsid w:val="00CD1FF6"/>
    <w:rsid w:val="00CD6260"/>
    <w:rsid w:val="00CE32C4"/>
    <w:rsid w:val="00CE4610"/>
    <w:rsid w:val="00CE602C"/>
    <w:rsid w:val="00CF2056"/>
    <w:rsid w:val="00D100DC"/>
    <w:rsid w:val="00D12679"/>
    <w:rsid w:val="00D1335E"/>
    <w:rsid w:val="00D1705F"/>
    <w:rsid w:val="00D30F69"/>
    <w:rsid w:val="00D31DF5"/>
    <w:rsid w:val="00D33F3C"/>
    <w:rsid w:val="00D360CE"/>
    <w:rsid w:val="00D37C7E"/>
    <w:rsid w:val="00D42D09"/>
    <w:rsid w:val="00D6291F"/>
    <w:rsid w:val="00D77167"/>
    <w:rsid w:val="00DC0660"/>
    <w:rsid w:val="00DC60AA"/>
    <w:rsid w:val="00DE5DD5"/>
    <w:rsid w:val="00DE72F8"/>
    <w:rsid w:val="00DF0240"/>
    <w:rsid w:val="00DF3B96"/>
    <w:rsid w:val="00E0181C"/>
    <w:rsid w:val="00E24681"/>
    <w:rsid w:val="00E515E7"/>
    <w:rsid w:val="00E52321"/>
    <w:rsid w:val="00E54851"/>
    <w:rsid w:val="00E60B1F"/>
    <w:rsid w:val="00E632E6"/>
    <w:rsid w:val="00E65970"/>
    <w:rsid w:val="00E67E78"/>
    <w:rsid w:val="00E85CC3"/>
    <w:rsid w:val="00E863D0"/>
    <w:rsid w:val="00EA7DDA"/>
    <w:rsid w:val="00EC3E93"/>
    <w:rsid w:val="00EC73F3"/>
    <w:rsid w:val="00ED4057"/>
    <w:rsid w:val="00EE18A0"/>
    <w:rsid w:val="00EF0AB8"/>
    <w:rsid w:val="00F07A11"/>
    <w:rsid w:val="00F10C8F"/>
    <w:rsid w:val="00F12283"/>
    <w:rsid w:val="00F13F5D"/>
    <w:rsid w:val="00F1561E"/>
    <w:rsid w:val="00F165A7"/>
    <w:rsid w:val="00F20B19"/>
    <w:rsid w:val="00F37538"/>
    <w:rsid w:val="00F37C7F"/>
    <w:rsid w:val="00F46C27"/>
    <w:rsid w:val="00F52CF6"/>
    <w:rsid w:val="00F57233"/>
    <w:rsid w:val="00F601F9"/>
    <w:rsid w:val="00F65D0B"/>
    <w:rsid w:val="00F75B57"/>
    <w:rsid w:val="00F804AD"/>
    <w:rsid w:val="00F81453"/>
    <w:rsid w:val="00F86B60"/>
    <w:rsid w:val="00F86F92"/>
    <w:rsid w:val="00F932BC"/>
    <w:rsid w:val="00FB171C"/>
    <w:rsid w:val="00FB698D"/>
    <w:rsid w:val="00FC0988"/>
    <w:rsid w:val="00FC7244"/>
    <w:rsid w:val="00FD24B5"/>
    <w:rsid w:val="00FD4791"/>
    <w:rsid w:val="00FD7CB0"/>
    <w:rsid w:val="00FE3536"/>
    <w:rsid w:val="00FE5D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90094"/>
  <w15:docId w15:val="{FD220DE4-9FD4-4C86-868F-098B09A2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2E0C"/>
    <w:pPr>
      <w:spacing w:before="100" w:beforeAutospacing="1" w:after="100" w:afterAutospacing="1"/>
    </w:pPr>
    <w:rPr>
      <w:color w:val="000000"/>
    </w:rPr>
  </w:style>
  <w:style w:type="character" w:styleId="Hyperlink">
    <w:name w:val="Hyperlink"/>
    <w:uiPriority w:val="99"/>
    <w:rsid w:val="00602E0C"/>
    <w:rPr>
      <w:rFonts w:cs="Times New Roman"/>
      <w:color w:val="0000FF"/>
      <w:u w:val="single"/>
    </w:rPr>
  </w:style>
  <w:style w:type="paragraph" w:styleId="BodyText">
    <w:name w:val="Body Text"/>
    <w:basedOn w:val="Normal"/>
    <w:link w:val="BodyTextChar"/>
    <w:uiPriority w:val="99"/>
    <w:rsid w:val="00602E0C"/>
    <w:pPr>
      <w:jc w:val="both"/>
    </w:pPr>
    <w:rPr>
      <w:sz w:val="22"/>
      <w:szCs w:val="20"/>
      <w:lang w:val="en-CA"/>
    </w:rPr>
  </w:style>
  <w:style w:type="character" w:customStyle="1" w:styleId="BodyTextChar">
    <w:name w:val="Body Text Char"/>
    <w:basedOn w:val="DefaultParagraphFont"/>
    <w:link w:val="BodyText"/>
    <w:uiPriority w:val="99"/>
    <w:rsid w:val="00602E0C"/>
    <w:rPr>
      <w:rFonts w:ascii="Times New Roman" w:eastAsia="Times New Roman" w:hAnsi="Times New Roman" w:cs="Times New Roman"/>
      <w:szCs w:val="20"/>
      <w:lang w:val="en-CA"/>
    </w:rPr>
  </w:style>
  <w:style w:type="paragraph" w:styleId="Header">
    <w:name w:val="header"/>
    <w:basedOn w:val="Normal"/>
    <w:link w:val="HeaderChar"/>
    <w:uiPriority w:val="99"/>
    <w:rsid w:val="00602E0C"/>
    <w:pPr>
      <w:tabs>
        <w:tab w:val="center" w:pos="4680"/>
        <w:tab w:val="right" w:pos="9360"/>
      </w:tabs>
    </w:pPr>
    <w:rPr>
      <w:szCs w:val="20"/>
    </w:rPr>
  </w:style>
  <w:style w:type="character" w:customStyle="1" w:styleId="HeaderChar">
    <w:name w:val="Header Char"/>
    <w:basedOn w:val="DefaultParagraphFont"/>
    <w:link w:val="Header"/>
    <w:uiPriority w:val="99"/>
    <w:rsid w:val="00602E0C"/>
    <w:rPr>
      <w:rFonts w:ascii="Times New Roman" w:eastAsia="Times New Roman" w:hAnsi="Times New Roman" w:cs="Times New Roman"/>
      <w:sz w:val="24"/>
      <w:szCs w:val="20"/>
    </w:rPr>
  </w:style>
  <w:style w:type="paragraph" w:styleId="Footer">
    <w:name w:val="footer"/>
    <w:basedOn w:val="Normal"/>
    <w:link w:val="FooterChar"/>
    <w:rsid w:val="00602E0C"/>
    <w:pPr>
      <w:tabs>
        <w:tab w:val="center" w:pos="4680"/>
        <w:tab w:val="right" w:pos="9360"/>
      </w:tabs>
    </w:pPr>
    <w:rPr>
      <w:szCs w:val="20"/>
    </w:rPr>
  </w:style>
  <w:style w:type="character" w:customStyle="1" w:styleId="FooterChar">
    <w:name w:val="Footer Char"/>
    <w:basedOn w:val="DefaultParagraphFont"/>
    <w:link w:val="Footer"/>
    <w:rsid w:val="00602E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2E0C"/>
    <w:rPr>
      <w:rFonts w:ascii="Tahoma" w:hAnsi="Tahoma" w:cs="Tahoma"/>
      <w:sz w:val="16"/>
      <w:szCs w:val="16"/>
    </w:rPr>
  </w:style>
  <w:style w:type="character" w:customStyle="1" w:styleId="BalloonTextChar">
    <w:name w:val="Balloon Text Char"/>
    <w:basedOn w:val="DefaultParagraphFont"/>
    <w:link w:val="BalloonText"/>
    <w:uiPriority w:val="99"/>
    <w:semiHidden/>
    <w:rsid w:val="00602E0C"/>
    <w:rPr>
      <w:rFonts w:ascii="Tahoma" w:eastAsia="Times New Roman" w:hAnsi="Tahoma" w:cs="Tahoma"/>
      <w:sz w:val="16"/>
      <w:szCs w:val="16"/>
    </w:rPr>
  </w:style>
  <w:style w:type="table" w:styleId="TableGrid">
    <w:name w:val="Table Grid"/>
    <w:basedOn w:val="TableNormal"/>
    <w:uiPriority w:val="59"/>
    <w:rsid w:val="00445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66277"/>
    <w:pPr>
      <w:widowControl w:val="0"/>
      <w:autoSpaceDE w:val="0"/>
      <w:autoSpaceDN w:val="0"/>
      <w:adjustRightInd w:val="0"/>
      <w:ind w:left="720"/>
      <w:contextualSpacing/>
    </w:pPr>
    <w:rPr>
      <w:sz w:val="20"/>
      <w:szCs w:val="20"/>
      <w:lang w:eastAsia="fr-CA"/>
    </w:rPr>
  </w:style>
  <w:style w:type="character" w:styleId="CommentReference">
    <w:name w:val="annotation reference"/>
    <w:basedOn w:val="DefaultParagraphFont"/>
    <w:uiPriority w:val="99"/>
    <w:semiHidden/>
    <w:unhideWhenUsed/>
    <w:rsid w:val="00666277"/>
    <w:rPr>
      <w:sz w:val="16"/>
      <w:szCs w:val="16"/>
    </w:rPr>
  </w:style>
  <w:style w:type="paragraph" w:styleId="CommentText">
    <w:name w:val="annotation text"/>
    <w:basedOn w:val="Normal"/>
    <w:link w:val="CommentTextChar"/>
    <w:uiPriority w:val="99"/>
    <w:semiHidden/>
    <w:unhideWhenUsed/>
    <w:rsid w:val="00666277"/>
    <w:pPr>
      <w:widowControl w:val="0"/>
      <w:autoSpaceDE w:val="0"/>
      <w:autoSpaceDN w:val="0"/>
      <w:adjustRightInd w:val="0"/>
    </w:pPr>
    <w:rPr>
      <w:sz w:val="20"/>
      <w:szCs w:val="20"/>
      <w:lang w:eastAsia="fr-CA"/>
    </w:rPr>
  </w:style>
  <w:style w:type="character" w:customStyle="1" w:styleId="CommentTextChar">
    <w:name w:val="Comment Text Char"/>
    <w:basedOn w:val="DefaultParagraphFont"/>
    <w:link w:val="CommentText"/>
    <w:uiPriority w:val="99"/>
    <w:semiHidden/>
    <w:rsid w:val="00666277"/>
    <w:rPr>
      <w:rFonts w:ascii="Times New Roman" w:eastAsia="Times New Roman" w:hAnsi="Times New Roman" w:cs="Times New Roman"/>
      <w:sz w:val="20"/>
      <w:szCs w:val="20"/>
      <w:lang w:eastAsia="fr-CA"/>
    </w:rPr>
  </w:style>
  <w:style w:type="paragraph" w:customStyle="1" w:styleId="sfalevel1">
    <w:name w:val="sfalevel1"/>
    <w:basedOn w:val="Normal"/>
    <w:next w:val="Normal"/>
    <w:rsid w:val="00E52321"/>
    <w:pPr>
      <w:numPr>
        <w:numId w:val="6"/>
      </w:numPr>
      <w:spacing w:before="240" w:line="300" w:lineRule="atLeast"/>
    </w:pPr>
  </w:style>
  <w:style w:type="paragraph" w:customStyle="1" w:styleId="sfalevel2">
    <w:name w:val="sfalevel2"/>
    <w:basedOn w:val="Normal"/>
    <w:rsid w:val="00E52321"/>
    <w:pPr>
      <w:numPr>
        <w:ilvl w:val="1"/>
        <w:numId w:val="6"/>
      </w:numPr>
      <w:spacing w:before="240" w:line="300" w:lineRule="atLeast"/>
    </w:pPr>
  </w:style>
  <w:style w:type="paragraph" w:customStyle="1" w:styleId="sfalevel3">
    <w:name w:val="sfalevel3"/>
    <w:basedOn w:val="Normal"/>
    <w:rsid w:val="00E52321"/>
    <w:pPr>
      <w:numPr>
        <w:ilvl w:val="2"/>
        <w:numId w:val="6"/>
      </w:numPr>
      <w:spacing w:before="240" w:line="300" w:lineRule="atLeast"/>
    </w:pPr>
  </w:style>
  <w:style w:type="character" w:styleId="Emphasis">
    <w:name w:val="Emphasis"/>
    <w:basedOn w:val="DefaultParagraphFont"/>
    <w:uiPriority w:val="20"/>
    <w:qFormat/>
    <w:rsid w:val="00B901A8"/>
    <w:rPr>
      <w:i/>
      <w:iCs/>
    </w:rPr>
  </w:style>
  <w:style w:type="paragraph" w:styleId="CommentSubject">
    <w:name w:val="annotation subject"/>
    <w:basedOn w:val="CommentText"/>
    <w:next w:val="CommentText"/>
    <w:link w:val="CommentSubjectChar"/>
    <w:uiPriority w:val="99"/>
    <w:semiHidden/>
    <w:unhideWhenUsed/>
    <w:rsid w:val="00145A84"/>
    <w:pPr>
      <w:widowControl/>
      <w:autoSpaceDE/>
      <w:autoSpaceDN/>
      <w:adjustRightInd/>
    </w:pPr>
    <w:rPr>
      <w:b/>
      <w:bCs/>
      <w:lang w:eastAsia="en-US"/>
    </w:rPr>
  </w:style>
  <w:style w:type="character" w:customStyle="1" w:styleId="CommentSubjectChar">
    <w:name w:val="Comment Subject Char"/>
    <w:basedOn w:val="CommentTextChar"/>
    <w:link w:val="CommentSubject"/>
    <w:uiPriority w:val="99"/>
    <w:semiHidden/>
    <w:rsid w:val="00145A84"/>
    <w:rPr>
      <w:rFonts w:ascii="Times New Roman" w:eastAsia="Times New Roman" w:hAnsi="Times New Roman" w:cs="Times New Roman"/>
      <w:b/>
      <w:bCs/>
      <w:sz w:val="20"/>
      <w:szCs w:val="20"/>
      <w:lang w:eastAsia="fr-CA"/>
    </w:rPr>
  </w:style>
  <w:style w:type="paragraph" w:customStyle="1" w:styleId="Default">
    <w:name w:val="Default"/>
    <w:rsid w:val="00474D9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2">
    <w:name w:val="s2"/>
    <w:basedOn w:val="DefaultParagraphFont"/>
    <w:rsid w:val="00474D96"/>
  </w:style>
  <w:style w:type="paragraph" w:customStyle="1" w:styleId="p4">
    <w:name w:val="p4"/>
    <w:basedOn w:val="Normal"/>
    <w:rsid w:val="00474D96"/>
    <w:pPr>
      <w:spacing w:before="100" w:beforeAutospacing="1" w:after="100" w:afterAutospacing="1"/>
    </w:pPr>
  </w:style>
  <w:style w:type="character" w:customStyle="1" w:styleId="s3">
    <w:name w:val="s3"/>
    <w:basedOn w:val="DefaultParagraphFont"/>
    <w:rsid w:val="00474D96"/>
  </w:style>
  <w:style w:type="character" w:customStyle="1" w:styleId="s1">
    <w:name w:val="s1"/>
    <w:basedOn w:val="DefaultParagraphFont"/>
    <w:rsid w:val="0047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99359">
      <w:bodyDiv w:val="1"/>
      <w:marLeft w:val="0"/>
      <w:marRight w:val="0"/>
      <w:marTop w:val="0"/>
      <w:marBottom w:val="0"/>
      <w:divBdr>
        <w:top w:val="none" w:sz="0" w:space="0" w:color="auto"/>
        <w:left w:val="none" w:sz="0" w:space="0" w:color="auto"/>
        <w:bottom w:val="none" w:sz="0" w:space="0" w:color="auto"/>
        <w:right w:val="none" w:sz="0" w:space="0" w:color="auto"/>
      </w:divBdr>
    </w:div>
    <w:div w:id="655644603">
      <w:bodyDiv w:val="1"/>
      <w:marLeft w:val="0"/>
      <w:marRight w:val="0"/>
      <w:marTop w:val="0"/>
      <w:marBottom w:val="0"/>
      <w:divBdr>
        <w:top w:val="none" w:sz="0" w:space="0" w:color="auto"/>
        <w:left w:val="none" w:sz="0" w:space="0" w:color="auto"/>
        <w:bottom w:val="none" w:sz="0" w:space="0" w:color="auto"/>
        <w:right w:val="none" w:sz="0" w:space="0" w:color="auto"/>
      </w:divBdr>
    </w:div>
    <w:div w:id="1074862262">
      <w:bodyDiv w:val="1"/>
      <w:marLeft w:val="0"/>
      <w:marRight w:val="0"/>
      <w:marTop w:val="0"/>
      <w:marBottom w:val="0"/>
      <w:divBdr>
        <w:top w:val="none" w:sz="0" w:space="0" w:color="auto"/>
        <w:left w:val="none" w:sz="0" w:space="0" w:color="auto"/>
        <w:bottom w:val="none" w:sz="0" w:space="0" w:color="auto"/>
        <w:right w:val="none" w:sz="0" w:space="0" w:color="auto"/>
      </w:divBdr>
    </w:div>
    <w:div w:id="1113981981">
      <w:bodyDiv w:val="1"/>
      <w:marLeft w:val="0"/>
      <w:marRight w:val="0"/>
      <w:marTop w:val="0"/>
      <w:marBottom w:val="0"/>
      <w:divBdr>
        <w:top w:val="none" w:sz="0" w:space="0" w:color="auto"/>
        <w:left w:val="none" w:sz="0" w:space="0" w:color="auto"/>
        <w:bottom w:val="none" w:sz="0" w:space="0" w:color="auto"/>
        <w:right w:val="none" w:sz="0" w:space="0" w:color="auto"/>
      </w:divBdr>
    </w:div>
    <w:div w:id="1520705402">
      <w:bodyDiv w:val="1"/>
      <w:marLeft w:val="0"/>
      <w:marRight w:val="0"/>
      <w:marTop w:val="0"/>
      <w:marBottom w:val="0"/>
      <w:divBdr>
        <w:top w:val="none" w:sz="0" w:space="0" w:color="auto"/>
        <w:left w:val="none" w:sz="0" w:space="0" w:color="auto"/>
        <w:bottom w:val="none" w:sz="0" w:space="0" w:color="auto"/>
        <w:right w:val="none" w:sz="0" w:space="0" w:color="auto"/>
      </w:divBdr>
    </w:div>
    <w:div w:id="1550726391">
      <w:bodyDiv w:val="1"/>
      <w:marLeft w:val="0"/>
      <w:marRight w:val="0"/>
      <w:marTop w:val="0"/>
      <w:marBottom w:val="0"/>
      <w:divBdr>
        <w:top w:val="none" w:sz="0" w:space="0" w:color="auto"/>
        <w:left w:val="none" w:sz="0" w:space="0" w:color="auto"/>
        <w:bottom w:val="none" w:sz="0" w:space="0" w:color="auto"/>
        <w:right w:val="none" w:sz="0" w:space="0" w:color="auto"/>
      </w:divBdr>
    </w:div>
    <w:div w:id="1615213539">
      <w:bodyDiv w:val="1"/>
      <w:marLeft w:val="0"/>
      <w:marRight w:val="0"/>
      <w:marTop w:val="0"/>
      <w:marBottom w:val="0"/>
      <w:divBdr>
        <w:top w:val="none" w:sz="0" w:space="0" w:color="auto"/>
        <w:left w:val="none" w:sz="0" w:space="0" w:color="auto"/>
        <w:bottom w:val="none" w:sz="0" w:space="0" w:color="auto"/>
        <w:right w:val="none" w:sz="0" w:space="0" w:color="auto"/>
      </w:divBdr>
    </w:div>
    <w:div w:id="1715502673">
      <w:bodyDiv w:val="1"/>
      <w:marLeft w:val="0"/>
      <w:marRight w:val="0"/>
      <w:marTop w:val="0"/>
      <w:marBottom w:val="0"/>
      <w:divBdr>
        <w:top w:val="none" w:sz="0" w:space="0" w:color="auto"/>
        <w:left w:val="none" w:sz="0" w:space="0" w:color="auto"/>
        <w:bottom w:val="none" w:sz="0" w:space="0" w:color="auto"/>
        <w:right w:val="none" w:sz="0" w:space="0" w:color="auto"/>
      </w:divBdr>
    </w:div>
    <w:div w:id="1848514319">
      <w:bodyDiv w:val="1"/>
      <w:marLeft w:val="0"/>
      <w:marRight w:val="0"/>
      <w:marTop w:val="0"/>
      <w:marBottom w:val="0"/>
      <w:divBdr>
        <w:top w:val="none" w:sz="0" w:space="0" w:color="auto"/>
        <w:left w:val="none" w:sz="0" w:space="0" w:color="auto"/>
        <w:bottom w:val="none" w:sz="0" w:space="0" w:color="auto"/>
        <w:right w:val="none" w:sz="0" w:space="0" w:color="auto"/>
      </w:divBdr>
    </w:div>
    <w:div w:id="20398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emgold.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edar.com" TargetMode="External"/><Relationship Id="rId4" Type="http://schemas.openxmlformats.org/officeDocument/2006/relationships/styles" Target="styles.xml"/><Relationship Id="rId9" Type="http://schemas.openxmlformats.org/officeDocument/2006/relationships/hyperlink" Target="http://www.emgol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6DDAE-BAAB-42AD-8BD0-25E200891159}">
  <ds:schemaRefs>
    <ds:schemaRef ds:uri="http://schemas.openxmlformats.org/officeDocument/2006/bibliography"/>
  </ds:schemaRefs>
</ds:datastoreItem>
</file>

<file path=customXml/itemProps2.xml><?xml version="1.0" encoding="utf-8"?>
<ds:datastoreItem xmlns:ds="http://schemas.openxmlformats.org/officeDocument/2006/customXml" ds:itemID="{288111AD-4C59-4699-8749-90AEF2E4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1146</Words>
  <Characters>6537</Characters>
  <Application>Microsoft Office Word</Application>
  <DocSecurity>0</DocSecurity>
  <PresentationFormat/>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Emgold - News Release announcing Golden Arrow Property Option and share consolidation (DW draft 17Jun17)(LC comments 17Jun17)  (LC074225.DOCX;1)</vt:lpstr>
      <vt:lpstr>Emgold - News Release announcing Golden Arrow Property Option and share consolidation (DW draft 17Jun17)(LC comments 17Jun17)  (LC074225.DOCX;1)</vt:lpstr>
    </vt:vector>
  </TitlesOfParts>
  <Company>Hewlett-Packard Company</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Emgold - News Release announcing Golden Arrow Property Option and share consolidation (DW draft 17Jun17)(LC comments 17Jun17)  (LC074225.DOCX;1)</dc:title>
  <dc:subject>LC074225-1/Font=7</dc:subject>
  <dc:creator>David</dc:creator>
  <cp:lastModifiedBy>Diane Mann</cp:lastModifiedBy>
  <cp:revision>2</cp:revision>
  <cp:lastPrinted>2018-05-22T15:54:00Z</cp:lastPrinted>
  <dcterms:created xsi:type="dcterms:W3CDTF">2020-12-16T22:33:00Z</dcterms:created>
  <dcterms:modified xsi:type="dcterms:W3CDTF">2020-12-16T22:33:00Z</dcterms:modified>
</cp:coreProperties>
</file>