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37922" w14:textId="77777777" w:rsidR="00EC7EDF" w:rsidRDefault="00EC7EDF" w:rsidP="00EC7EDF">
      <w:pPr>
        <w:pStyle w:val="Body"/>
        <w:spacing w:after="0"/>
        <w:jc w:val="center"/>
        <w:rPr>
          <w:b/>
        </w:rPr>
      </w:pPr>
      <w:r>
        <w:rPr>
          <w:b/>
        </w:rPr>
        <w:t>Folkstone Capital Corp</w:t>
      </w:r>
      <w:r w:rsidRPr="00D9538A">
        <w:rPr>
          <w:b/>
        </w:rPr>
        <w:t>.</w:t>
      </w:r>
    </w:p>
    <w:p w14:paraId="3DEAF6A0" w14:textId="77777777" w:rsidR="00EC7EDF" w:rsidRDefault="00EC7EDF" w:rsidP="00EC7EDF">
      <w:pPr>
        <w:pStyle w:val="Body"/>
        <w:spacing w:after="0"/>
        <w:jc w:val="center"/>
      </w:pPr>
      <w:r>
        <w:t>1600 - 609 Granville Street</w:t>
      </w:r>
    </w:p>
    <w:p w14:paraId="7A0439E7" w14:textId="77777777" w:rsidR="00EC7EDF" w:rsidRDefault="00EC7EDF" w:rsidP="00EC7EDF">
      <w:pPr>
        <w:pStyle w:val="Body"/>
        <w:spacing w:after="0"/>
        <w:jc w:val="center"/>
        <w:rPr>
          <w:rFonts w:cs="Arial"/>
          <w:color w:val="000000"/>
        </w:rPr>
      </w:pPr>
      <w:r>
        <w:t xml:space="preserve">Vancouver, B.C. </w:t>
      </w:r>
      <w:r>
        <w:rPr>
          <w:rFonts w:cs="Arial"/>
          <w:color w:val="000000"/>
        </w:rPr>
        <w:t>V7Y 1C3</w:t>
      </w:r>
    </w:p>
    <w:p w14:paraId="003CFA17" w14:textId="77777777" w:rsidR="00EC7EDF" w:rsidRDefault="00EC7EDF" w:rsidP="00EC7EDF">
      <w:pPr>
        <w:pStyle w:val="BodyText"/>
        <w:spacing w:before="9"/>
        <w:jc w:val="center"/>
        <w:rPr>
          <w:color w:val="000000"/>
        </w:rPr>
      </w:pPr>
      <w:r>
        <w:rPr>
          <w:color w:val="000000"/>
        </w:rPr>
        <w:t>(778) 331-8505</w:t>
      </w:r>
    </w:p>
    <w:p w14:paraId="111FAADD" w14:textId="77777777" w:rsidR="00EC7EDF" w:rsidRDefault="00EC7EDF" w:rsidP="00EC7EDF">
      <w:pPr>
        <w:pStyle w:val="BodyText"/>
        <w:spacing w:before="9"/>
        <w:jc w:val="center"/>
        <w:rPr>
          <w:color w:val="000000"/>
        </w:rPr>
      </w:pPr>
    </w:p>
    <w:p w14:paraId="4B117322" w14:textId="3E52FF79" w:rsidR="00892B79" w:rsidRDefault="001510F8" w:rsidP="00EC7EDF">
      <w:pPr>
        <w:pStyle w:val="BodyText"/>
        <w:spacing w:before="9"/>
        <w:jc w:val="center"/>
        <w:rPr>
          <w:b/>
        </w:rPr>
      </w:pPr>
      <w:r>
        <w:rPr>
          <w:b/>
        </w:rPr>
        <w:t>FOLKSTONE CAPITAL ANNOUNCES REVOCATION OF CEASE TRADE ORDER</w:t>
      </w:r>
    </w:p>
    <w:p w14:paraId="777ACC5F" w14:textId="77777777" w:rsidR="00892B79" w:rsidRDefault="00892B79">
      <w:pPr>
        <w:pStyle w:val="BodyText"/>
        <w:spacing w:before="1"/>
        <w:rPr>
          <w:b/>
          <w:i w:val="0"/>
        </w:rPr>
      </w:pPr>
    </w:p>
    <w:p w14:paraId="3CFF3D5E" w14:textId="6CBA2648" w:rsidR="00892B79" w:rsidRDefault="001510F8">
      <w:pPr>
        <w:ind w:left="1439" w:right="1437"/>
        <w:jc w:val="both"/>
      </w:pPr>
      <w:r>
        <w:t>VANCOUVER</w:t>
      </w:r>
      <w:r>
        <w:rPr>
          <w:spacing w:val="-15"/>
        </w:rPr>
        <w:t xml:space="preserve"> </w:t>
      </w:r>
      <w:r>
        <w:t>(British</w:t>
      </w:r>
      <w:r>
        <w:rPr>
          <w:spacing w:val="-14"/>
        </w:rPr>
        <w:t xml:space="preserve"> </w:t>
      </w:r>
      <w:r>
        <w:t>Columbia,</w:t>
      </w:r>
      <w:r>
        <w:rPr>
          <w:spacing w:val="-14"/>
        </w:rPr>
        <w:t xml:space="preserve"> </w:t>
      </w:r>
      <w:r>
        <w:t>Canada)</w:t>
      </w:r>
      <w:r>
        <w:rPr>
          <w:spacing w:val="-15"/>
        </w:rPr>
        <w:t xml:space="preserve"> </w:t>
      </w:r>
      <w:r>
        <w:t>–</w:t>
      </w:r>
      <w:r>
        <w:rPr>
          <w:spacing w:val="-16"/>
        </w:rPr>
        <w:t xml:space="preserve"> </w:t>
      </w:r>
      <w:r w:rsidR="00EC7EDF">
        <w:t>December 18</w:t>
      </w:r>
      <w:r>
        <w:t>,</w:t>
      </w:r>
      <w:r>
        <w:rPr>
          <w:spacing w:val="-17"/>
        </w:rPr>
        <w:t xml:space="preserve"> </w:t>
      </w:r>
      <w:r>
        <w:t>2020</w:t>
      </w:r>
      <w:r>
        <w:rPr>
          <w:spacing w:val="-15"/>
        </w:rPr>
        <w:t xml:space="preserve"> </w:t>
      </w:r>
      <w:r>
        <w:t>–</w:t>
      </w:r>
      <w:r>
        <w:rPr>
          <w:spacing w:val="-14"/>
        </w:rPr>
        <w:t xml:space="preserve"> </w:t>
      </w:r>
      <w:r>
        <w:t>Folkstone</w:t>
      </w:r>
      <w:r>
        <w:rPr>
          <w:spacing w:val="-15"/>
        </w:rPr>
        <w:t xml:space="preserve"> </w:t>
      </w:r>
      <w:r>
        <w:t>Capital</w:t>
      </w:r>
      <w:r>
        <w:rPr>
          <w:spacing w:val="-17"/>
        </w:rPr>
        <w:t xml:space="preserve"> </w:t>
      </w:r>
      <w:r>
        <w:t>Corp.</w:t>
      </w:r>
      <w:r>
        <w:rPr>
          <w:spacing w:val="-14"/>
        </w:rPr>
        <w:t xml:space="preserve"> </w:t>
      </w:r>
      <w:r>
        <w:t>(the</w:t>
      </w:r>
      <w:r>
        <w:rPr>
          <w:spacing w:val="-15"/>
        </w:rPr>
        <w:t xml:space="preserve"> </w:t>
      </w:r>
      <w:r>
        <w:t>“</w:t>
      </w:r>
      <w:r>
        <w:rPr>
          <w:b/>
        </w:rPr>
        <w:t>Company</w:t>
      </w:r>
      <w:r>
        <w:t xml:space="preserve">”) (TSX-V: FKS.H) announces that the British Columbia Securities Commission and Ontario Securities Commission (the </w:t>
      </w:r>
      <w:r>
        <w:rPr>
          <w:b/>
        </w:rPr>
        <w:t>“Commissions</w:t>
      </w:r>
      <w:r>
        <w:t xml:space="preserve">”) have revoked their cease trade order against the Company effective </w:t>
      </w:r>
      <w:r w:rsidR="00EC7EDF">
        <w:t>December 18</w:t>
      </w:r>
      <w:r>
        <w:t>, 2020. The Company’s common shares were cease traded by the Commissions for failure to file annual financial statements and management’s discussion and analysis (“</w:t>
      </w:r>
      <w:r>
        <w:rPr>
          <w:b/>
        </w:rPr>
        <w:t>MD&amp;A</w:t>
      </w:r>
      <w:r>
        <w:t>”) for the financial year ended May 31, 2019 (collectively, the “</w:t>
      </w:r>
      <w:r>
        <w:rPr>
          <w:b/>
        </w:rPr>
        <w:t>2019 Financial Statements</w:t>
      </w:r>
      <w:r>
        <w:t xml:space="preserve">”). The 2019 Financial Statements, along with the interim financial statements </w:t>
      </w:r>
      <w:r>
        <w:rPr>
          <w:spacing w:val="-2"/>
        </w:rPr>
        <w:t xml:space="preserve">and </w:t>
      </w:r>
      <w:r>
        <w:t xml:space="preserve">MD&amp;A for the three months ended August 31, 2019, the six months ended November 30, 2019 and the nine months ended February 29, 2020, the audited annual financial statements and MD&amp;A for the financial year ended May 31, 2020, and the interim financial statements and MD&amp;A for the three months ended August 31, 2020, were filed by the Company on September </w:t>
      </w:r>
      <w:r>
        <w:rPr>
          <w:spacing w:val="-2"/>
        </w:rPr>
        <w:t xml:space="preserve">28, </w:t>
      </w:r>
      <w:r>
        <w:t xml:space="preserve">2020, October 5, 2020, October 20, 2020, and October 23, 2020, respectively, and are available on SEDAR at </w:t>
      </w:r>
      <w:hyperlink r:id="rId7">
        <w:r>
          <w:rPr>
            <w:color w:val="0000FF"/>
            <w:u w:val="single" w:color="0000FF"/>
          </w:rPr>
          <w:t>www.sedar.com</w:t>
        </w:r>
      </w:hyperlink>
      <w:r>
        <w:t>.</w:t>
      </w:r>
    </w:p>
    <w:p w14:paraId="26E20582" w14:textId="77777777" w:rsidR="00892B79" w:rsidRDefault="00892B79">
      <w:pPr>
        <w:pStyle w:val="BodyText"/>
        <w:spacing w:before="9"/>
        <w:rPr>
          <w:i w:val="0"/>
          <w:sz w:val="13"/>
        </w:rPr>
      </w:pPr>
    </w:p>
    <w:p w14:paraId="47FA1535" w14:textId="77777777" w:rsidR="00892B79" w:rsidRDefault="001510F8">
      <w:pPr>
        <w:spacing w:before="94"/>
        <w:ind w:left="1440" w:right="1432"/>
        <w:jc w:val="both"/>
      </w:pPr>
      <w:r>
        <w:t>The Company currently does not have an active business, and, going forward, will be seeking a business opportunity that will constitute a Qualifying Transaction under the policies of the TSX Venture Exchange.</w:t>
      </w:r>
    </w:p>
    <w:p w14:paraId="600C68F2" w14:textId="77777777" w:rsidR="00892B79" w:rsidRDefault="001510F8">
      <w:pPr>
        <w:spacing w:before="6" w:line="500" w:lineRule="atLeast"/>
        <w:ind w:left="1440" w:right="8505"/>
      </w:pPr>
      <w:r>
        <w:t>On behalf of the Board, Mario Miranda</w:t>
      </w:r>
    </w:p>
    <w:p w14:paraId="5722EBD2" w14:textId="77777777" w:rsidR="00892B79" w:rsidRDefault="001510F8">
      <w:pPr>
        <w:spacing w:before="6"/>
        <w:ind w:left="1440"/>
      </w:pPr>
      <w:r>
        <w:t>CEO, CFO, Corporate Secretary and Director</w:t>
      </w:r>
    </w:p>
    <w:p w14:paraId="71BDC44F" w14:textId="77777777" w:rsidR="00892B79" w:rsidRDefault="00892B79">
      <w:pPr>
        <w:pStyle w:val="BodyText"/>
        <w:rPr>
          <w:i w:val="0"/>
        </w:rPr>
      </w:pPr>
    </w:p>
    <w:p w14:paraId="1820EF8E" w14:textId="33C1DB49" w:rsidR="00892B79" w:rsidRDefault="004E0B70">
      <w:pPr>
        <w:pStyle w:val="Heading1"/>
      </w:pPr>
      <w:r>
        <w:t>For further information:</w:t>
      </w:r>
    </w:p>
    <w:p w14:paraId="2F0657B6" w14:textId="215FB2F1" w:rsidR="004E0B70" w:rsidRDefault="004E0B70">
      <w:pPr>
        <w:pStyle w:val="Heading1"/>
      </w:pPr>
    </w:p>
    <w:p w14:paraId="6F608883" w14:textId="5D09563E" w:rsidR="004E0B70" w:rsidRDefault="004E0B70">
      <w:pPr>
        <w:pStyle w:val="Heading1"/>
      </w:pPr>
      <w:r>
        <w:t>Folkstone Capital Corp.</w:t>
      </w:r>
    </w:p>
    <w:p w14:paraId="4A3E7A0A" w14:textId="0838F518" w:rsidR="004E0B70" w:rsidRPr="004E0B70" w:rsidRDefault="004E0B70">
      <w:pPr>
        <w:pStyle w:val="Heading1"/>
        <w:rPr>
          <w:b w:val="0"/>
          <w:bCs w:val="0"/>
        </w:rPr>
      </w:pPr>
      <w:r w:rsidRPr="004E0B70">
        <w:rPr>
          <w:b w:val="0"/>
          <w:bCs w:val="0"/>
        </w:rPr>
        <w:t>1600 – 609 Granville Street</w:t>
      </w:r>
    </w:p>
    <w:p w14:paraId="0C1F4B7A" w14:textId="1A84D9D2" w:rsidR="004E0B70" w:rsidRPr="004E0B70" w:rsidRDefault="004E0B70">
      <w:pPr>
        <w:pStyle w:val="Heading1"/>
        <w:rPr>
          <w:b w:val="0"/>
          <w:bCs w:val="0"/>
        </w:rPr>
      </w:pPr>
      <w:r w:rsidRPr="004E0B70">
        <w:rPr>
          <w:b w:val="0"/>
          <w:bCs w:val="0"/>
        </w:rPr>
        <w:t>Vancouver, BC V7Y 1C3</w:t>
      </w:r>
    </w:p>
    <w:p w14:paraId="75A4FE24" w14:textId="799F6A10" w:rsidR="004E0B70" w:rsidRPr="004E0B70" w:rsidRDefault="004E0B70">
      <w:pPr>
        <w:pStyle w:val="Heading1"/>
        <w:rPr>
          <w:b w:val="0"/>
          <w:bCs w:val="0"/>
        </w:rPr>
      </w:pPr>
      <w:r w:rsidRPr="004E0B70">
        <w:rPr>
          <w:b w:val="0"/>
          <w:bCs w:val="0"/>
        </w:rPr>
        <w:t>(778) 331-8505</w:t>
      </w:r>
    </w:p>
    <w:p w14:paraId="2A810CE5" w14:textId="77777777" w:rsidR="004E0B70" w:rsidRPr="004E0B70" w:rsidRDefault="004E0B70" w:rsidP="004E0B70">
      <w:pPr>
        <w:spacing w:before="94"/>
        <w:ind w:left="1440" w:right="1432"/>
        <w:jc w:val="both"/>
        <w:rPr>
          <w:i/>
          <w:iCs/>
          <w:sz w:val="18"/>
          <w:szCs w:val="18"/>
        </w:rPr>
      </w:pPr>
      <w:r w:rsidRPr="004E0B70">
        <w:rPr>
          <w:i/>
          <w:iCs/>
          <w:sz w:val="18"/>
          <w:szCs w:val="18"/>
        </w:rPr>
        <w:t>Neither TSX Venture Exchange nor its Regulation Services Provider (as that term is defined in policies of the TSX Venture Exchange) accepts responsibility for the adequacy or accuracy of this release.   </w:t>
      </w:r>
    </w:p>
    <w:p w14:paraId="33D867DD" w14:textId="77777777" w:rsidR="004E0B70" w:rsidRPr="004E0B70" w:rsidRDefault="004E0B70" w:rsidP="004E0B70">
      <w:pPr>
        <w:spacing w:before="94"/>
        <w:ind w:left="1440" w:right="1432"/>
        <w:jc w:val="both"/>
        <w:rPr>
          <w:i/>
          <w:iCs/>
          <w:sz w:val="18"/>
          <w:szCs w:val="18"/>
        </w:rPr>
      </w:pPr>
      <w:r w:rsidRPr="004E0B70">
        <w:rPr>
          <w:i/>
          <w:iCs/>
          <w:sz w:val="18"/>
          <w:szCs w:val="18"/>
        </w:rPr>
        <w:t xml:space="preserve">This news release may include forward-looking statements that are subject to risks and uncertainties. All statements within, other than statements of historical fact, are to be considered forward looking. Although the Company believes the expectations expressed in such forward-looking statements are based on reasonable assumptions, such statements are not </w:t>
      </w:r>
      <w:proofErr w:type="gramStart"/>
      <w:r w:rsidRPr="004E0B70">
        <w:rPr>
          <w:i/>
          <w:iCs/>
          <w:sz w:val="18"/>
          <w:szCs w:val="18"/>
        </w:rPr>
        <w:t>guarantees</w:t>
      </w:r>
      <w:proofErr w:type="gramEnd"/>
      <w:r w:rsidRPr="004E0B70">
        <w:rPr>
          <w:i/>
          <w:iCs/>
          <w:sz w:val="18"/>
          <w:szCs w:val="18"/>
        </w:rPr>
        <w:t xml:space="preserve"> of future performance and actual results or developments may differ materially from those in forward-looking statements. Factors that could cause actual results to differ materially from those in forward-looking statements include market prices, exploitation and exploration successes, continued availability of capital and financing, and general economic, market or business conditions. There can be no assurances that such statements will prove accurate and, therefore, readers are advised to rely on their own evaluation of such uncertainties. We do not assume any obligation to update any forward-looking statements except as required under the applicable law.</w:t>
      </w:r>
    </w:p>
    <w:p w14:paraId="4292E0F2" w14:textId="790C13EA" w:rsidR="00892B79" w:rsidRDefault="00892B79">
      <w:pPr>
        <w:pStyle w:val="BodyText"/>
        <w:spacing w:before="3"/>
        <w:rPr>
          <w:b/>
          <w:i w:val="0"/>
          <w:sz w:val="29"/>
        </w:rPr>
      </w:pPr>
    </w:p>
    <w:sectPr w:rsidR="00892B79">
      <w:headerReference w:type="default" r:id="rId8"/>
      <w:pgSz w:w="12240" w:h="15840"/>
      <w:pgMar w:top="1780" w:right="0" w:bottom="280" w:left="0" w:header="69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7D79D" w14:textId="77777777" w:rsidR="00A000FA" w:rsidRDefault="001510F8">
      <w:r>
        <w:separator/>
      </w:r>
    </w:p>
  </w:endnote>
  <w:endnote w:type="continuationSeparator" w:id="0">
    <w:p w14:paraId="0F96F82F" w14:textId="77777777" w:rsidR="00A000FA" w:rsidRDefault="0015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003D58" w14:textId="77777777" w:rsidR="00A000FA" w:rsidRDefault="001510F8">
      <w:r>
        <w:separator/>
      </w:r>
    </w:p>
  </w:footnote>
  <w:footnote w:type="continuationSeparator" w:id="0">
    <w:p w14:paraId="1D33BA4B" w14:textId="77777777" w:rsidR="00A000FA" w:rsidRDefault="0015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84F88" w14:textId="2BC76C41" w:rsidR="00892B79" w:rsidRDefault="00892B79">
    <w:pPr>
      <w:pStyle w:val="BodyText"/>
      <w:spacing w:line="14" w:lineRule="auto"/>
      <w:rPr>
        <w:i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54666"/>
    <w:multiLevelType w:val="hybridMultilevel"/>
    <w:tmpl w:val="009468F4"/>
    <w:lvl w:ilvl="0" w:tplc="CC8EE46E">
      <w:start w:val="1"/>
      <w:numFmt w:val="decimal"/>
      <w:lvlText w:val="%1."/>
      <w:lvlJc w:val="left"/>
      <w:pPr>
        <w:ind w:left="1684" w:hanging="245"/>
        <w:jc w:val="left"/>
      </w:pPr>
      <w:rPr>
        <w:rFonts w:ascii="Arial" w:eastAsia="Arial" w:hAnsi="Arial" w:cs="Arial" w:hint="default"/>
        <w:b/>
        <w:bCs/>
        <w:spacing w:val="-1"/>
        <w:w w:val="100"/>
        <w:sz w:val="22"/>
        <w:szCs w:val="22"/>
      </w:rPr>
    </w:lvl>
    <w:lvl w:ilvl="1" w:tplc="F26E1EB2">
      <w:numFmt w:val="bullet"/>
      <w:lvlText w:val=""/>
      <w:lvlJc w:val="left"/>
      <w:pPr>
        <w:ind w:left="2160" w:hanging="360"/>
      </w:pPr>
      <w:rPr>
        <w:rFonts w:ascii="Symbol" w:eastAsia="Symbol" w:hAnsi="Symbol" w:cs="Symbol" w:hint="default"/>
        <w:w w:val="100"/>
        <w:sz w:val="22"/>
        <w:szCs w:val="22"/>
      </w:rPr>
    </w:lvl>
    <w:lvl w:ilvl="2" w:tplc="FA1E17A0">
      <w:numFmt w:val="bullet"/>
      <w:lvlText w:val="•"/>
      <w:lvlJc w:val="left"/>
      <w:pPr>
        <w:ind w:left="3280" w:hanging="360"/>
      </w:pPr>
      <w:rPr>
        <w:rFonts w:hint="default"/>
      </w:rPr>
    </w:lvl>
    <w:lvl w:ilvl="3" w:tplc="B15A4CE2">
      <w:numFmt w:val="bullet"/>
      <w:lvlText w:val="•"/>
      <w:lvlJc w:val="left"/>
      <w:pPr>
        <w:ind w:left="4400" w:hanging="360"/>
      </w:pPr>
      <w:rPr>
        <w:rFonts w:hint="default"/>
      </w:rPr>
    </w:lvl>
    <w:lvl w:ilvl="4" w:tplc="FE92AFEC">
      <w:numFmt w:val="bullet"/>
      <w:lvlText w:val="•"/>
      <w:lvlJc w:val="left"/>
      <w:pPr>
        <w:ind w:left="5520" w:hanging="360"/>
      </w:pPr>
      <w:rPr>
        <w:rFonts w:hint="default"/>
      </w:rPr>
    </w:lvl>
    <w:lvl w:ilvl="5" w:tplc="76BEB6D8">
      <w:numFmt w:val="bullet"/>
      <w:lvlText w:val="•"/>
      <w:lvlJc w:val="left"/>
      <w:pPr>
        <w:ind w:left="6640" w:hanging="360"/>
      </w:pPr>
      <w:rPr>
        <w:rFonts w:hint="default"/>
      </w:rPr>
    </w:lvl>
    <w:lvl w:ilvl="6" w:tplc="348A14E2">
      <w:numFmt w:val="bullet"/>
      <w:lvlText w:val="•"/>
      <w:lvlJc w:val="left"/>
      <w:pPr>
        <w:ind w:left="7760" w:hanging="360"/>
      </w:pPr>
      <w:rPr>
        <w:rFonts w:hint="default"/>
      </w:rPr>
    </w:lvl>
    <w:lvl w:ilvl="7" w:tplc="7D104B62">
      <w:numFmt w:val="bullet"/>
      <w:lvlText w:val="•"/>
      <w:lvlJc w:val="left"/>
      <w:pPr>
        <w:ind w:left="8880" w:hanging="360"/>
      </w:pPr>
      <w:rPr>
        <w:rFonts w:hint="default"/>
      </w:rPr>
    </w:lvl>
    <w:lvl w:ilvl="8" w:tplc="60ACFC1C">
      <w:numFmt w:val="bullet"/>
      <w:lvlText w:val="•"/>
      <w:lvlJc w:val="left"/>
      <w:pPr>
        <w:ind w:left="10000" w:hanging="360"/>
      </w:pPr>
      <w:rPr>
        <w:rFonts w:hint="default"/>
      </w:rPr>
    </w:lvl>
  </w:abstractNum>
  <w:abstractNum w:abstractNumId="1" w15:restartNumberingAfterBreak="0">
    <w:nsid w:val="123400AE"/>
    <w:multiLevelType w:val="hybridMultilevel"/>
    <w:tmpl w:val="712E7528"/>
    <w:lvl w:ilvl="0" w:tplc="EC949826">
      <w:start w:val="1"/>
      <w:numFmt w:val="lowerLetter"/>
      <w:lvlText w:val="(%1)"/>
      <w:lvlJc w:val="left"/>
      <w:pPr>
        <w:ind w:left="2160" w:hanging="360"/>
        <w:jc w:val="left"/>
      </w:pPr>
      <w:rPr>
        <w:rFonts w:ascii="Arial" w:eastAsia="Arial" w:hAnsi="Arial" w:cs="Arial" w:hint="default"/>
        <w:i/>
        <w:w w:val="100"/>
        <w:sz w:val="22"/>
        <w:szCs w:val="22"/>
      </w:rPr>
    </w:lvl>
    <w:lvl w:ilvl="1" w:tplc="6B3C68D0">
      <w:numFmt w:val="bullet"/>
      <w:lvlText w:val="•"/>
      <w:lvlJc w:val="left"/>
      <w:pPr>
        <w:ind w:left="3168" w:hanging="360"/>
      </w:pPr>
      <w:rPr>
        <w:rFonts w:hint="default"/>
      </w:rPr>
    </w:lvl>
    <w:lvl w:ilvl="2" w:tplc="809A17A8">
      <w:numFmt w:val="bullet"/>
      <w:lvlText w:val="•"/>
      <w:lvlJc w:val="left"/>
      <w:pPr>
        <w:ind w:left="4176" w:hanging="360"/>
      </w:pPr>
      <w:rPr>
        <w:rFonts w:hint="default"/>
      </w:rPr>
    </w:lvl>
    <w:lvl w:ilvl="3" w:tplc="D0A00F94">
      <w:numFmt w:val="bullet"/>
      <w:lvlText w:val="•"/>
      <w:lvlJc w:val="left"/>
      <w:pPr>
        <w:ind w:left="5184" w:hanging="360"/>
      </w:pPr>
      <w:rPr>
        <w:rFonts w:hint="default"/>
      </w:rPr>
    </w:lvl>
    <w:lvl w:ilvl="4" w:tplc="F54E639C">
      <w:numFmt w:val="bullet"/>
      <w:lvlText w:val="•"/>
      <w:lvlJc w:val="left"/>
      <w:pPr>
        <w:ind w:left="6192" w:hanging="360"/>
      </w:pPr>
      <w:rPr>
        <w:rFonts w:hint="default"/>
      </w:rPr>
    </w:lvl>
    <w:lvl w:ilvl="5" w:tplc="E1865ECC">
      <w:numFmt w:val="bullet"/>
      <w:lvlText w:val="•"/>
      <w:lvlJc w:val="left"/>
      <w:pPr>
        <w:ind w:left="7200" w:hanging="360"/>
      </w:pPr>
      <w:rPr>
        <w:rFonts w:hint="default"/>
      </w:rPr>
    </w:lvl>
    <w:lvl w:ilvl="6" w:tplc="137606A0">
      <w:numFmt w:val="bullet"/>
      <w:lvlText w:val="•"/>
      <w:lvlJc w:val="left"/>
      <w:pPr>
        <w:ind w:left="8208" w:hanging="360"/>
      </w:pPr>
      <w:rPr>
        <w:rFonts w:hint="default"/>
      </w:rPr>
    </w:lvl>
    <w:lvl w:ilvl="7" w:tplc="979498FE">
      <w:numFmt w:val="bullet"/>
      <w:lvlText w:val="•"/>
      <w:lvlJc w:val="left"/>
      <w:pPr>
        <w:ind w:left="9216" w:hanging="360"/>
      </w:pPr>
      <w:rPr>
        <w:rFonts w:hint="default"/>
      </w:rPr>
    </w:lvl>
    <w:lvl w:ilvl="8" w:tplc="BC08306C">
      <w:numFmt w:val="bullet"/>
      <w:lvlText w:val="•"/>
      <w:lvlJc w:val="left"/>
      <w:pPr>
        <w:ind w:left="10224" w:hanging="360"/>
      </w:pPr>
      <w:rPr>
        <w:rFonts w:hint="default"/>
      </w:rPr>
    </w:lvl>
  </w:abstractNum>
  <w:abstractNum w:abstractNumId="2" w15:restartNumberingAfterBreak="0">
    <w:nsid w:val="40B46E94"/>
    <w:multiLevelType w:val="hybridMultilevel"/>
    <w:tmpl w:val="C838A632"/>
    <w:lvl w:ilvl="0" w:tplc="48A0A69E">
      <w:start w:val="1"/>
      <w:numFmt w:val="decimal"/>
      <w:lvlText w:val="(%1)"/>
      <w:lvlJc w:val="left"/>
      <w:pPr>
        <w:ind w:left="1440" w:hanging="365"/>
        <w:jc w:val="left"/>
      </w:pPr>
      <w:rPr>
        <w:rFonts w:ascii="Arial" w:eastAsia="Arial" w:hAnsi="Arial" w:cs="Arial" w:hint="default"/>
        <w:b/>
        <w:bCs/>
        <w:w w:val="100"/>
        <w:sz w:val="22"/>
        <w:szCs w:val="22"/>
      </w:rPr>
    </w:lvl>
    <w:lvl w:ilvl="1" w:tplc="642C7564">
      <w:start w:val="1"/>
      <w:numFmt w:val="decimal"/>
      <w:lvlText w:val="%2."/>
      <w:lvlJc w:val="left"/>
      <w:pPr>
        <w:ind w:left="2160" w:hanging="360"/>
        <w:jc w:val="left"/>
      </w:pPr>
      <w:rPr>
        <w:rFonts w:ascii="Arial" w:eastAsia="Arial" w:hAnsi="Arial" w:cs="Arial" w:hint="default"/>
        <w:spacing w:val="-1"/>
        <w:w w:val="100"/>
        <w:sz w:val="22"/>
        <w:szCs w:val="22"/>
      </w:rPr>
    </w:lvl>
    <w:lvl w:ilvl="2" w:tplc="F16C8668">
      <w:start w:val="1"/>
      <w:numFmt w:val="lowerLetter"/>
      <w:lvlText w:val="(%3)"/>
      <w:lvlJc w:val="left"/>
      <w:pPr>
        <w:ind w:left="2520" w:hanging="360"/>
        <w:jc w:val="left"/>
      </w:pPr>
      <w:rPr>
        <w:rFonts w:ascii="Arial" w:eastAsia="Arial" w:hAnsi="Arial" w:cs="Arial" w:hint="default"/>
        <w:w w:val="100"/>
        <w:sz w:val="22"/>
        <w:szCs w:val="22"/>
      </w:rPr>
    </w:lvl>
    <w:lvl w:ilvl="3" w:tplc="D0E0D384">
      <w:numFmt w:val="bullet"/>
      <w:lvlText w:val="•"/>
      <w:lvlJc w:val="left"/>
      <w:pPr>
        <w:ind w:left="3735" w:hanging="360"/>
      </w:pPr>
      <w:rPr>
        <w:rFonts w:hint="default"/>
      </w:rPr>
    </w:lvl>
    <w:lvl w:ilvl="4" w:tplc="FA8EE444">
      <w:numFmt w:val="bullet"/>
      <w:lvlText w:val="•"/>
      <w:lvlJc w:val="left"/>
      <w:pPr>
        <w:ind w:left="4950" w:hanging="360"/>
      </w:pPr>
      <w:rPr>
        <w:rFonts w:hint="default"/>
      </w:rPr>
    </w:lvl>
    <w:lvl w:ilvl="5" w:tplc="85D0DE8C">
      <w:numFmt w:val="bullet"/>
      <w:lvlText w:val="•"/>
      <w:lvlJc w:val="left"/>
      <w:pPr>
        <w:ind w:left="6165" w:hanging="360"/>
      </w:pPr>
      <w:rPr>
        <w:rFonts w:hint="default"/>
      </w:rPr>
    </w:lvl>
    <w:lvl w:ilvl="6" w:tplc="647E9340">
      <w:numFmt w:val="bullet"/>
      <w:lvlText w:val="•"/>
      <w:lvlJc w:val="left"/>
      <w:pPr>
        <w:ind w:left="7380" w:hanging="360"/>
      </w:pPr>
      <w:rPr>
        <w:rFonts w:hint="default"/>
      </w:rPr>
    </w:lvl>
    <w:lvl w:ilvl="7" w:tplc="920EA504">
      <w:numFmt w:val="bullet"/>
      <w:lvlText w:val="•"/>
      <w:lvlJc w:val="left"/>
      <w:pPr>
        <w:ind w:left="8595" w:hanging="360"/>
      </w:pPr>
      <w:rPr>
        <w:rFonts w:hint="default"/>
      </w:rPr>
    </w:lvl>
    <w:lvl w:ilvl="8" w:tplc="2F58BB0A">
      <w:numFmt w:val="bullet"/>
      <w:lvlText w:val="•"/>
      <w:lvlJc w:val="left"/>
      <w:pPr>
        <w:ind w:left="9810" w:hanging="360"/>
      </w:pPr>
      <w:rPr>
        <w:rFonts w:hint="default"/>
      </w:rPr>
    </w:lvl>
  </w:abstractNum>
  <w:abstractNum w:abstractNumId="3" w15:restartNumberingAfterBreak="0">
    <w:nsid w:val="7A420EEA"/>
    <w:multiLevelType w:val="hybridMultilevel"/>
    <w:tmpl w:val="97C4CE74"/>
    <w:lvl w:ilvl="0" w:tplc="C3E811EA">
      <w:start w:val="1"/>
      <w:numFmt w:val="decimal"/>
      <w:lvlText w:val="(%1)"/>
      <w:lvlJc w:val="left"/>
      <w:pPr>
        <w:ind w:left="1800" w:hanging="360"/>
        <w:jc w:val="left"/>
      </w:pPr>
      <w:rPr>
        <w:rFonts w:ascii="Arial" w:eastAsia="Arial" w:hAnsi="Arial" w:cs="Arial" w:hint="default"/>
        <w:b/>
        <w:bCs/>
        <w:w w:val="100"/>
        <w:sz w:val="22"/>
        <w:szCs w:val="22"/>
      </w:rPr>
    </w:lvl>
    <w:lvl w:ilvl="1" w:tplc="B70A9176">
      <w:numFmt w:val="bullet"/>
      <w:lvlText w:val=""/>
      <w:lvlJc w:val="left"/>
      <w:pPr>
        <w:ind w:left="2160" w:hanging="360"/>
      </w:pPr>
      <w:rPr>
        <w:rFonts w:ascii="Symbol" w:eastAsia="Symbol" w:hAnsi="Symbol" w:cs="Symbol" w:hint="default"/>
        <w:w w:val="100"/>
        <w:sz w:val="22"/>
        <w:szCs w:val="22"/>
      </w:rPr>
    </w:lvl>
    <w:lvl w:ilvl="2" w:tplc="D206C614">
      <w:numFmt w:val="bullet"/>
      <w:lvlText w:val="•"/>
      <w:lvlJc w:val="left"/>
      <w:pPr>
        <w:ind w:left="3280" w:hanging="360"/>
      </w:pPr>
      <w:rPr>
        <w:rFonts w:hint="default"/>
      </w:rPr>
    </w:lvl>
    <w:lvl w:ilvl="3" w:tplc="AB52DA56">
      <w:numFmt w:val="bullet"/>
      <w:lvlText w:val="•"/>
      <w:lvlJc w:val="left"/>
      <w:pPr>
        <w:ind w:left="4400" w:hanging="360"/>
      </w:pPr>
      <w:rPr>
        <w:rFonts w:hint="default"/>
      </w:rPr>
    </w:lvl>
    <w:lvl w:ilvl="4" w:tplc="9872C8F0">
      <w:numFmt w:val="bullet"/>
      <w:lvlText w:val="•"/>
      <w:lvlJc w:val="left"/>
      <w:pPr>
        <w:ind w:left="5520" w:hanging="360"/>
      </w:pPr>
      <w:rPr>
        <w:rFonts w:hint="default"/>
      </w:rPr>
    </w:lvl>
    <w:lvl w:ilvl="5" w:tplc="44CEFB8E">
      <w:numFmt w:val="bullet"/>
      <w:lvlText w:val="•"/>
      <w:lvlJc w:val="left"/>
      <w:pPr>
        <w:ind w:left="6640" w:hanging="360"/>
      </w:pPr>
      <w:rPr>
        <w:rFonts w:hint="default"/>
      </w:rPr>
    </w:lvl>
    <w:lvl w:ilvl="6" w:tplc="F8C8C76E">
      <w:numFmt w:val="bullet"/>
      <w:lvlText w:val="•"/>
      <w:lvlJc w:val="left"/>
      <w:pPr>
        <w:ind w:left="7760" w:hanging="360"/>
      </w:pPr>
      <w:rPr>
        <w:rFonts w:hint="default"/>
      </w:rPr>
    </w:lvl>
    <w:lvl w:ilvl="7" w:tplc="7B9A28E4">
      <w:numFmt w:val="bullet"/>
      <w:lvlText w:val="•"/>
      <w:lvlJc w:val="left"/>
      <w:pPr>
        <w:ind w:left="8880" w:hanging="360"/>
      </w:pPr>
      <w:rPr>
        <w:rFonts w:hint="default"/>
      </w:rPr>
    </w:lvl>
    <w:lvl w:ilvl="8" w:tplc="3C9471E6">
      <w:numFmt w:val="bullet"/>
      <w:lvlText w:val="•"/>
      <w:lvlJc w:val="left"/>
      <w:pPr>
        <w:ind w:left="10000" w:hanging="3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B79"/>
    <w:rsid w:val="001510F8"/>
    <w:rsid w:val="00200CA8"/>
    <w:rsid w:val="004E0B70"/>
    <w:rsid w:val="00892B79"/>
    <w:rsid w:val="00A000FA"/>
    <w:rsid w:val="00C45840"/>
    <w:rsid w:val="00DA5A85"/>
    <w:rsid w:val="00EC7E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E05D05"/>
  <w15:docId w15:val="{8BCFFE65-3F3D-487F-8F3F-177B23C4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style>
  <w:style w:type="paragraph" w:styleId="Header">
    <w:name w:val="header"/>
    <w:basedOn w:val="Normal"/>
    <w:link w:val="HeaderChar"/>
    <w:rsid w:val="00EC7EDF"/>
    <w:pPr>
      <w:widowControl/>
      <w:tabs>
        <w:tab w:val="center" w:pos="4680"/>
        <w:tab w:val="right" w:pos="9360"/>
      </w:tabs>
      <w:autoSpaceDE/>
      <w:autoSpaceDN/>
      <w:spacing w:after="240"/>
    </w:pPr>
    <w:rPr>
      <w:rFonts w:eastAsia="Times New Roman" w:cs="Times New Roman"/>
      <w:lang w:val="en-CA"/>
    </w:rPr>
  </w:style>
  <w:style w:type="character" w:customStyle="1" w:styleId="HeaderChar">
    <w:name w:val="Header Char"/>
    <w:basedOn w:val="DefaultParagraphFont"/>
    <w:link w:val="Header"/>
    <w:rsid w:val="00EC7EDF"/>
    <w:rPr>
      <w:rFonts w:ascii="Arial" w:eastAsia="Times New Roman" w:hAnsi="Arial" w:cs="Times New Roman"/>
      <w:lang w:val="en-CA"/>
    </w:rPr>
  </w:style>
  <w:style w:type="paragraph" w:customStyle="1" w:styleId="Body">
    <w:name w:val="Body"/>
    <w:basedOn w:val="Normal"/>
    <w:rsid w:val="00EC7EDF"/>
    <w:pPr>
      <w:widowControl/>
      <w:autoSpaceDE/>
      <w:autoSpaceDN/>
      <w:spacing w:after="180"/>
    </w:pPr>
    <w:rPr>
      <w:rFonts w:eastAsia="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d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Folkstone NR - revocation order</dc:title>
  <dc:creator>Scott Ackerman</dc:creator>
  <cp:keywords>Folkstone news release</cp:keywords>
  <cp:lastModifiedBy>Scott Ackerman</cp:lastModifiedBy>
  <cp:revision>3</cp:revision>
  <dcterms:created xsi:type="dcterms:W3CDTF">2020-12-18T21:56:00Z</dcterms:created>
  <dcterms:modified xsi:type="dcterms:W3CDTF">2020-12-18T22:01:00Z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LastSaved">
    <vt:filetime>2020-12-03T00:00:00Z</vt:filetime>
  </property>
</Properties>
</file>