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1B704" w14:textId="77777777" w:rsidR="005C6EA9" w:rsidRPr="00304397" w:rsidRDefault="00926142">
      <w:pPr>
        <w:tabs>
          <w:tab w:val="left" w:pos="180"/>
          <w:tab w:val="center" w:pos="4323"/>
        </w:tabs>
        <w:spacing w:after="0" w:line="240" w:lineRule="auto"/>
        <w:rPr>
          <w:rFonts w:ascii="Arial" w:eastAsia="Arial" w:hAnsi="Arial" w:cs="Arial"/>
          <w:b/>
          <w:sz w:val="20"/>
        </w:rPr>
      </w:pPr>
      <w:bookmarkStart w:id="0" w:name="_GoBack"/>
      <w:bookmarkEnd w:id="0"/>
      <w:r>
        <w:rPr>
          <w:rFonts w:ascii="Times New Roman" w:hAnsi="Times New Roman"/>
          <w:b/>
          <w:sz w:val="36"/>
        </w:rPr>
        <w:tab/>
      </w:r>
      <w:r w:rsidR="005232CE">
        <w:rPr>
          <w:noProof/>
        </w:rPr>
        <w:object w:dxaOrig="1963" w:dyaOrig="1377" w14:anchorId="4BFEABF1">
          <v:rect id="rectole0000000000" o:spid="_x0000_i1025" style="width:96.75pt;height:67.5pt" o:ole="" o:preferrelative="t" stroked="f">
            <v:imagedata r:id="rId8" o:title=""/>
          </v:rect>
          <o:OLEObject Type="Embed" ProgID="StaticMetafile" ShapeID="rectole0000000000" DrawAspect="Content" ObjectID="_1671285033" r:id="rId9"/>
        </w:object>
      </w:r>
      <w:r w:rsidRPr="009A14CB">
        <w:rPr>
          <w:rFonts w:ascii="Times New Roman" w:hAnsi="Times New Roman"/>
          <w:b/>
          <w:sz w:val="36"/>
        </w:rPr>
        <w:tab/>
      </w:r>
      <w:r w:rsidRPr="009A14CB">
        <w:rPr>
          <w:rFonts w:ascii="Times New Roman" w:hAnsi="Times New Roman"/>
          <w:b/>
          <w:sz w:val="36"/>
        </w:rPr>
        <w:tab/>
      </w:r>
      <w:r w:rsidRPr="009A14CB">
        <w:rPr>
          <w:rFonts w:ascii="Times New Roman" w:hAnsi="Times New Roman"/>
          <w:b/>
          <w:sz w:val="36"/>
        </w:rPr>
        <w:tab/>
      </w:r>
      <w:r w:rsidRPr="009A14CB">
        <w:rPr>
          <w:rFonts w:ascii="Times New Roman" w:hAnsi="Times New Roman"/>
          <w:b/>
          <w:sz w:val="36"/>
        </w:rPr>
        <w:tab/>
      </w:r>
      <w:r w:rsidRPr="009A14CB">
        <w:rPr>
          <w:rFonts w:ascii="Times New Roman" w:hAnsi="Times New Roman"/>
          <w:b/>
          <w:sz w:val="36"/>
        </w:rPr>
        <w:tab/>
      </w:r>
      <w:r w:rsidRPr="009A14CB">
        <w:rPr>
          <w:rFonts w:ascii="Times New Roman" w:hAnsi="Times New Roman"/>
          <w:b/>
          <w:sz w:val="36"/>
        </w:rPr>
        <w:tab/>
      </w:r>
      <w:r w:rsidRPr="009A14CB">
        <w:rPr>
          <w:rFonts w:ascii="Times New Roman" w:hAnsi="Times New Roman"/>
          <w:b/>
          <w:sz w:val="36"/>
        </w:rPr>
        <w:tab/>
      </w:r>
      <w:r w:rsidRPr="009A14CB">
        <w:rPr>
          <w:rFonts w:ascii="Times New Roman" w:hAnsi="Times New Roman"/>
          <w:b/>
          <w:sz w:val="36"/>
        </w:rPr>
        <w:tab/>
      </w:r>
      <w:r w:rsidRPr="009A14CB">
        <w:rPr>
          <w:rFonts w:ascii="Times New Roman" w:hAnsi="Times New Roman"/>
          <w:b/>
          <w:sz w:val="36"/>
        </w:rPr>
        <w:tab/>
      </w:r>
      <w:r w:rsidRPr="009A14CB">
        <w:rPr>
          <w:rFonts w:ascii="Times New Roman" w:hAnsi="Times New Roman"/>
          <w:b/>
          <w:sz w:val="36"/>
        </w:rPr>
        <w:tab/>
      </w:r>
      <w:r w:rsidRPr="009A14CB">
        <w:rPr>
          <w:rFonts w:ascii="Times New Roman" w:hAnsi="Times New Roman"/>
          <w:b/>
          <w:sz w:val="36"/>
        </w:rPr>
        <w:tab/>
      </w:r>
      <w:r w:rsidRPr="009A14CB">
        <w:rPr>
          <w:rFonts w:ascii="Times New Roman" w:hAnsi="Times New Roman"/>
          <w:b/>
          <w:sz w:val="36"/>
        </w:rPr>
        <w:tab/>
      </w:r>
      <w:r w:rsidRPr="00304397">
        <w:rPr>
          <w:rFonts w:ascii="Arial" w:eastAsia="Arial" w:hAnsi="Arial" w:cs="Arial"/>
          <w:b/>
          <w:sz w:val="20"/>
        </w:rPr>
        <w:t>Amex Exploration Inc.</w:t>
      </w:r>
    </w:p>
    <w:p w14:paraId="4AE6E440" w14:textId="77777777" w:rsidR="005C6EA9" w:rsidRPr="00304397" w:rsidRDefault="00926142">
      <w:pPr>
        <w:spacing w:after="0" w:line="240" w:lineRule="auto"/>
        <w:rPr>
          <w:rFonts w:ascii="Arial" w:eastAsia="Arial" w:hAnsi="Arial" w:cs="Arial"/>
          <w:b/>
          <w:sz w:val="20"/>
        </w:rPr>
      </w:pPr>
      <w:r w:rsidRPr="00304397">
        <w:rPr>
          <w:rFonts w:ascii="Arial" w:eastAsia="Arial" w:hAnsi="Arial" w:cs="Arial"/>
          <w:b/>
          <w:sz w:val="20"/>
        </w:rPr>
        <w:t>Montreal, Quebec H2Y 2P5</w:t>
      </w:r>
    </w:p>
    <w:p w14:paraId="16CF5640" w14:textId="77777777" w:rsidR="005C6EA9" w:rsidRPr="00304397" w:rsidRDefault="00926142">
      <w:pPr>
        <w:spacing w:after="0" w:line="240" w:lineRule="auto"/>
        <w:rPr>
          <w:rFonts w:ascii="Arial" w:eastAsia="Arial" w:hAnsi="Arial" w:cs="Arial"/>
          <w:b/>
          <w:sz w:val="20"/>
        </w:rPr>
      </w:pPr>
      <w:r w:rsidRPr="00304397">
        <w:rPr>
          <w:rFonts w:ascii="Arial" w:eastAsia="Arial" w:hAnsi="Arial" w:cs="Arial"/>
          <w:b/>
          <w:sz w:val="20"/>
        </w:rPr>
        <w:t>Telephone: (514) 866-8209</w:t>
      </w:r>
    </w:p>
    <w:p w14:paraId="2B2C976A" w14:textId="77777777" w:rsidR="005C6EA9" w:rsidRPr="00304397" w:rsidRDefault="005C6EA9">
      <w:pPr>
        <w:spacing w:after="0" w:line="240" w:lineRule="auto"/>
        <w:rPr>
          <w:rFonts w:ascii="Arial" w:eastAsia="Arial" w:hAnsi="Arial" w:cs="Arial"/>
          <w:b/>
          <w:sz w:val="20"/>
        </w:rPr>
      </w:pPr>
    </w:p>
    <w:p w14:paraId="68B97FE4" w14:textId="77777777" w:rsidR="005C6EA9" w:rsidRPr="00304397" w:rsidRDefault="005C6EA9">
      <w:pPr>
        <w:spacing w:after="0" w:line="240" w:lineRule="auto"/>
        <w:rPr>
          <w:rFonts w:ascii="Arial" w:eastAsia="Arial" w:hAnsi="Arial" w:cs="Arial"/>
          <w:b/>
          <w:sz w:val="20"/>
        </w:rPr>
      </w:pPr>
    </w:p>
    <w:p w14:paraId="2F6C4B7C" w14:textId="77777777" w:rsidR="005C6EA9" w:rsidRPr="00304397" w:rsidRDefault="005C6EA9">
      <w:pPr>
        <w:tabs>
          <w:tab w:val="right" w:pos="8640"/>
        </w:tabs>
        <w:spacing w:after="0" w:line="240" w:lineRule="auto"/>
        <w:rPr>
          <w:rFonts w:ascii="Arial" w:eastAsia="Arial" w:hAnsi="Arial" w:cs="Arial"/>
          <w:b/>
          <w:sz w:val="24"/>
        </w:rPr>
      </w:pPr>
    </w:p>
    <w:p w14:paraId="68989EF9" w14:textId="621BB88D" w:rsidR="005C6EA9" w:rsidRPr="002C2957" w:rsidRDefault="00926142">
      <w:pPr>
        <w:tabs>
          <w:tab w:val="right" w:pos="8640"/>
        </w:tabs>
        <w:spacing w:after="0" w:line="240" w:lineRule="auto"/>
        <w:rPr>
          <w:rFonts w:ascii="Arial" w:eastAsia="Arial" w:hAnsi="Arial" w:cs="Arial"/>
          <w:b/>
          <w:sz w:val="24"/>
        </w:rPr>
      </w:pPr>
      <w:r w:rsidRPr="00304397">
        <w:rPr>
          <w:rFonts w:ascii="Arial" w:eastAsia="Arial" w:hAnsi="Arial" w:cs="Arial"/>
          <w:b/>
          <w:sz w:val="24"/>
        </w:rPr>
        <w:t>NEWS RELEASE</w:t>
      </w:r>
      <w:r w:rsidRPr="00304397">
        <w:rPr>
          <w:rFonts w:ascii="Arial" w:eastAsia="Arial" w:hAnsi="Arial" w:cs="Arial"/>
          <w:b/>
          <w:sz w:val="24"/>
        </w:rPr>
        <w:tab/>
      </w:r>
      <w:r w:rsidRPr="000E798E">
        <w:rPr>
          <w:rFonts w:ascii="Arial" w:eastAsia="Arial" w:hAnsi="Arial" w:cs="Arial"/>
          <w:b/>
          <w:sz w:val="24"/>
        </w:rPr>
        <w:t>PR2020-</w:t>
      </w:r>
      <w:r w:rsidR="00FA3890">
        <w:rPr>
          <w:rFonts w:ascii="Arial" w:eastAsia="Arial" w:hAnsi="Arial" w:cs="Arial"/>
          <w:b/>
          <w:sz w:val="24"/>
        </w:rPr>
        <w:t>01</w:t>
      </w:r>
      <w:r w:rsidRPr="002C2957">
        <w:rPr>
          <w:rFonts w:ascii="Arial" w:eastAsia="Arial" w:hAnsi="Arial" w:cs="Arial"/>
          <w:b/>
          <w:sz w:val="24"/>
        </w:rPr>
        <w:t>-</w:t>
      </w:r>
      <w:r w:rsidR="00FA3890">
        <w:rPr>
          <w:rFonts w:ascii="Arial" w:eastAsia="Arial" w:hAnsi="Arial" w:cs="Arial"/>
          <w:b/>
          <w:sz w:val="24"/>
        </w:rPr>
        <w:t>05</w:t>
      </w:r>
    </w:p>
    <w:p w14:paraId="4217A8DF" w14:textId="77777777" w:rsidR="005C6EA9" w:rsidRPr="002C2957" w:rsidRDefault="005C6EA9">
      <w:pPr>
        <w:spacing w:after="0" w:line="240" w:lineRule="auto"/>
        <w:ind w:left="120"/>
        <w:rPr>
          <w:rFonts w:ascii="Arial" w:eastAsia="Arial" w:hAnsi="Arial" w:cs="Arial"/>
          <w:b/>
          <w:sz w:val="28"/>
        </w:rPr>
      </w:pPr>
    </w:p>
    <w:p w14:paraId="20B65ADD" w14:textId="333303FD" w:rsidR="005C6EA9" w:rsidRPr="002C2957" w:rsidRDefault="0014241E" w:rsidP="0014241E">
      <w:pPr>
        <w:spacing w:after="0" w:line="240" w:lineRule="auto"/>
        <w:jc w:val="center"/>
        <w:rPr>
          <w:rFonts w:ascii="Arial" w:eastAsia="Arial" w:hAnsi="Arial" w:cs="Arial"/>
          <w:b/>
          <w:sz w:val="28"/>
        </w:rPr>
      </w:pPr>
      <w:r>
        <w:rPr>
          <w:rFonts w:ascii="Arial" w:eastAsia="Arial" w:hAnsi="Arial" w:cs="Arial"/>
          <w:b/>
          <w:sz w:val="28"/>
        </w:rPr>
        <w:t xml:space="preserve">Amex Exploration </w:t>
      </w:r>
      <w:r w:rsidR="002E770D">
        <w:rPr>
          <w:rFonts w:ascii="Arial" w:eastAsia="Arial" w:hAnsi="Arial" w:cs="Arial"/>
          <w:b/>
          <w:sz w:val="28"/>
        </w:rPr>
        <w:t xml:space="preserve">Reviews 2020 </w:t>
      </w:r>
      <w:r>
        <w:rPr>
          <w:rFonts w:ascii="Arial" w:eastAsia="Arial" w:hAnsi="Arial" w:cs="Arial"/>
          <w:b/>
          <w:sz w:val="28"/>
        </w:rPr>
        <w:t>Achievements</w:t>
      </w:r>
    </w:p>
    <w:p w14:paraId="0EC8A0B0" w14:textId="77777777" w:rsidR="0014241E" w:rsidRDefault="0014241E" w:rsidP="007C3362">
      <w:pPr>
        <w:spacing w:after="0" w:line="240" w:lineRule="auto"/>
        <w:jc w:val="both"/>
        <w:rPr>
          <w:rFonts w:ascii="Times New Roman" w:hAnsi="Times New Roman"/>
          <w:b/>
          <w:sz w:val="24"/>
        </w:rPr>
      </w:pPr>
    </w:p>
    <w:p w14:paraId="45459765" w14:textId="4AD720DE" w:rsidR="002E770D" w:rsidRDefault="00926142" w:rsidP="00C7082B">
      <w:pPr>
        <w:spacing w:after="0" w:line="240" w:lineRule="auto"/>
        <w:jc w:val="both"/>
        <w:rPr>
          <w:rFonts w:ascii="Times New Roman" w:hAnsi="Times New Roman"/>
          <w:sz w:val="24"/>
        </w:rPr>
      </w:pPr>
      <w:r w:rsidRPr="002C2957">
        <w:rPr>
          <w:rFonts w:ascii="Times New Roman" w:hAnsi="Times New Roman"/>
          <w:b/>
          <w:sz w:val="24"/>
        </w:rPr>
        <w:t xml:space="preserve">MONTREAL, CANADA – </w:t>
      </w:r>
      <w:r w:rsidR="00FA3890">
        <w:rPr>
          <w:rFonts w:ascii="Times New Roman" w:hAnsi="Times New Roman"/>
          <w:b/>
          <w:sz w:val="24"/>
        </w:rPr>
        <w:t>January 5</w:t>
      </w:r>
      <w:r w:rsidRPr="002C2957">
        <w:rPr>
          <w:rFonts w:ascii="Times New Roman" w:hAnsi="Times New Roman"/>
          <w:b/>
          <w:sz w:val="24"/>
        </w:rPr>
        <w:t>, 2020 - Amex Exploration Inc. (“Amex or the Company”) (TSX-V: AMX, FRA: MX0, OTCQX: AMXEF)</w:t>
      </w:r>
      <w:r w:rsidRPr="002C2957">
        <w:rPr>
          <w:rFonts w:ascii="Times New Roman" w:hAnsi="Times New Roman"/>
          <w:sz w:val="24"/>
        </w:rPr>
        <w:t xml:space="preserve"> </w:t>
      </w:r>
      <w:r w:rsidR="007B29F9">
        <w:rPr>
          <w:rFonts w:ascii="Times New Roman" w:hAnsi="Times New Roman"/>
          <w:sz w:val="24"/>
        </w:rPr>
        <w:t xml:space="preserve">Amex </w:t>
      </w:r>
      <w:r w:rsidR="008C735F">
        <w:rPr>
          <w:rFonts w:ascii="Times New Roman" w:hAnsi="Times New Roman"/>
          <w:sz w:val="24"/>
        </w:rPr>
        <w:t xml:space="preserve">is pleased to provide a review of the 2020 year. </w:t>
      </w:r>
    </w:p>
    <w:p w14:paraId="060C4E07" w14:textId="211A03AA" w:rsidR="002E770D" w:rsidRDefault="002E770D" w:rsidP="00C7082B">
      <w:pPr>
        <w:spacing w:after="0" w:line="240" w:lineRule="auto"/>
        <w:jc w:val="both"/>
        <w:rPr>
          <w:rFonts w:ascii="Times New Roman" w:hAnsi="Times New Roman"/>
          <w:sz w:val="24"/>
        </w:rPr>
      </w:pPr>
    </w:p>
    <w:p w14:paraId="7E0B4F2B" w14:textId="39279809" w:rsidR="002E770D" w:rsidRDefault="002E770D" w:rsidP="00C7082B">
      <w:pPr>
        <w:spacing w:after="0" w:line="240" w:lineRule="auto"/>
        <w:jc w:val="both"/>
        <w:rPr>
          <w:rFonts w:ascii="Times New Roman" w:hAnsi="Times New Roman"/>
          <w:sz w:val="24"/>
        </w:rPr>
      </w:pPr>
      <w:r>
        <w:rPr>
          <w:rFonts w:ascii="Times New Roman" w:hAnsi="Times New Roman"/>
          <w:sz w:val="24"/>
        </w:rPr>
        <w:t>Highlights from the year include</w:t>
      </w:r>
      <w:r w:rsidR="00B226B0">
        <w:rPr>
          <w:rFonts w:ascii="Times New Roman" w:hAnsi="Times New Roman"/>
          <w:sz w:val="24"/>
        </w:rPr>
        <w:t>:</w:t>
      </w:r>
    </w:p>
    <w:p w14:paraId="090CA9CB" w14:textId="7AFA69D6" w:rsidR="002E770D" w:rsidRDefault="002E770D" w:rsidP="002E770D">
      <w:pPr>
        <w:pStyle w:val="ListParagraph"/>
        <w:numPr>
          <w:ilvl w:val="0"/>
          <w:numId w:val="4"/>
        </w:numPr>
        <w:spacing w:after="0" w:line="240" w:lineRule="auto"/>
        <w:jc w:val="both"/>
        <w:rPr>
          <w:rFonts w:ascii="Times New Roman" w:hAnsi="Times New Roman"/>
          <w:sz w:val="24"/>
        </w:rPr>
      </w:pPr>
      <w:r>
        <w:rPr>
          <w:rFonts w:ascii="Times New Roman" w:hAnsi="Times New Roman"/>
          <w:sz w:val="24"/>
        </w:rPr>
        <w:t>Expanded the drill program from 100,000 m to 300,000 m going from 3 drills on site to 10 drills by mid November, making the Amex drilling campaign one of the largest and most aggressive exploration programs in Canada this year</w:t>
      </w:r>
    </w:p>
    <w:p w14:paraId="19D64FBD" w14:textId="7A6A7F3D" w:rsidR="00B226B0" w:rsidRDefault="00B226B0" w:rsidP="00B226B0">
      <w:pPr>
        <w:pStyle w:val="ListParagraph"/>
        <w:numPr>
          <w:ilvl w:val="0"/>
          <w:numId w:val="4"/>
        </w:numPr>
        <w:spacing w:after="0" w:line="240" w:lineRule="auto"/>
        <w:jc w:val="both"/>
        <w:rPr>
          <w:rFonts w:ascii="Times New Roman" w:hAnsi="Times New Roman"/>
          <w:sz w:val="24"/>
        </w:rPr>
      </w:pPr>
      <w:r>
        <w:rPr>
          <w:rFonts w:ascii="Times New Roman" w:hAnsi="Times New Roman"/>
          <w:sz w:val="24"/>
        </w:rPr>
        <w:t xml:space="preserve">Expanded all three </w:t>
      </w:r>
      <w:r w:rsidR="00BA5AE1">
        <w:rPr>
          <w:rFonts w:ascii="Times New Roman" w:hAnsi="Times New Roman"/>
          <w:sz w:val="24"/>
        </w:rPr>
        <w:t xml:space="preserve">known </w:t>
      </w:r>
      <w:r>
        <w:rPr>
          <w:rFonts w:ascii="Times New Roman" w:hAnsi="Times New Roman"/>
          <w:sz w:val="24"/>
        </w:rPr>
        <w:t>gold zones along strike and to depth and identified the 3.2 km long Perron Gold Corridor</w:t>
      </w:r>
      <w:r w:rsidR="00BA5AE1">
        <w:rPr>
          <w:rFonts w:ascii="Times New Roman" w:hAnsi="Times New Roman"/>
          <w:sz w:val="24"/>
        </w:rPr>
        <w:t xml:space="preserve"> along the 15 km of prospective thrust faults to be explored</w:t>
      </w:r>
    </w:p>
    <w:p w14:paraId="7C35E49E" w14:textId="010EE2AC" w:rsidR="005453F8" w:rsidRDefault="005453F8" w:rsidP="00B226B0">
      <w:pPr>
        <w:pStyle w:val="ListParagraph"/>
        <w:numPr>
          <w:ilvl w:val="0"/>
          <w:numId w:val="4"/>
        </w:numPr>
        <w:spacing w:after="0" w:line="240" w:lineRule="auto"/>
        <w:jc w:val="both"/>
        <w:rPr>
          <w:rFonts w:ascii="Times New Roman" w:hAnsi="Times New Roman"/>
          <w:sz w:val="24"/>
        </w:rPr>
      </w:pPr>
      <w:r>
        <w:rPr>
          <w:rFonts w:ascii="Times New Roman" w:hAnsi="Times New Roman"/>
          <w:sz w:val="24"/>
        </w:rPr>
        <w:t xml:space="preserve">Identified high grade gold mineralization in the down to 1.1 km vertical depth </w:t>
      </w:r>
      <w:r w:rsidR="00805BFA">
        <w:rPr>
          <w:rFonts w:ascii="Times New Roman" w:hAnsi="Times New Roman"/>
          <w:sz w:val="24"/>
        </w:rPr>
        <w:t>at High Grade Zone (HGZ)</w:t>
      </w:r>
    </w:p>
    <w:p w14:paraId="709B24E7" w14:textId="13F5E065" w:rsidR="00B226B0" w:rsidRDefault="00B226B0" w:rsidP="00B226B0">
      <w:pPr>
        <w:pStyle w:val="ListParagraph"/>
        <w:numPr>
          <w:ilvl w:val="0"/>
          <w:numId w:val="4"/>
        </w:numPr>
        <w:spacing w:after="0" w:line="240" w:lineRule="auto"/>
        <w:jc w:val="both"/>
        <w:rPr>
          <w:rFonts w:ascii="Times New Roman" w:hAnsi="Times New Roman"/>
          <w:sz w:val="24"/>
        </w:rPr>
      </w:pPr>
      <w:r>
        <w:rPr>
          <w:rFonts w:ascii="Times New Roman" w:hAnsi="Times New Roman"/>
          <w:sz w:val="24"/>
        </w:rPr>
        <w:t>Completed metallurg</w:t>
      </w:r>
      <w:r w:rsidR="00BA5AE1">
        <w:rPr>
          <w:rFonts w:ascii="Times New Roman" w:hAnsi="Times New Roman"/>
          <w:sz w:val="24"/>
        </w:rPr>
        <w:t>ical</w:t>
      </w:r>
      <w:r>
        <w:rPr>
          <w:rFonts w:ascii="Times New Roman" w:hAnsi="Times New Roman"/>
          <w:sz w:val="24"/>
        </w:rPr>
        <w:t xml:space="preserve"> testing on the </w:t>
      </w:r>
      <w:r w:rsidR="005D389E">
        <w:rPr>
          <w:rFonts w:ascii="Times New Roman" w:hAnsi="Times New Roman"/>
          <w:sz w:val="24"/>
        </w:rPr>
        <w:t xml:space="preserve">HGZ of the </w:t>
      </w:r>
      <w:r>
        <w:rPr>
          <w:rFonts w:ascii="Times New Roman" w:hAnsi="Times New Roman"/>
          <w:sz w:val="24"/>
        </w:rPr>
        <w:t xml:space="preserve">Eastern Gold Zone (EGZ) showing recoveries of greater than 99% for gold and silver and demonstrated a simplified </w:t>
      </w:r>
      <w:r w:rsidR="00BA5AE1">
        <w:rPr>
          <w:rFonts w:ascii="Times New Roman" w:hAnsi="Times New Roman"/>
          <w:sz w:val="24"/>
        </w:rPr>
        <w:t xml:space="preserve">gold processing </w:t>
      </w:r>
      <w:r>
        <w:rPr>
          <w:rFonts w:ascii="Times New Roman" w:hAnsi="Times New Roman"/>
          <w:sz w:val="24"/>
        </w:rPr>
        <w:t>flow sheet</w:t>
      </w:r>
    </w:p>
    <w:p w14:paraId="20EBF7AD" w14:textId="43C34F69" w:rsidR="00B226B0" w:rsidRPr="00B13CA5" w:rsidRDefault="000F7380" w:rsidP="00B226B0">
      <w:pPr>
        <w:pStyle w:val="ListParagraph"/>
        <w:numPr>
          <w:ilvl w:val="0"/>
          <w:numId w:val="4"/>
        </w:numPr>
        <w:spacing w:after="0" w:line="240" w:lineRule="auto"/>
        <w:jc w:val="both"/>
        <w:rPr>
          <w:rFonts w:ascii="Times New Roman" w:hAnsi="Times New Roman"/>
          <w:sz w:val="24"/>
        </w:rPr>
      </w:pPr>
      <w:r>
        <w:rPr>
          <w:rFonts w:ascii="Times New Roman" w:hAnsi="Times New Roman"/>
          <w:sz w:val="24"/>
        </w:rPr>
        <w:t>Strengthened</w:t>
      </w:r>
      <w:r w:rsidR="00B226B0">
        <w:rPr>
          <w:rFonts w:ascii="Times New Roman" w:hAnsi="Times New Roman"/>
          <w:sz w:val="24"/>
        </w:rPr>
        <w:t xml:space="preserve"> </w:t>
      </w:r>
      <w:r w:rsidR="00A824EF">
        <w:rPr>
          <w:rFonts w:ascii="Times New Roman" w:hAnsi="Times New Roman"/>
          <w:sz w:val="24"/>
        </w:rPr>
        <w:t xml:space="preserve">and diversified </w:t>
      </w:r>
      <w:r>
        <w:rPr>
          <w:rFonts w:ascii="Times New Roman" w:hAnsi="Times New Roman"/>
          <w:sz w:val="24"/>
        </w:rPr>
        <w:t>Board of Directors</w:t>
      </w:r>
    </w:p>
    <w:p w14:paraId="7E59717A" w14:textId="0D8C8050" w:rsidR="00B226B0" w:rsidRDefault="00B226B0" w:rsidP="005D389E">
      <w:pPr>
        <w:pStyle w:val="ListParagraph"/>
        <w:numPr>
          <w:ilvl w:val="0"/>
          <w:numId w:val="4"/>
        </w:numPr>
        <w:spacing w:after="0" w:line="240" w:lineRule="auto"/>
        <w:jc w:val="both"/>
        <w:rPr>
          <w:rFonts w:ascii="Times New Roman" w:hAnsi="Times New Roman"/>
          <w:sz w:val="24"/>
        </w:rPr>
      </w:pPr>
      <w:r w:rsidRPr="005D389E">
        <w:rPr>
          <w:rFonts w:ascii="Times New Roman" w:hAnsi="Times New Roman"/>
          <w:sz w:val="24"/>
        </w:rPr>
        <w:t>Completed 2 financings bringing more than $24M in cash, adding cornerstone investors, end</w:t>
      </w:r>
      <w:r w:rsidR="00A824EF" w:rsidRPr="005D389E">
        <w:rPr>
          <w:rFonts w:ascii="Times New Roman" w:hAnsi="Times New Roman"/>
          <w:sz w:val="24"/>
        </w:rPr>
        <w:t>ing</w:t>
      </w:r>
      <w:r w:rsidRPr="005D389E">
        <w:rPr>
          <w:rFonts w:ascii="Times New Roman" w:hAnsi="Times New Roman"/>
          <w:sz w:val="24"/>
        </w:rPr>
        <w:t xml:space="preserve"> the year in a strong financial position</w:t>
      </w:r>
    </w:p>
    <w:p w14:paraId="6223466A" w14:textId="0DD4A8B5" w:rsidR="005D389E" w:rsidRPr="006C20B8" w:rsidRDefault="003539F0" w:rsidP="005D389E">
      <w:pPr>
        <w:pStyle w:val="ListParagraph"/>
        <w:numPr>
          <w:ilvl w:val="0"/>
          <w:numId w:val="4"/>
        </w:numPr>
        <w:spacing w:after="0" w:line="240" w:lineRule="auto"/>
        <w:jc w:val="both"/>
        <w:rPr>
          <w:rFonts w:ascii="Times New Roman" w:hAnsi="Times New Roman"/>
          <w:sz w:val="24"/>
        </w:rPr>
      </w:pPr>
      <w:r>
        <w:rPr>
          <w:rFonts w:ascii="Times New Roman" w:hAnsi="Times New Roman"/>
          <w:sz w:val="24"/>
        </w:rPr>
        <w:t>C</w:t>
      </w:r>
      <w:r w:rsidR="005D389E">
        <w:rPr>
          <w:rFonts w:ascii="Times New Roman" w:hAnsi="Times New Roman"/>
          <w:sz w:val="24"/>
        </w:rPr>
        <w:t xml:space="preserve">overage </w:t>
      </w:r>
      <w:r>
        <w:rPr>
          <w:rFonts w:ascii="Times New Roman" w:hAnsi="Times New Roman"/>
          <w:sz w:val="24"/>
        </w:rPr>
        <w:t xml:space="preserve">initiated </w:t>
      </w:r>
      <w:r w:rsidR="005D389E">
        <w:rPr>
          <w:rFonts w:ascii="Times New Roman" w:hAnsi="Times New Roman"/>
          <w:sz w:val="24"/>
        </w:rPr>
        <w:t xml:space="preserve">by 3 </w:t>
      </w:r>
      <w:r w:rsidR="005D389E" w:rsidRPr="006C20B8">
        <w:rPr>
          <w:rFonts w:ascii="Times New Roman" w:hAnsi="Times New Roman"/>
          <w:sz w:val="24"/>
        </w:rPr>
        <w:t xml:space="preserve">different </w:t>
      </w:r>
      <w:r w:rsidR="00947F55" w:rsidRPr="006C20B8">
        <w:rPr>
          <w:rFonts w:ascii="Times New Roman" w:hAnsi="Times New Roman"/>
          <w:sz w:val="24"/>
        </w:rPr>
        <w:t>well-known</w:t>
      </w:r>
      <w:r w:rsidR="005D389E" w:rsidRPr="006C20B8">
        <w:rPr>
          <w:rFonts w:ascii="Times New Roman" w:hAnsi="Times New Roman"/>
          <w:sz w:val="24"/>
        </w:rPr>
        <w:t xml:space="preserve"> mining analysts</w:t>
      </w:r>
    </w:p>
    <w:p w14:paraId="0060504C" w14:textId="77777777" w:rsidR="002E770D" w:rsidRPr="006C20B8" w:rsidRDefault="002E770D" w:rsidP="00C7082B">
      <w:pPr>
        <w:spacing w:after="0" w:line="240" w:lineRule="auto"/>
        <w:jc w:val="both"/>
        <w:rPr>
          <w:rFonts w:ascii="Times New Roman" w:hAnsi="Times New Roman"/>
          <w:sz w:val="24"/>
        </w:rPr>
      </w:pPr>
    </w:p>
    <w:p w14:paraId="6BFA28FF" w14:textId="3742FBAC" w:rsidR="002F3CAD" w:rsidRDefault="008C735F" w:rsidP="00C7082B">
      <w:pPr>
        <w:spacing w:after="0" w:line="240" w:lineRule="auto"/>
        <w:jc w:val="both"/>
        <w:rPr>
          <w:rFonts w:ascii="Times New Roman" w:hAnsi="Times New Roman"/>
          <w:sz w:val="24"/>
        </w:rPr>
      </w:pPr>
      <w:r w:rsidRPr="006C20B8">
        <w:rPr>
          <w:rFonts w:ascii="Times New Roman" w:hAnsi="Times New Roman"/>
          <w:sz w:val="24"/>
        </w:rPr>
        <w:t xml:space="preserve">The Company </w:t>
      </w:r>
      <w:r w:rsidR="007B29F9" w:rsidRPr="006C20B8">
        <w:rPr>
          <w:rFonts w:ascii="Times New Roman" w:hAnsi="Times New Roman"/>
          <w:sz w:val="24"/>
        </w:rPr>
        <w:t>began the year with three drills on the Perron project and</w:t>
      </w:r>
      <w:r w:rsidR="000437C1" w:rsidRPr="006C20B8">
        <w:rPr>
          <w:rFonts w:ascii="Times New Roman" w:hAnsi="Times New Roman"/>
          <w:sz w:val="24"/>
        </w:rPr>
        <w:t xml:space="preserve"> ended </w:t>
      </w:r>
      <w:r w:rsidR="00B226B0" w:rsidRPr="006C20B8">
        <w:rPr>
          <w:rFonts w:ascii="Times New Roman" w:hAnsi="Times New Roman"/>
          <w:sz w:val="24"/>
        </w:rPr>
        <w:t xml:space="preserve">2020 </w:t>
      </w:r>
      <w:r w:rsidR="000437C1" w:rsidRPr="006C20B8">
        <w:rPr>
          <w:rFonts w:ascii="Times New Roman" w:hAnsi="Times New Roman"/>
          <w:sz w:val="24"/>
        </w:rPr>
        <w:t>with ten drills</w:t>
      </w:r>
      <w:r w:rsidR="00B226B0" w:rsidRPr="006C20B8">
        <w:rPr>
          <w:rFonts w:ascii="Times New Roman" w:hAnsi="Times New Roman"/>
          <w:sz w:val="24"/>
        </w:rPr>
        <w:t xml:space="preserve"> turning on the property. Approximately 1</w:t>
      </w:r>
      <w:r w:rsidR="00177020" w:rsidRPr="006C20B8">
        <w:rPr>
          <w:rFonts w:ascii="Times New Roman" w:hAnsi="Times New Roman"/>
          <w:sz w:val="24"/>
        </w:rPr>
        <w:t>2</w:t>
      </w:r>
      <w:r w:rsidR="00B226B0" w:rsidRPr="006C20B8">
        <w:rPr>
          <w:rFonts w:ascii="Times New Roman" w:hAnsi="Times New Roman"/>
          <w:sz w:val="24"/>
        </w:rPr>
        <w:t>0,000 m of drilling has been completed on th</w:t>
      </w:r>
      <w:r w:rsidR="00B13CA5" w:rsidRPr="006C20B8">
        <w:rPr>
          <w:rFonts w:ascii="Times New Roman" w:hAnsi="Times New Roman"/>
          <w:sz w:val="24"/>
        </w:rPr>
        <w:t>e</w:t>
      </w:r>
      <w:r w:rsidR="00B226B0" w:rsidRPr="006C20B8">
        <w:rPr>
          <w:rFonts w:ascii="Times New Roman" w:hAnsi="Times New Roman"/>
          <w:sz w:val="24"/>
        </w:rPr>
        <w:t xml:space="preserve"> Perron project with about another 1</w:t>
      </w:r>
      <w:r w:rsidR="00FE1CCC" w:rsidRPr="006C20B8">
        <w:rPr>
          <w:rFonts w:ascii="Times New Roman" w:hAnsi="Times New Roman"/>
          <w:sz w:val="24"/>
        </w:rPr>
        <w:t>8</w:t>
      </w:r>
      <w:r w:rsidR="00B226B0" w:rsidRPr="006C20B8">
        <w:rPr>
          <w:rFonts w:ascii="Times New Roman" w:hAnsi="Times New Roman"/>
          <w:sz w:val="24"/>
        </w:rPr>
        <w:t>0,000 m to</w:t>
      </w:r>
      <w:r w:rsidR="00B226B0" w:rsidRPr="007D0C6E">
        <w:rPr>
          <w:rFonts w:ascii="Times New Roman" w:hAnsi="Times New Roman"/>
          <w:sz w:val="24"/>
        </w:rPr>
        <w:t xml:space="preserve"> be completed</w:t>
      </w:r>
      <w:r w:rsidR="00B226B0">
        <w:rPr>
          <w:rFonts w:ascii="Times New Roman" w:hAnsi="Times New Roman"/>
          <w:sz w:val="24"/>
        </w:rPr>
        <w:t xml:space="preserve"> on Perron in 2021. The drill program </w:t>
      </w:r>
      <w:r w:rsidR="002F3CAD">
        <w:rPr>
          <w:rFonts w:ascii="Times New Roman" w:hAnsi="Times New Roman"/>
          <w:sz w:val="24"/>
        </w:rPr>
        <w:t xml:space="preserve">to date has </w:t>
      </w:r>
      <w:r w:rsidR="00B226B0">
        <w:rPr>
          <w:rFonts w:ascii="Times New Roman" w:hAnsi="Times New Roman"/>
          <w:sz w:val="24"/>
        </w:rPr>
        <w:t xml:space="preserve">focused on </w:t>
      </w:r>
      <w:r w:rsidR="00B13CA5">
        <w:rPr>
          <w:rFonts w:ascii="Times New Roman" w:hAnsi="Times New Roman"/>
          <w:sz w:val="24"/>
        </w:rPr>
        <w:t>expanding</w:t>
      </w:r>
      <w:r w:rsidR="002F3CAD">
        <w:rPr>
          <w:rFonts w:ascii="Times New Roman" w:hAnsi="Times New Roman"/>
          <w:sz w:val="24"/>
        </w:rPr>
        <w:t xml:space="preserve"> the </w:t>
      </w:r>
      <w:r w:rsidR="00B13CA5">
        <w:rPr>
          <w:rFonts w:ascii="Times New Roman" w:hAnsi="Times New Roman"/>
          <w:sz w:val="24"/>
        </w:rPr>
        <w:t xml:space="preserve">three main gold </w:t>
      </w:r>
      <w:r w:rsidR="002F3CAD">
        <w:rPr>
          <w:rFonts w:ascii="Times New Roman" w:hAnsi="Times New Roman"/>
          <w:sz w:val="24"/>
        </w:rPr>
        <w:t>z</w:t>
      </w:r>
      <w:r w:rsidR="00B13CA5">
        <w:rPr>
          <w:rFonts w:ascii="Times New Roman" w:hAnsi="Times New Roman"/>
          <w:sz w:val="24"/>
        </w:rPr>
        <w:t>ones on the Perron project starting with the Gratien Gold Zone and the Gr</w:t>
      </w:r>
      <w:r w:rsidR="003423C7">
        <w:rPr>
          <w:rFonts w:ascii="Times New Roman" w:hAnsi="Times New Roman"/>
          <w:sz w:val="24"/>
        </w:rPr>
        <w:t>e</w:t>
      </w:r>
      <w:r w:rsidR="00B13CA5">
        <w:rPr>
          <w:rFonts w:ascii="Times New Roman" w:hAnsi="Times New Roman"/>
          <w:sz w:val="24"/>
        </w:rPr>
        <w:t xml:space="preserve">y Cat Gold Zone to the West and the Eastern Gold Zone to the East. Drilling </w:t>
      </w:r>
      <w:r w:rsidR="002F3CAD">
        <w:rPr>
          <w:rFonts w:ascii="Times New Roman" w:hAnsi="Times New Roman"/>
          <w:sz w:val="24"/>
        </w:rPr>
        <w:t xml:space="preserve">has </w:t>
      </w:r>
      <w:r w:rsidR="00B13CA5">
        <w:rPr>
          <w:rFonts w:ascii="Times New Roman" w:hAnsi="Times New Roman"/>
          <w:sz w:val="24"/>
        </w:rPr>
        <w:t>demonstrated that the property hosts a</w:t>
      </w:r>
      <w:r w:rsidR="002F3CAD">
        <w:rPr>
          <w:rFonts w:ascii="Times New Roman" w:hAnsi="Times New Roman"/>
          <w:sz w:val="24"/>
        </w:rPr>
        <w:t>t</w:t>
      </w:r>
      <w:r w:rsidR="00B13CA5">
        <w:rPr>
          <w:rFonts w:ascii="Times New Roman" w:hAnsi="Times New Roman"/>
          <w:sz w:val="24"/>
        </w:rPr>
        <w:t xml:space="preserve"> 3.2 km long Perron Gold Corridor. </w:t>
      </w:r>
      <w:r w:rsidR="002F3CAD">
        <w:rPr>
          <w:rFonts w:ascii="Times New Roman" w:hAnsi="Times New Roman"/>
          <w:sz w:val="24"/>
        </w:rPr>
        <w:t>Regional exploration is currently under way on the 45 km</w:t>
      </w:r>
      <w:r w:rsidR="002F3CAD" w:rsidRPr="00BA5AE1">
        <w:rPr>
          <w:rFonts w:ascii="Times New Roman" w:hAnsi="Times New Roman"/>
          <w:sz w:val="24"/>
          <w:vertAlign w:val="superscript"/>
        </w:rPr>
        <w:t>2</w:t>
      </w:r>
      <w:r w:rsidR="002F3CAD">
        <w:rPr>
          <w:rFonts w:ascii="Times New Roman" w:hAnsi="Times New Roman"/>
          <w:sz w:val="24"/>
        </w:rPr>
        <w:t xml:space="preserve"> property which host more than 15 km of major structural faults (Perron and Normetal Faults) which has seen very little drilling outside the Perron Gold Corridor. The Company is planning a significant </w:t>
      </w:r>
      <w:r w:rsidR="00BA5AE1">
        <w:rPr>
          <w:rFonts w:ascii="Times New Roman" w:hAnsi="Times New Roman"/>
          <w:sz w:val="24"/>
        </w:rPr>
        <w:t xml:space="preserve">15,000 m </w:t>
      </w:r>
      <w:r w:rsidR="002F3CAD">
        <w:rPr>
          <w:rFonts w:ascii="Times New Roman" w:hAnsi="Times New Roman"/>
          <w:sz w:val="24"/>
        </w:rPr>
        <w:t xml:space="preserve">regional exploration program </w:t>
      </w:r>
      <w:r w:rsidR="00BA5AE1">
        <w:rPr>
          <w:rFonts w:ascii="Times New Roman" w:hAnsi="Times New Roman"/>
          <w:sz w:val="24"/>
        </w:rPr>
        <w:t xml:space="preserve">for 2021 </w:t>
      </w:r>
      <w:r w:rsidR="002F3CAD">
        <w:rPr>
          <w:rFonts w:ascii="Times New Roman" w:hAnsi="Times New Roman"/>
          <w:sz w:val="24"/>
        </w:rPr>
        <w:t xml:space="preserve">with a goal to identify additional gold zones </w:t>
      </w:r>
      <w:r w:rsidR="00BA5AE1">
        <w:rPr>
          <w:rFonts w:ascii="Times New Roman" w:hAnsi="Times New Roman"/>
          <w:sz w:val="24"/>
        </w:rPr>
        <w:t>at</w:t>
      </w:r>
      <w:r w:rsidR="002F3CAD">
        <w:rPr>
          <w:rFonts w:ascii="Times New Roman" w:hAnsi="Times New Roman"/>
          <w:sz w:val="24"/>
        </w:rPr>
        <w:t xml:space="preserve"> Perron. </w:t>
      </w:r>
    </w:p>
    <w:p w14:paraId="62135566" w14:textId="77777777" w:rsidR="00BF27B3" w:rsidRPr="00177020" w:rsidRDefault="00BF27B3" w:rsidP="00C7082B">
      <w:pPr>
        <w:spacing w:after="0" w:line="240" w:lineRule="auto"/>
        <w:jc w:val="both"/>
        <w:rPr>
          <w:rFonts w:ascii="Times New Roman" w:hAnsi="Times New Roman"/>
          <w:b/>
          <w:bCs/>
          <w:sz w:val="24"/>
        </w:rPr>
      </w:pPr>
    </w:p>
    <w:p w14:paraId="41C92F98" w14:textId="35821E32" w:rsidR="003642C2" w:rsidRDefault="00B13CA5" w:rsidP="00C7082B">
      <w:pPr>
        <w:spacing w:after="0" w:line="240" w:lineRule="auto"/>
        <w:jc w:val="both"/>
        <w:rPr>
          <w:rFonts w:ascii="Times New Roman" w:hAnsi="Times New Roman"/>
          <w:sz w:val="24"/>
        </w:rPr>
      </w:pPr>
      <w:r w:rsidRPr="00177020">
        <w:rPr>
          <w:rFonts w:ascii="Times New Roman" w:hAnsi="Times New Roman"/>
          <w:b/>
          <w:bCs/>
          <w:sz w:val="24"/>
        </w:rPr>
        <w:t>Figure 1</w:t>
      </w:r>
      <w:r>
        <w:rPr>
          <w:rFonts w:ascii="Times New Roman" w:hAnsi="Times New Roman"/>
          <w:sz w:val="24"/>
        </w:rPr>
        <w:t xml:space="preserve"> shows the significant expansion of the </w:t>
      </w:r>
      <w:r w:rsidR="002F3CAD">
        <w:rPr>
          <w:rFonts w:ascii="Times New Roman" w:hAnsi="Times New Roman"/>
          <w:sz w:val="24"/>
        </w:rPr>
        <w:t xml:space="preserve">Perron Gold Corridor with an emphasis on the </w:t>
      </w:r>
      <w:r>
        <w:rPr>
          <w:rFonts w:ascii="Times New Roman" w:hAnsi="Times New Roman"/>
          <w:sz w:val="24"/>
        </w:rPr>
        <w:t>EGZ which consist</w:t>
      </w:r>
      <w:r w:rsidR="00CE1E3D">
        <w:rPr>
          <w:rFonts w:ascii="Times New Roman" w:hAnsi="Times New Roman"/>
          <w:sz w:val="24"/>
        </w:rPr>
        <w:t>s</w:t>
      </w:r>
      <w:r>
        <w:rPr>
          <w:rFonts w:ascii="Times New Roman" w:hAnsi="Times New Roman"/>
          <w:sz w:val="24"/>
        </w:rPr>
        <w:t xml:space="preserve"> of the High Grade Zone </w:t>
      </w:r>
      <w:r w:rsidR="002F3CAD">
        <w:rPr>
          <w:rFonts w:ascii="Times New Roman" w:hAnsi="Times New Roman"/>
          <w:sz w:val="24"/>
        </w:rPr>
        <w:t xml:space="preserve">(HGZ) </w:t>
      </w:r>
      <w:r>
        <w:rPr>
          <w:rFonts w:ascii="Times New Roman" w:hAnsi="Times New Roman"/>
          <w:sz w:val="24"/>
        </w:rPr>
        <w:t>and the Den</w:t>
      </w:r>
      <w:r w:rsidR="003423C7">
        <w:rPr>
          <w:rFonts w:ascii="Times New Roman" w:hAnsi="Times New Roman"/>
          <w:sz w:val="24"/>
        </w:rPr>
        <w:t>is</w:t>
      </w:r>
      <w:r>
        <w:rPr>
          <w:rFonts w:ascii="Times New Roman" w:hAnsi="Times New Roman"/>
          <w:sz w:val="24"/>
        </w:rPr>
        <w:t>e Zone.</w:t>
      </w:r>
    </w:p>
    <w:p w14:paraId="5E33A1C6" w14:textId="447E2AEA" w:rsidR="00D94326" w:rsidRDefault="00D94326" w:rsidP="003642C2">
      <w:pPr>
        <w:spacing w:after="0" w:line="240" w:lineRule="auto"/>
        <w:rPr>
          <w:rFonts w:ascii="Times New Roman" w:hAnsi="Times New Roman"/>
          <w:sz w:val="24"/>
        </w:rPr>
      </w:pPr>
    </w:p>
    <w:p w14:paraId="1784F4C5" w14:textId="43EBECFD" w:rsidR="008D412A" w:rsidRDefault="008D412A" w:rsidP="008D412A">
      <w:pPr>
        <w:spacing w:after="0" w:line="240" w:lineRule="auto"/>
        <w:jc w:val="center"/>
        <w:rPr>
          <w:rFonts w:ascii="Times New Roman" w:hAnsi="Times New Roman"/>
          <w:b/>
          <w:sz w:val="24"/>
        </w:rPr>
      </w:pPr>
      <w:r w:rsidRPr="005C6945">
        <w:rPr>
          <w:rFonts w:ascii="Times New Roman" w:hAnsi="Times New Roman"/>
          <w:b/>
          <w:sz w:val="24"/>
        </w:rPr>
        <w:t xml:space="preserve">Figure </w:t>
      </w:r>
      <w:r w:rsidRPr="00E4774A">
        <w:rPr>
          <w:rFonts w:ascii="Times New Roman" w:hAnsi="Times New Roman"/>
          <w:b/>
          <w:sz w:val="24"/>
        </w:rPr>
        <w:t>1</w:t>
      </w:r>
      <w:r w:rsidR="00E4774A">
        <w:rPr>
          <w:rFonts w:ascii="Times New Roman" w:hAnsi="Times New Roman"/>
          <w:b/>
          <w:sz w:val="24"/>
        </w:rPr>
        <w:t>:</w:t>
      </w:r>
      <w:r w:rsidRPr="00E4774A">
        <w:rPr>
          <w:rFonts w:ascii="Times New Roman" w:hAnsi="Times New Roman"/>
          <w:b/>
          <w:sz w:val="24"/>
        </w:rPr>
        <w:t xml:space="preserve"> </w:t>
      </w:r>
      <w:r w:rsidRPr="007D0C6E">
        <w:rPr>
          <w:rFonts w:ascii="Times New Roman" w:hAnsi="Times New Roman"/>
          <w:b/>
          <w:sz w:val="24"/>
        </w:rPr>
        <w:t>Drilling Progress on the Perron Project</w:t>
      </w:r>
      <w:r w:rsidR="00BF27B3" w:rsidRPr="007D0C6E">
        <w:rPr>
          <w:rFonts w:ascii="Times New Roman" w:hAnsi="Times New Roman"/>
          <w:b/>
          <w:sz w:val="24"/>
        </w:rPr>
        <w:t xml:space="preserve"> Plan View</w:t>
      </w:r>
    </w:p>
    <w:p w14:paraId="4CEF8D03" w14:textId="77777777" w:rsidR="00256C3E" w:rsidRPr="007D0C6E" w:rsidRDefault="00256C3E" w:rsidP="008D412A">
      <w:pPr>
        <w:spacing w:after="0" w:line="240" w:lineRule="auto"/>
        <w:jc w:val="center"/>
        <w:rPr>
          <w:rFonts w:ascii="Times New Roman" w:hAnsi="Times New Roman"/>
          <w:b/>
          <w:sz w:val="24"/>
        </w:rPr>
      </w:pPr>
    </w:p>
    <w:p w14:paraId="37412E59" w14:textId="1B6BF439" w:rsidR="00B13CA5" w:rsidRDefault="00B13CA5" w:rsidP="003642C2">
      <w:pPr>
        <w:spacing w:after="0" w:line="240" w:lineRule="auto"/>
        <w:rPr>
          <w:rFonts w:ascii="Times New Roman" w:hAnsi="Times New Roman"/>
          <w:sz w:val="24"/>
        </w:rPr>
      </w:pPr>
      <w:r w:rsidRPr="00EE12B5">
        <w:rPr>
          <w:rFonts w:ascii="Times New Roman" w:hAnsi="Times New Roman"/>
          <w:noProof/>
          <w:sz w:val="24"/>
          <w:lang w:val="en-GB" w:eastAsia="en-GB"/>
        </w:rPr>
        <w:drawing>
          <wp:inline distT="0" distB="0" distL="0" distR="0" wp14:anchorId="26843E11" wp14:editId="20464C5A">
            <wp:extent cx="5461855" cy="4476750"/>
            <wp:effectExtent l="0" t="0" r="5715" b="0"/>
            <wp:docPr id="14"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3"/>
                    <pic:cNvPicPr>
                      <a:picLocks noChangeAspect="1" noChangeArrowheads="1"/>
                    </pic:cNvPicPr>
                  </pic:nvPicPr>
                  <pic:blipFill rotWithShape="1">
                    <a:blip r:embed="rId10"/>
                    <a:srcRect l="1561" t="2783" r="1103" b="2380"/>
                    <a:stretch/>
                  </pic:blipFill>
                  <pic:spPr bwMode="auto">
                    <a:xfrm>
                      <a:off x="0" y="0"/>
                      <a:ext cx="5464935" cy="4479275"/>
                    </a:xfrm>
                    <a:prstGeom prst="rect">
                      <a:avLst/>
                    </a:prstGeom>
                    <a:noFill/>
                    <a:ln>
                      <a:noFill/>
                    </a:ln>
                    <a:extLst>
                      <a:ext uri="{53640926-AAD7-44D8-BBD7-CCE9431645EC}">
                        <a14:shadowObscured xmlns:a14="http://schemas.microsoft.com/office/drawing/2010/main"/>
                      </a:ext>
                    </a:extLst>
                  </pic:spPr>
                </pic:pic>
              </a:graphicData>
            </a:graphic>
          </wp:inline>
        </w:drawing>
      </w:r>
    </w:p>
    <w:p w14:paraId="3DC1DF1B" w14:textId="77777777" w:rsidR="00BF27B3" w:rsidRDefault="00BF27B3" w:rsidP="00BF27B3">
      <w:pPr>
        <w:spacing w:after="0" w:line="240" w:lineRule="auto"/>
        <w:rPr>
          <w:rFonts w:ascii="Times New Roman" w:hAnsi="Times New Roman"/>
          <w:sz w:val="24"/>
        </w:rPr>
      </w:pPr>
    </w:p>
    <w:p w14:paraId="20DF9E1F" w14:textId="50842F19" w:rsidR="00BF27B3" w:rsidRDefault="00BF27B3" w:rsidP="00BF27B3">
      <w:pPr>
        <w:pStyle w:val="Heading2"/>
        <w:shd w:val="clear" w:color="auto" w:fill="FFFFFF"/>
        <w:rPr>
          <w:rFonts w:ascii="Times New Roman" w:hAnsi="Times New Roman"/>
          <w:i w:val="0"/>
          <w:iCs w:val="0"/>
          <w:sz w:val="24"/>
        </w:rPr>
      </w:pPr>
      <w:r w:rsidRPr="00BF27B3">
        <w:rPr>
          <w:rFonts w:ascii="Times New Roman" w:hAnsi="Times New Roman"/>
          <w:i w:val="0"/>
          <w:iCs w:val="0"/>
          <w:sz w:val="24"/>
        </w:rPr>
        <w:lastRenderedPageBreak/>
        <w:t xml:space="preserve">Figure </w:t>
      </w:r>
      <w:r>
        <w:rPr>
          <w:rFonts w:ascii="Times New Roman" w:hAnsi="Times New Roman"/>
          <w:i w:val="0"/>
          <w:iCs w:val="0"/>
          <w:sz w:val="24"/>
        </w:rPr>
        <w:t>2</w:t>
      </w:r>
      <w:r w:rsidR="00E4774A">
        <w:rPr>
          <w:rFonts w:ascii="Times New Roman" w:hAnsi="Times New Roman"/>
          <w:i w:val="0"/>
          <w:iCs w:val="0"/>
          <w:sz w:val="24"/>
        </w:rPr>
        <w:t>:</w:t>
      </w:r>
      <w:r w:rsidRPr="00BF27B3">
        <w:rPr>
          <w:rFonts w:ascii="Times New Roman" w:hAnsi="Times New Roman"/>
          <w:i w:val="0"/>
          <w:iCs w:val="0"/>
          <w:sz w:val="24"/>
        </w:rPr>
        <w:t xml:space="preserve"> Drilling Progress on the Perron Project </w:t>
      </w:r>
      <w:r>
        <w:rPr>
          <w:rFonts w:ascii="Times New Roman" w:hAnsi="Times New Roman"/>
          <w:i w:val="0"/>
          <w:iCs w:val="0"/>
          <w:sz w:val="24"/>
        </w:rPr>
        <w:t>Long Section Looking North</w:t>
      </w:r>
    </w:p>
    <w:p w14:paraId="54EB2E1D" w14:textId="1EC22CC5" w:rsidR="00804A98" w:rsidRPr="007D0C6E" w:rsidRDefault="00804A98" w:rsidP="007D0C6E">
      <w:pPr>
        <w:rPr>
          <w:i/>
          <w:iCs/>
        </w:rPr>
      </w:pPr>
      <w:r>
        <w:rPr>
          <w:noProof/>
          <w:lang w:val="en-GB" w:eastAsia="en-GB"/>
        </w:rPr>
        <w:drawing>
          <wp:inline distT="0" distB="0" distL="0" distR="0" wp14:anchorId="1A3C56EA" wp14:editId="68608AA0">
            <wp:extent cx="5412176" cy="455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5419712" cy="4559290"/>
                    </a:xfrm>
                    <a:prstGeom prst="rect">
                      <a:avLst/>
                    </a:prstGeom>
                  </pic:spPr>
                </pic:pic>
              </a:graphicData>
            </a:graphic>
          </wp:inline>
        </w:drawing>
      </w:r>
    </w:p>
    <w:p w14:paraId="649501C6" w14:textId="77777777" w:rsidR="00BF27B3" w:rsidRPr="00BF27B3" w:rsidRDefault="00BF27B3" w:rsidP="00BF27B3"/>
    <w:p w14:paraId="5B9124A9" w14:textId="5D304BFA" w:rsidR="008D412A" w:rsidRPr="008D412A" w:rsidRDefault="008D412A" w:rsidP="00B13CA5">
      <w:pPr>
        <w:pStyle w:val="Heading2"/>
        <w:shd w:val="clear" w:color="auto" w:fill="FFFFFF"/>
        <w:rPr>
          <w:rFonts w:ascii="Times New Roman" w:hAnsi="Times New Roman"/>
          <w:i w:val="0"/>
          <w:iCs w:val="0"/>
          <w:sz w:val="24"/>
          <w:szCs w:val="22"/>
        </w:rPr>
      </w:pPr>
      <w:r w:rsidRPr="008D412A">
        <w:rPr>
          <w:rFonts w:ascii="Times New Roman" w:hAnsi="Times New Roman"/>
          <w:i w:val="0"/>
          <w:iCs w:val="0"/>
          <w:sz w:val="24"/>
          <w:szCs w:val="22"/>
        </w:rPr>
        <w:t>Eastern Gold Zone</w:t>
      </w:r>
    </w:p>
    <w:p w14:paraId="0CA39D38" w14:textId="08CE114F" w:rsidR="00B13CA5" w:rsidRDefault="00B13CA5" w:rsidP="00256C3E">
      <w:pPr>
        <w:pStyle w:val="Heading2"/>
        <w:shd w:val="clear" w:color="auto" w:fill="FFFFFF"/>
        <w:jc w:val="both"/>
        <w:rPr>
          <w:rFonts w:ascii="Times New Roman" w:hAnsi="Times New Roman"/>
          <w:b w:val="0"/>
          <w:bCs w:val="0"/>
          <w:i w:val="0"/>
          <w:iCs w:val="0"/>
          <w:sz w:val="24"/>
          <w:szCs w:val="22"/>
        </w:rPr>
      </w:pPr>
      <w:r>
        <w:rPr>
          <w:rFonts w:ascii="Times New Roman" w:hAnsi="Times New Roman"/>
          <w:b w:val="0"/>
          <w:bCs w:val="0"/>
          <w:i w:val="0"/>
          <w:iCs w:val="0"/>
          <w:sz w:val="24"/>
          <w:szCs w:val="22"/>
        </w:rPr>
        <w:t>During the 2020 year</w:t>
      </w:r>
      <w:r w:rsidR="008D412A">
        <w:rPr>
          <w:rFonts w:ascii="Times New Roman" w:hAnsi="Times New Roman"/>
          <w:b w:val="0"/>
          <w:bCs w:val="0"/>
          <w:i w:val="0"/>
          <w:iCs w:val="0"/>
          <w:sz w:val="24"/>
          <w:szCs w:val="22"/>
        </w:rPr>
        <w:t>,</w:t>
      </w:r>
      <w:r>
        <w:rPr>
          <w:rFonts w:ascii="Times New Roman" w:hAnsi="Times New Roman"/>
          <w:b w:val="0"/>
          <w:bCs w:val="0"/>
          <w:i w:val="0"/>
          <w:iCs w:val="0"/>
          <w:sz w:val="24"/>
          <w:szCs w:val="22"/>
        </w:rPr>
        <w:t xml:space="preserve"> Amex expanded the EGZ down to a vertical depth of 1.1 km with </w:t>
      </w:r>
      <w:r w:rsidRPr="00B13CA5">
        <w:rPr>
          <w:rFonts w:ascii="Times New Roman" w:hAnsi="Times New Roman"/>
          <w:b w:val="0"/>
          <w:bCs w:val="0"/>
          <w:i w:val="0"/>
          <w:iCs w:val="0"/>
          <w:sz w:val="24"/>
          <w:szCs w:val="22"/>
        </w:rPr>
        <w:t>Hole PE-20-187 intersect</w:t>
      </w:r>
      <w:r>
        <w:rPr>
          <w:rFonts w:ascii="Times New Roman" w:hAnsi="Times New Roman"/>
          <w:b w:val="0"/>
          <w:bCs w:val="0"/>
          <w:i w:val="0"/>
          <w:iCs w:val="0"/>
          <w:sz w:val="24"/>
          <w:szCs w:val="22"/>
        </w:rPr>
        <w:t>ing</w:t>
      </w:r>
      <w:r w:rsidRPr="00B13CA5">
        <w:rPr>
          <w:rFonts w:ascii="Times New Roman" w:hAnsi="Times New Roman"/>
          <w:b w:val="0"/>
          <w:bCs w:val="0"/>
          <w:i w:val="0"/>
          <w:iCs w:val="0"/>
          <w:sz w:val="24"/>
          <w:szCs w:val="22"/>
        </w:rPr>
        <w:t xml:space="preserve"> 3.85 metres of 25.04 g/t Au.</w:t>
      </w:r>
      <w:r>
        <w:rPr>
          <w:rFonts w:ascii="Times New Roman" w:hAnsi="Times New Roman"/>
          <w:b w:val="0"/>
          <w:bCs w:val="0"/>
          <w:i w:val="0"/>
          <w:iCs w:val="0"/>
          <w:sz w:val="24"/>
          <w:szCs w:val="22"/>
        </w:rPr>
        <w:t xml:space="preserve"> Essentially</w:t>
      </w:r>
      <w:r w:rsidR="008D412A">
        <w:rPr>
          <w:rFonts w:ascii="Times New Roman" w:hAnsi="Times New Roman"/>
          <w:b w:val="0"/>
          <w:bCs w:val="0"/>
          <w:i w:val="0"/>
          <w:iCs w:val="0"/>
          <w:sz w:val="24"/>
          <w:szCs w:val="22"/>
        </w:rPr>
        <w:t>,</w:t>
      </w:r>
      <w:r>
        <w:rPr>
          <w:rFonts w:ascii="Times New Roman" w:hAnsi="Times New Roman"/>
          <w:b w:val="0"/>
          <w:bCs w:val="0"/>
          <w:i w:val="0"/>
          <w:iCs w:val="0"/>
          <w:sz w:val="24"/>
          <w:szCs w:val="22"/>
        </w:rPr>
        <w:t xml:space="preserve"> during 2020</w:t>
      </w:r>
      <w:r w:rsidR="008D412A">
        <w:rPr>
          <w:rFonts w:ascii="Times New Roman" w:hAnsi="Times New Roman"/>
          <w:b w:val="0"/>
          <w:bCs w:val="0"/>
          <w:i w:val="0"/>
          <w:iCs w:val="0"/>
          <w:sz w:val="24"/>
          <w:szCs w:val="22"/>
        </w:rPr>
        <w:t>,</w:t>
      </w:r>
      <w:r>
        <w:rPr>
          <w:rFonts w:ascii="Times New Roman" w:hAnsi="Times New Roman"/>
          <w:b w:val="0"/>
          <w:bCs w:val="0"/>
          <w:i w:val="0"/>
          <w:iCs w:val="0"/>
          <w:sz w:val="24"/>
          <w:szCs w:val="22"/>
        </w:rPr>
        <w:t xml:space="preserve"> Amex </w:t>
      </w:r>
      <w:r w:rsidR="00095AB1">
        <w:rPr>
          <w:rFonts w:ascii="Times New Roman" w:hAnsi="Times New Roman"/>
          <w:b w:val="0"/>
          <w:bCs w:val="0"/>
          <w:i w:val="0"/>
          <w:iCs w:val="0"/>
          <w:sz w:val="24"/>
          <w:szCs w:val="22"/>
        </w:rPr>
        <w:t>doubled</w:t>
      </w:r>
      <w:r w:rsidR="008D412A">
        <w:rPr>
          <w:rFonts w:ascii="Times New Roman" w:hAnsi="Times New Roman"/>
          <w:b w:val="0"/>
          <w:bCs w:val="0"/>
          <w:i w:val="0"/>
          <w:iCs w:val="0"/>
          <w:sz w:val="24"/>
          <w:szCs w:val="22"/>
        </w:rPr>
        <w:t xml:space="preserve"> </w:t>
      </w:r>
      <w:r>
        <w:rPr>
          <w:rFonts w:ascii="Times New Roman" w:hAnsi="Times New Roman"/>
          <w:b w:val="0"/>
          <w:bCs w:val="0"/>
          <w:i w:val="0"/>
          <w:iCs w:val="0"/>
          <w:sz w:val="24"/>
          <w:szCs w:val="22"/>
        </w:rPr>
        <w:t xml:space="preserve">the vertical extension of </w:t>
      </w:r>
      <w:r w:rsidR="008D412A">
        <w:rPr>
          <w:rFonts w:ascii="Times New Roman" w:hAnsi="Times New Roman"/>
          <w:b w:val="0"/>
          <w:bCs w:val="0"/>
          <w:i w:val="0"/>
          <w:iCs w:val="0"/>
          <w:sz w:val="24"/>
          <w:szCs w:val="22"/>
        </w:rPr>
        <w:t>the</w:t>
      </w:r>
      <w:r>
        <w:rPr>
          <w:rFonts w:ascii="Times New Roman" w:hAnsi="Times New Roman"/>
          <w:b w:val="0"/>
          <w:bCs w:val="0"/>
          <w:i w:val="0"/>
          <w:iCs w:val="0"/>
          <w:sz w:val="24"/>
          <w:szCs w:val="22"/>
        </w:rPr>
        <w:t xml:space="preserve"> HGZ</w:t>
      </w:r>
      <w:r w:rsidR="008D412A">
        <w:rPr>
          <w:rFonts w:ascii="Times New Roman" w:hAnsi="Times New Roman"/>
          <w:b w:val="0"/>
          <w:bCs w:val="0"/>
          <w:i w:val="0"/>
          <w:iCs w:val="0"/>
          <w:sz w:val="24"/>
          <w:szCs w:val="22"/>
        </w:rPr>
        <w:t xml:space="preserve">. </w:t>
      </w:r>
      <w:r w:rsidRPr="00B13CA5">
        <w:rPr>
          <w:rFonts w:ascii="Times New Roman" w:hAnsi="Times New Roman"/>
          <w:b w:val="0"/>
          <w:bCs w:val="0"/>
          <w:i w:val="0"/>
          <w:iCs w:val="0"/>
          <w:sz w:val="24"/>
          <w:szCs w:val="22"/>
        </w:rPr>
        <w:t>Interpretation of the HGZ now suggests</w:t>
      </w:r>
      <w:r>
        <w:rPr>
          <w:rFonts w:ascii="Times New Roman" w:hAnsi="Times New Roman"/>
          <w:b w:val="0"/>
          <w:bCs w:val="0"/>
          <w:i w:val="0"/>
          <w:iCs w:val="0"/>
          <w:sz w:val="24"/>
          <w:szCs w:val="22"/>
        </w:rPr>
        <w:t xml:space="preserve"> that g</w:t>
      </w:r>
      <w:r w:rsidRPr="00B13CA5">
        <w:rPr>
          <w:rFonts w:ascii="Times New Roman" w:hAnsi="Times New Roman"/>
          <w:b w:val="0"/>
          <w:bCs w:val="0"/>
          <w:i w:val="0"/>
          <w:iCs w:val="0"/>
          <w:sz w:val="24"/>
          <w:szCs w:val="22"/>
        </w:rPr>
        <w:t xml:space="preserve">old mineralization </w:t>
      </w:r>
      <w:r>
        <w:rPr>
          <w:rFonts w:ascii="Times New Roman" w:hAnsi="Times New Roman"/>
          <w:b w:val="0"/>
          <w:bCs w:val="0"/>
          <w:i w:val="0"/>
          <w:iCs w:val="0"/>
          <w:sz w:val="24"/>
          <w:szCs w:val="22"/>
        </w:rPr>
        <w:t xml:space="preserve">has been </w:t>
      </w:r>
      <w:r w:rsidRPr="00B13CA5">
        <w:rPr>
          <w:rFonts w:ascii="Times New Roman" w:hAnsi="Times New Roman"/>
          <w:b w:val="0"/>
          <w:bCs w:val="0"/>
          <w:i w:val="0"/>
          <w:iCs w:val="0"/>
          <w:sz w:val="24"/>
          <w:szCs w:val="22"/>
        </w:rPr>
        <w:t>traced over 350 metres along strike, from near surface to over 1.1 km vertically and averages approximately 7 metres of width (core length).</w:t>
      </w:r>
      <w:r>
        <w:rPr>
          <w:rFonts w:ascii="Times New Roman" w:hAnsi="Times New Roman"/>
          <w:b w:val="0"/>
          <w:bCs w:val="0"/>
          <w:i w:val="0"/>
          <w:iCs w:val="0"/>
          <w:sz w:val="24"/>
          <w:szCs w:val="22"/>
        </w:rPr>
        <w:t xml:space="preserve"> The recent deep drilling on the HGZ </w:t>
      </w:r>
      <w:r w:rsidRPr="00B13CA5">
        <w:rPr>
          <w:rFonts w:ascii="Times New Roman" w:hAnsi="Times New Roman"/>
          <w:b w:val="0"/>
          <w:bCs w:val="0"/>
          <w:i w:val="0"/>
          <w:iCs w:val="0"/>
          <w:sz w:val="24"/>
          <w:szCs w:val="22"/>
        </w:rPr>
        <w:t xml:space="preserve">is continually strengthening </w:t>
      </w:r>
      <w:r>
        <w:rPr>
          <w:rFonts w:ascii="Times New Roman" w:hAnsi="Times New Roman"/>
          <w:b w:val="0"/>
          <w:bCs w:val="0"/>
          <w:i w:val="0"/>
          <w:iCs w:val="0"/>
          <w:sz w:val="24"/>
          <w:szCs w:val="22"/>
        </w:rPr>
        <w:t>to depth</w:t>
      </w:r>
      <w:r w:rsidRPr="00B13CA5">
        <w:rPr>
          <w:rFonts w:ascii="Times New Roman" w:hAnsi="Times New Roman"/>
          <w:b w:val="0"/>
          <w:bCs w:val="0"/>
          <w:i w:val="0"/>
          <w:iCs w:val="0"/>
          <w:sz w:val="24"/>
          <w:szCs w:val="22"/>
        </w:rPr>
        <w:t xml:space="preserve">. Of particular interest is that the highest grade core of the system, (i.e. with a metal factor greater than 100 g/t Au by meter as shown in pink on </w:t>
      </w:r>
      <w:r w:rsidRPr="006C20B8">
        <w:rPr>
          <w:rFonts w:ascii="Times New Roman" w:hAnsi="Times New Roman"/>
          <w:i w:val="0"/>
          <w:iCs w:val="0"/>
          <w:sz w:val="24"/>
          <w:szCs w:val="22"/>
        </w:rPr>
        <w:t xml:space="preserve">Figure </w:t>
      </w:r>
      <w:r w:rsidR="00177020" w:rsidRPr="006C20B8">
        <w:rPr>
          <w:rFonts w:ascii="Times New Roman" w:hAnsi="Times New Roman"/>
          <w:i w:val="0"/>
          <w:iCs w:val="0"/>
          <w:sz w:val="24"/>
          <w:szCs w:val="22"/>
        </w:rPr>
        <w:t>2</w:t>
      </w:r>
      <w:r w:rsidRPr="006C20B8">
        <w:rPr>
          <w:rFonts w:ascii="Times New Roman" w:hAnsi="Times New Roman"/>
          <w:b w:val="0"/>
          <w:bCs w:val="0"/>
          <w:i w:val="0"/>
          <w:iCs w:val="0"/>
          <w:sz w:val="24"/>
          <w:szCs w:val="22"/>
        </w:rPr>
        <w:t>) is</w:t>
      </w:r>
      <w:r w:rsidRPr="00B13CA5">
        <w:rPr>
          <w:rFonts w:ascii="Times New Roman" w:hAnsi="Times New Roman"/>
          <w:b w:val="0"/>
          <w:bCs w:val="0"/>
          <w:i w:val="0"/>
          <w:iCs w:val="0"/>
          <w:sz w:val="24"/>
          <w:szCs w:val="22"/>
        </w:rPr>
        <w:t xml:space="preserve"> more than double the vertical distance at depth in comparison to the near-surface portion of the HGZ. </w:t>
      </w:r>
      <w:r w:rsidR="008D412A">
        <w:rPr>
          <w:rFonts w:ascii="Times New Roman" w:hAnsi="Times New Roman"/>
          <w:b w:val="0"/>
          <w:bCs w:val="0"/>
          <w:i w:val="0"/>
          <w:iCs w:val="0"/>
          <w:sz w:val="24"/>
          <w:szCs w:val="22"/>
        </w:rPr>
        <w:t>Drilling in 2021 on the HGZ will focus on definition drilling down to the 1.0</w:t>
      </w:r>
      <w:r w:rsidR="003A6B95">
        <w:rPr>
          <w:rFonts w:ascii="Times New Roman" w:hAnsi="Times New Roman"/>
          <w:b w:val="0"/>
          <w:bCs w:val="0"/>
          <w:i w:val="0"/>
          <w:iCs w:val="0"/>
          <w:sz w:val="24"/>
          <w:szCs w:val="22"/>
        </w:rPr>
        <w:t xml:space="preserve"> km</w:t>
      </w:r>
      <w:r w:rsidR="008D412A">
        <w:rPr>
          <w:rFonts w:ascii="Times New Roman" w:hAnsi="Times New Roman"/>
          <w:b w:val="0"/>
          <w:bCs w:val="0"/>
          <w:i w:val="0"/>
          <w:iCs w:val="0"/>
          <w:sz w:val="24"/>
          <w:szCs w:val="22"/>
        </w:rPr>
        <w:t xml:space="preserve"> level for a resource calculation starting at the end of </w:t>
      </w:r>
      <w:r w:rsidR="003A6B95">
        <w:rPr>
          <w:rFonts w:ascii="Times New Roman" w:hAnsi="Times New Roman"/>
          <w:b w:val="0"/>
          <w:bCs w:val="0"/>
          <w:i w:val="0"/>
          <w:iCs w:val="0"/>
          <w:sz w:val="24"/>
          <w:szCs w:val="22"/>
        </w:rPr>
        <w:t>2021</w:t>
      </w:r>
      <w:r w:rsidR="008D412A">
        <w:rPr>
          <w:rFonts w:ascii="Times New Roman" w:hAnsi="Times New Roman"/>
          <w:b w:val="0"/>
          <w:bCs w:val="0"/>
          <w:i w:val="0"/>
          <w:iCs w:val="0"/>
          <w:sz w:val="24"/>
          <w:szCs w:val="22"/>
        </w:rPr>
        <w:t xml:space="preserve"> as well as continued step out drilling to </w:t>
      </w:r>
      <w:r w:rsidRPr="00B13CA5">
        <w:rPr>
          <w:rFonts w:ascii="Times New Roman" w:hAnsi="Times New Roman"/>
          <w:b w:val="0"/>
          <w:bCs w:val="0"/>
          <w:i w:val="0"/>
          <w:iCs w:val="0"/>
          <w:sz w:val="24"/>
          <w:szCs w:val="22"/>
        </w:rPr>
        <w:t>expand the strike length of the system</w:t>
      </w:r>
      <w:r w:rsidR="003A6B95">
        <w:rPr>
          <w:rFonts w:ascii="Times New Roman" w:hAnsi="Times New Roman"/>
          <w:b w:val="0"/>
          <w:bCs w:val="0"/>
          <w:i w:val="0"/>
          <w:iCs w:val="0"/>
          <w:sz w:val="24"/>
          <w:szCs w:val="22"/>
        </w:rPr>
        <w:t xml:space="preserve"> at depth</w:t>
      </w:r>
      <w:r w:rsidRPr="00B13CA5">
        <w:rPr>
          <w:rFonts w:ascii="Times New Roman" w:hAnsi="Times New Roman"/>
          <w:b w:val="0"/>
          <w:bCs w:val="0"/>
          <w:i w:val="0"/>
          <w:iCs w:val="0"/>
          <w:sz w:val="24"/>
          <w:szCs w:val="22"/>
        </w:rPr>
        <w:t>.</w:t>
      </w:r>
    </w:p>
    <w:p w14:paraId="15212907" w14:textId="77777777" w:rsidR="00BF27B3" w:rsidRPr="00BF27B3" w:rsidRDefault="00BF27B3" w:rsidP="00BF27B3"/>
    <w:p w14:paraId="18BE4C86" w14:textId="0ED5C540" w:rsidR="003A6B95" w:rsidRPr="00EE4BA4" w:rsidRDefault="003A6B95" w:rsidP="003A6B95">
      <w:pPr>
        <w:rPr>
          <w:rFonts w:ascii="Times New Roman" w:hAnsi="Times New Roman"/>
          <w:sz w:val="24"/>
          <w:szCs w:val="24"/>
        </w:rPr>
      </w:pPr>
      <w:r w:rsidRPr="00EE4BA4">
        <w:rPr>
          <w:rFonts w:ascii="Times New Roman" w:hAnsi="Times New Roman"/>
          <w:sz w:val="24"/>
          <w:szCs w:val="24"/>
        </w:rPr>
        <w:lastRenderedPageBreak/>
        <w:t>Highlight drill results from the HGZ in 2020 include:</w:t>
      </w:r>
    </w:p>
    <w:p w14:paraId="501B72F6" w14:textId="77777777" w:rsidR="00256C3E" w:rsidRPr="00EE4BA4" w:rsidRDefault="00256C3E" w:rsidP="00256C3E">
      <w:pPr>
        <w:pStyle w:val="ListParagraph"/>
        <w:numPr>
          <w:ilvl w:val="0"/>
          <w:numId w:val="5"/>
        </w:numPr>
        <w:jc w:val="both"/>
        <w:rPr>
          <w:rFonts w:ascii="Times New Roman" w:hAnsi="Times New Roman"/>
          <w:sz w:val="24"/>
          <w:szCs w:val="24"/>
        </w:rPr>
      </w:pPr>
      <w:r w:rsidRPr="00EE4BA4">
        <w:rPr>
          <w:rFonts w:ascii="Times New Roman" w:hAnsi="Times New Roman"/>
          <w:b/>
          <w:bCs/>
          <w:sz w:val="24"/>
          <w:szCs w:val="24"/>
        </w:rPr>
        <w:t>Hole PE-20-137</w:t>
      </w:r>
      <w:r w:rsidRPr="00EE4BA4">
        <w:rPr>
          <w:rFonts w:ascii="Times New Roman" w:hAnsi="Times New Roman"/>
          <w:sz w:val="24"/>
          <w:szCs w:val="24"/>
        </w:rPr>
        <w:t xml:space="preserve"> intersected 8.50 metres of 29.44 g/t Au at a vertical depth of approximately 570 metres (see Press Release of February 13, 2020)</w:t>
      </w:r>
    </w:p>
    <w:p w14:paraId="4816172A" w14:textId="77777777" w:rsidR="00256C3E" w:rsidRPr="00EE4BA4" w:rsidRDefault="00256C3E" w:rsidP="00256C3E">
      <w:pPr>
        <w:pStyle w:val="ListParagraph"/>
        <w:numPr>
          <w:ilvl w:val="0"/>
          <w:numId w:val="5"/>
        </w:numPr>
        <w:jc w:val="both"/>
        <w:rPr>
          <w:rFonts w:ascii="Times New Roman" w:hAnsi="Times New Roman"/>
          <w:sz w:val="24"/>
          <w:szCs w:val="24"/>
        </w:rPr>
      </w:pPr>
      <w:r w:rsidRPr="00EE4BA4">
        <w:rPr>
          <w:rFonts w:ascii="Times New Roman" w:hAnsi="Times New Roman"/>
          <w:b/>
          <w:bCs/>
          <w:sz w:val="24"/>
          <w:szCs w:val="24"/>
        </w:rPr>
        <w:t>Hole PE-20-171</w:t>
      </w:r>
      <w:r w:rsidRPr="00EE4BA4">
        <w:rPr>
          <w:rFonts w:ascii="Times New Roman" w:hAnsi="Times New Roman"/>
          <w:sz w:val="24"/>
          <w:szCs w:val="24"/>
        </w:rPr>
        <w:t xml:space="preserve"> intersected 9.10 metres of 44.22 g/t Au at a vertical depth of approximately 775 metres (see Press Release of July 16, 2020)</w:t>
      </w:r>
    </w:p>
    <w:p w14:paraId="12839142" w14:textId="77777777" w:rsidR="00256C3E" w:rsidRPr="00EE4BA4" w:rsidRDefault="00256C3E" w:rsidP="00256C3E">
      <w:pPr>
        <w:pStyle w:val="ListParagraph"/>
        <w:numPr>
          <w:ilvl w:val="0"/>
          <w:numId w:val="5"/>
        </w:numPr>
        <w:jc w:val="both"/>
        <w:rPr>
          <w:rFonts w:ascii="Times New Roman" w:hAnsi="Times New Roman"/>
          <w:sz w:val="24"/>
          <w:szCs w:val="24"/>
        </w:rPr>
      </w:pPr>
      <w:r w:rsidRPr="00EE4BA4">
        <w:rPr>
          <w:rFonts w:ascii="Times New Roman" w:hAnsi="Times New Roman"/>
          <w:b/>
          <w:bCs/>
          <w:sz w:val="24"/>
          <w:szCs w:val="24"/>
        </w:rPr>
        <w:t>Hole PEM-20-001</w:t>
      </w:r>
      <w:r w:rsidRPr="00EE4BA4">
        <w:rPr>
          <w:rFonts w:ascii="Times New Roman" w:hAnsi="Times New Roman"/>
          <w:sz w:val="24"/>
          <w:szCs w:val="24"/>
        </w:rPr>
        <w:t xml:space="preserve"> intersected 11.80 metres of 27.70 g/t Au at a vertical depth of approximately 270 metres (see Press Release of August 5, 2020)</w:t>
      </w:r>
    </w:p>
    <w:p w14:paraId="5C685323" w14:textId="77777777" w:rsidR="00256C3E" w:rsidRPr="00EE4BA4" w:rsidRDefault="00256C3E" w:rsidP="00256C3E">
      <w:pPr>
        <w:pStyle w:val="ListParagraph"/>
        <w:numPr>
          <w:ilvl w:val="0"/>
          <w:numId w:val="5"/>
        </w:numPr>
        <w:jc w:val="both"/>
        <w:rPr>
          <w:rFonts w:ascii="Times New Roman" w:hAnsi="Times New Roman"/>
          <w:sz w:val="24"/>
          <w:szCs w:val="24"/>
        </w:rPr>
      </w:pPr>
      <w:r w:rsidRPr="00EE4BA4">
        <w:rPr>
          <w:rFonts w:ascii="Times New Roman" w:hAnsi="Times New Roman"/>
          <w:b/>
          <w:bCs/>
          <w:sz w:val="24"/>
          <w:szCs w:val="24"/>
        </w:rPr>
        <w:t>Hole PEM-20-005</w:t>
      </w:r>
      <w:r w:rsidRPr="00EE4BA4">
        <w:rPr>
          <w:rFonts w:ascii="Times New Roman" w:hAnsi="Times New Roman"/>
          <w:sz w:val="24"/>
          <w:szCs w:val="24"/>
        </w:rPr>
        <w:t xml:space="preserve"> intersected 15.60 metres of 32.41 g/t Au at a vertical depth of approximately 150 metres (see Press Release of August 18, 2020)</w:t>
      </w:r>
    </w:p>
    <w:p w14:paraId="294A4E77" w14:textId="77777777" w:rsidR="00256C3E" w:rsidRPr="00EE4BA4" w:rsidRDefault="00256C3E" w:rsidP="00256C3E">
      <w:pPr>
        <w:pStyle w:val="ListParagraph"/>
        <w:numPr>
          <w:ilvl w:val="0"/>
          <w:numId w:val="5"/>
        </w:numPr>
        <w:jc w:val="both"/>
        <w:rPr>
          <w:rFonts w:ascii="Times New Roman" w:hAnsi="Times New Roman"/>
          <w:sz w:val="24"/>
          <w:szCs w:val="24"/>
        </w:rPr>
      </w:pPr>
      <w:r w:rsidRPr="00EE4BA4">
        <w:rPr>
          <w:rFonts w:ascii="Times New Roman" w:hAnsi="Times New Roman"/>
          <w:b/>
          <w:bCs/>
          <w:sz w:val="24"/>
          <w:szCs w:val="24"/>
        </w:rPr>
        <w:t>Hole PE-20-217</w:t>
      </w:r>
      <w:r w:rsidRPr="00EE4BA4">
        <w:rPr>
          <w:rFonts w:ascii="Times New Roman" w:hAnsi="Times New Roman"/>
          <w:sz w:val="24"/>
          <w:szCs w:val="24"/>
        </w:rPr>
        <w:t xml:space="preserve"> intersected 10.55 metres of 20.88 g/t Au </w:t>
      </w:r>
      <w:r w:rsidRPr="00EE4BA4">
        <w:rPr>
          <w:rFonts w:ascii="Times New Roman" w:hAnsi="Times New Roman"/>
          <w:color w:val="000000"/>
          <w:spacing w:val="6"/>
          <w:sz w:val="24"/>
          <w:szCs w:val="24"/>
          <w:shd w:val="clear" w:color="auto" w:fill="FFFFFF"/>
        </w:rPr>
        <w:t>a vertical depth of approximately 560 metres (See Press Release of December 3, 2020)</w:t>
      </w:r>
    </w:p>
    <w:p w14:paraId="55D6B801" w14:textId="77777777" w:rsidR="000C6AD1" w:rsidRPr="000C6AD1" w:rsidRDefault="000C6AD1" w:rsidP="000C6AD1">
      <w:pPr>
        <w:pStyle w:val="ListParagraph"/>
        <w:spacing w:after="0" w:line="240" w:lineRule="auto"/>
        <w:rPr>
          <w:rFonts w:ascii="Times New Roman" w:hAnsi="Times New Roman"/>
          <w:sz w:val="24"/>
        </w:rPr>
      </w:pPr>
    </w:p>
    <w:p w14:paraId="29782F7C" w14:textId="39FCE8D7" w:rsidR="0056638D" w:rsidRDefault="008D412A" w:rsidP="00256C3E">
      <w:pPr>
        <w:spacing w:after="0" w:line="240" w:lineRule="auto"/>
        <w:jc w:val="both"/>
        <w:rPr>
          <w:rFonts w:ascii="Times New Roman" w:hAnsi="Times New Roman"/>
          <w:sz w:val="24"/>
        </w:rPr>
      </w:pPr>
      <w:r>
        <w:rPr>
          <w:rFonts w:ascii="Times New Roman" w:hAnsi="Times New Roman"/>
          <w:sz w:val="24"/>
        </w:rPr>
        <w:t xml:space="preserve">2020 also saw excellent progress on our understanding of the nearby Denise Zone which lies parallel and approximately 50 m to the south of the HGZ. Drilling at the latter part of 2020 has begun to demonstrate the potential to add significant </w:t>
      </w:r>
      <w:r w:rsidR="00057F5F">
        <w:rPr>
          <w:rFonts w:ascii="Times New Roman" w:hAnsi="Times New Roman"/>
          <w:sz w:val="24"/>
        </w:rPr>
        <w:t xml:space="preserve">near surface </w:t>
      </w:r>
      <w:r>
        <w:rPr>
          <w:rFonts w:ascii="Times New Roman" w:hAnsi="Times New Roman"/>
          <w:sz w:val="24"/>
        </w:rPr>
        <w:t>gold ounces to the project. Rec</w:t>
      </w:r>
      <w:r w:rsidR="00057F5F">
        <w:rPr>
          <w:rFonts w:ascii="Times New Roman" w:hAnsi="Times New Roman"/>
          <w:sz w:val="24"/>
        </w:rPr>
        <w:t>e</w:t>
      </w:r>
      <w:r>
        <w:rPr>
          <w:rFonts w:ascii="Times New Roman" w:hAnsi="Times New Roman"/>
          <w:sz w:val="24"/>
        </w:rPr>
        <w:t>nt drilling h</w:t>
      </w:r>
      <w:r w:rsidR="00057F5F">
        <w:rPr>
          <w:rFonts w:ascii="Times New Roman" w:hAnsi="Times New Roman"/>
          <w:sz w:val="24"/>
        </w:rPr>
        <w:t>a</w:t>
      </w:r>
      <w:r>
        <w:rPr>
          <w:rFonts w:ascii="Times New Roman" w:hAnsi="Times New Roman"/>
          <w:sz w:val="24"/>
        </w:rPr>
        <w:t>s confir</w:t>
      </w:r>
      <w:r w:rsidR="00057F5F">
        <w:rPr>
          <w:rFonts w:ascii="Times New Roman" w:hAnsi="Times New Roman"/>
          <w:sz w:val="24"/>
        </w:rPr>
        <w:t xml:space="preserve">med the presence of a high metal factor core of </w:t>
      </w:r>
      <w:r w:rsidRPr="008D412A">
        <w:rPr>
          <w:rFonts w:ascii="Times New Roman" w:hAnsi="Times New Roman"/>
          <w:sz w:val="24"/>
        </w:rPr>
        <w:t>the Denise Zone with</w:t>
      </w:r>
      <w:r w:rsidR="00057F5F">
        <w:rPr>
          <w:rFonts w:ascii="Times New Roman" w:hAnsi="Times New Roman"/>
          <w:sz w:val="24"/>
        </w:rPr>
        <w:t>in</w:t>
      </w:r>
      <w:r w:rsidRPr="008D412A">
        <w:rPr>
          <w:rFonts w:ascii="Times New Roman" w:hAnsi="Times New Roman"/>
          <w:sz w:val="24"/>
        </w:rPr>
        <w:t xml:space="preserve"> large intervals of gold mineralization</w:t>
      </w:r>
      <w:r w:rsidR="00057F5F">
        <w:rPr>
          <w:rFonts w:ascii="Times New Roman" w:hAnsi="Times New Roman"/>
          <w:sz w:val="24"/>
        </w:rPr>
        <w:t xml:space="preserve"> as demonstrated in </w:t>
      </w:r>
      <w:r w:rsidR="00057F5F" w:rsidRPr="008D412A">
        <w:rPr>
          <w:rFonts w:ascii="Times New Roman" w:hAnsi="Times New Roman"/>
          <w:sz w:val="24"/>
        </w:rPr>
        <w:t xml:space="preserve">Hole PE-20-199 </w:t>
      </w:r>
      <w:r w:rsidR="00057F5F">
        <w:rPr>
          <w:rFonts w:ascii="Times New Roman" w:hAnsi="Times New Roman"/>
          <w:sz w:val="24"/>
        </w:rPr>
        <w:t xml:space="preserve">which </w:t>
      </w:r>
      <w:r w:rsidR="00057F5F" w:rsidRPr="008D412A">
        <w:rPr>
          <w:rFonts w:ascii="Times New Roman" w:hAnsi="Times New Roman"/>
          <w:sz w:val="24"/>
        </w:rPr>
        <w:t>intersected 81.50 metres of 1.51 g/t Au at a vertical depth of approximately 190 metres.</w:t>
      </w:r>
      <w:r w:rsidR="00057F5F">
        <w:rPr>
          <w:rFonts w:ascii="Times New Roman" w:hAnsi="Times New Roman"/>
          <w:sz w:val="24"/>
        </w:rPr>
        <w:t xml:space="preserve"> Drilling has continued to encounter </w:t>
      </w:r>
      <w:r w:rsidRPr="008D412A">
        <w:rPr>
          <w:rFonts w:ascii="Times New Roman" w:hAnsi="Times New Roman"/>
          <w:sz w:val="24"/>
        </w:rPr>
        <w:t xml:space="preserve">wide near surface gold mineralization at Denise which improves the open pit potential of the entire Eastern Gold Zone. </w:t>
      </w:r>
      <w:r w:rsidR="00057F5F">
        <w:rPr>
          <w:rFonts w:ascii="Times New Roman" w:hAnsi="Times New Roman"/>
          <w:sz w:val="24"/>
        </w:rPr>
        <w:t>C</w:t>
      </w:r>
      <w:r w:rsidRPr="008D412A">
        <w:rPr>
          <w:rFonts w:ascii="Times New Roman" w:hAnsi="Times New Roman"/>
          <w:sz w:val="24"/>
        </w:rPr>
        <w:t xml:space="preserve">ontinuity and consistency of the </w:t>
      </w:r>
      <w:r w:rsidR="00057F5F">
        <w:rPr>
          <w:rFonts w:ascii="Times New Roman" w:hAnsi="Times New Roman"/>
          <w:sz w:val="24"/>
        </w:rPr>
        <w:t xml:space="preserve">gold </w:t>
      </w:r>
      <w:r w:rsidRPr="008D412A">
        <w:rPr>
          <w:rFonts w:ascii="Times New Roman" w:hAnsi="Times New Roman"/>
          <w:sz w:val="24"/>
        </w:rPr>
        <w:t>mineralization is improving</w:t>
      </w:r>
      <w:r w:rsidR="00057F5F">
        <w:rPr>
          <w:rFonts w:ascii="Times New Roman" w:hAnsi="Times New Roman"/>
          <w:sz w:val="24"/>
        </w:rPr>
        <w:t xml:space="preserve"> with more drilling</w:t>
      </w:r>
      <w:r w:rsidRPr="008D412A">
        <w:rPr>
          <w:rFonts w:ascii="Times New Roman" w:hAnsi="Times New Roman"/>
          <w:sz w:val="24"/>
        </w:rPr>
        <w:t xml:space="preserve">. </w:t>
      </w:r>
    </w:p>
    <w:p w14:paraId="367D499C" w14:textId="7C8ADF75" w:rsidR="003A6B95" w:rsidRPr="00EE4BA4" w:rsidRDefault="003A6B95" w:rsidP="003642C2">
      <w:pPr>
        <w:spacing w:after="0" w:line="240" w:lineRule="auto"/>
        <w:rPr>
          <w:rFonts w:ascii="Times New Roman" w:hAnsi="Times New Roman"/>
          <w:sz w:val="24"/>
        </w:rPr>
      </w:pPr>
    </w:p>
    <w:p w14:paraId="76AB8A5B" w14:textId="2420CD57" w:rsidR="003A6B95" w:rsidRPr="00EE4BA4" w:rsidRDefault="003A6B95" w:rsidP="003A6B95">
      <w:pPr>
        <w:rPr>
          <w:rFonts w:ascii="Times New Roman" w:hAnsi="Times New Roman"/>
        </w:rPr>
      </w:pPr>
      <w:r w:rsidRPr="00EE4BA4">
        <w:rPr>
          <w:rFonts w:ascii="Times New Roman" w:hAnsi="Times New Roman"/>
        </w:rPr>
        <w:t xml:space="preserve">Highlight drill results from the </w:t>
      </w:r>
      <w:r w:rsidR="005D389E" w:rsidRPr="00EE4BA4">
        <w:rPr>
          <w:rFonts w:ascii="Times New Roman" w:hAnsi="Times New Roman"/>
        </w:rPr>
        <w:t>Denise Gold Zone</w:t>
      </w:r>
      <w:r w:rsidRPr="00EE4BA4">
        <w:rPr>
          <w:rFonts w:ascii="Times New Roman" w:hAnsi="Times New Roman"/>
        </w:rPr>
        <w:t xml:space="preserve"> in 2020 include:</w:t>
      </w:r>
    </w:p>
    <w:p w14:paraId="4C9205DE" w14:textId="77777777" w:rsidR="00256C3E" w:rsidRPr="00EE4BA4" w:rsidRDefault="00256C3E" w:rsidP="00256C3E">
      <w:pPr>
        <w:pStyle w:val="ListParagraph"/>
        <w:numPr>
          <w:ilvl w:val="0"/>
          <w:numId w:val="5"/>
        </w:numPr>
        <w:jc w:val="both"/>
        <w:rPr>
          <w:rFonts w:ascii="Times New Roman" w:hAnsi="Times New Roman"/>
          <w:sz w:val="24"/>
          <w:szCs w:val="24"/>
        </w:rPr>
      </w:pPr>
      <w:r w:rsidRPr="00EE4BA4">
        <w:rPr>
          <w:rFonts w:ascii="Times New Roman" w:hAnsi="Times New Roman"/>
          <w:b/>
          <w:bCs/>
          <w:sz w:val="24"/>
          <w:szCs w:val="24"/>
        </w:rPr>
        <w:t>Hole PE-20-181</w:t>
      </w:r>
      <w:r w:rsidRPr="00EE4BA4">
        <w:rPr>
          <w:rFonts w:ascii="Times New Roman" w:hAnsi="Times New Roman"/>
          <w:sz w:val="24"/>
          <w:szCs w:val="24"/>
        </w:rPr>
        <w:t xml:space="preserve"> intersected 115.60 metres of 1.39 g/t Au at a vertical depth of approximately 260 metres (see Press Release of September 16, 2020)</w:t>
      </w:r>
    </w:p>
    <w:p w14:paraId="18F7E287" w14:textId="77777777" w:rsidR="00256C3E" w:rsidRPr="00EE4BA4" w:rsidRDefault="00256C3E" w:rsidP="00256C3E">
      <w:pPr>
        <w:pStyle w:val="ListParagraph"/>
        <w:numPr>
          <w:ilvl w:val="0"/>
          <w:numId w:val="5"/>
        </w:numPr>
        <w:jc w:val="both"/>
        <w:rPr>
          <w:rFonts w:ascii="Times New Roman" w:hAnsi="Times New Roman"/>
          <w:sz w:val="24"/>
          <w:szCs w:val="24"/>
        </w:rPr>
      </w:pPr>
      <w:r w:rsidRPr="00EE4BA4">
        <w:rPr>
          <w:rFonts w:ascii="Times New Roman" w:hAnsi="Times New Roman"/>
          <w:b/>
          <w:bCs/>
          <w:sz w:val="24"/>
          <w:szCs w:val="24"/>
        </w:rPr>
        <w:t>Hole PE-20-188</w:t>
      </w:r>
      <w:r w:rsidRPr="00EE4BA4">
        <w:rPr>
          <w:rFonts w:ascii="Times New Roman" w:hAnsi="Times New Roman"/>
          <w:sz w:val="24"/>
          <w:szCs w:val="24"/>
        </w:rPr>
        <w:t xml:space="preserve"> intersected 189.40 metres of 1.07 g/t Au at a vertical depth of approximately 300 metres (see Press Release of September 16, 2020)</w:t>
      </w:r>
    </w:p>
    <w:p w14:paraId="78BA1674" w14:textId="77777777" w:rsidR="00256C3E" w:rsidRPr="00EE4BA4" w:rsidRDefault="00256C3E" w:rsidP="00256C3E">
      <w:pPr>
        <w:pStyle w:val="ListParagraph"/>
        <w:numPr>
          <w:ilvl w:val="0"/>
          <w:numId w:val="5"/>
        </w:numPr>
        <w:jc w:val="both"/>
        <w:rPr>
          <w:rFonts w:ascii="Times New Roman" w:hAnsi="Times New Roman"/>
          <w:sz w:val="24"/>
          <w:szCs w:val="24"/>
        </w:rPr>
      </w:pPr>
      <w:r w:rsidRPr="00EE4BA4">
        <w:rPr>
          <w:rFonts w:ascii="Times New Roman" w:hAnsi="Times New Roman"/>
          <w:b/>
          <w:bCs/>
          <w:sz w:val="24"/>
          <w:szCs w:val="24"/>
        </w:rPr>
        <w:t>Hole PE-20-192</w:t>
      </w:r>
      <w:r w:rsidRPr="00EE4BA4">
        <w:rPr>
          <w:rFonts w:ascii="Times New Roman" w:hAnsi="Times New Roman"/>
          <w:sz w:val="24"/>
          <w:szCs w:val="24"/>
        </w:rPr>
        <w:t xml:space="preserve"> intersected 39.55 metres of 9.36 g/t at a vertical depth of approximately 225 metres (see Press Release of October 21, 2020)</w:t>
      </w:r>
    </w:p>
    <w:p w14:paraId="15FC4FF0" w14:textId="77777777" w:rsidR="00256C3E" w:rsidRPr="00EE4BA4" w:rsidRDefault="00256C3E" w:rsidP="00256C3E">
      <w:pPr>
        <w:pStyle w:val="ListParagraph"/>
        <w:numPr>
          <w:ilvl w:val="0"/>
          <w:numId w:val="5"/>
        </w:numPr>
        <w:jc w:val="both"/>
        <w:rPr>
          <w:rFonts w:ascii="Times New Roman" w:hAnsi="Times New Roman"/>
          <w:sz w:val="24"/>
          <w:szCs w:val="24"/>
        </w:rPr>
      </w:pPr>
      <w:r w:rsidRPr="00EE4BA4">
        <w:rPr>
          <w:rFonts w:ascii="Times New Roman" w:hAnsi="Times New Roman"/>
          <w:b/>
          <w:bCs/>
          <w:color w:val="000000"/>
          <w:spacing w:val="6"/>
          <w:sz w:val="24"/>
          <w:szCs w:val="24"/>
          <w:shd w:val="clear" w:color="auto" w:fill="FFFFFF"/>
        </w:rPr>
        <w:t>Hole PE-20-199</w:t>
      </w:r>
      <w:r w:rsidRPr="00EE4BA4">
        <w:rPr>
          <w:rFonts w:ascii="Times New Roman" w:hAnsi="Times New Roman"/>
          <w:color w:val="000000"/>
          <w:spacing w:val="6"/>
          <w:sz w:val="24"/>
          <w:szCs w:val="24"/>
          <w:shd w:val="clear" w:color="auto" w:fill="FFFFFF"/>
        </w:rPr>
        <w:t xml:space="preserve"> intersected 81.50 metres of 1.51 g/t Au at a vertical depth of approximately 190 metres (See Press Release of December 17, 2020)</w:t>
      </w:r>
    </w:p>
    <w:p w14:paraId="0B935DF7" w14:textId="77777777" w:rsidR="00256C3E" w:rsidRPr="00EE4BA4" w:rsidRDefault="00256C3E" w:rsidP="00256C3E">
      <w:pPr>
        <w:pStyle w:val="ListParagraph"/>
        <w:numPr>
          <w:ilvl w:val="0"/>
          <w:numId w:val="5"/>
        </w:numPr>
        <w:jc w:val="both"/>
        <w:rPr>
          <w:rFonts w:ascii="Times New Roman" w:hAnsi="Times New Roman"/>
          <w:sz w:val="24"/>
          <w:szCs w:val="24"/>
        </w:rPr>
      </w:pPr>
      <w:r w:rsidRPr="00EE4BA4">
        <w:rPr>
          <w:rFonts w:ascii="Times New Roman" w:hAnsi="Times New Roman"/>
          <w:b/>
          <w:bCs/>
          <w:color w:val="000000"/>
          <w:spacing w:val="6"/>
          <w:sz w:val="24"/>
          <w:szCs w:val="24"/>
          <w:shd w:val="clear" w:color="auto" w:fill="FFFFFF"/>
        </w:rPr>
        <w:t>Hole PE-20-204</w:t>
      </w:r>
      <w:r w:rsidRPr="00EE4BA4">
        <w:rPr>
          <w:rFonts w:ascii="Times New Roman" w:hAnsi="Times New Roman"/>
          <w:color w:val="000000"/>
          <w:spacing w:val="6"/>
          <w:sz w:val="24"/>
          <w:szCs w:val="24"/>
          <w:shd w:val="clear" w:color="auto" w:fill="FFFFFF"/>
        </w:rPr>
        <w:t xml:space="preserve"> intersected 187.00 metres of 0.66 g/t Au at a vertical depth of approximately 180 metres (See Press Release of December 17, 2020)</w:t>
      </w:r>
    </w:p>
    <w:p w14:paraId="5838696B" w14:textId="77777777" w:rsidR="00057F5F" w:rsidRDefault="00057F5F" w:rsidP="003642C2">
      <w:pPr>
        <w:spacing w:after="0" w:line="240" w:lineRule="auto"/>
        <w:rPr>
          <w:rFonts w:ascii="Times New Roman" w:hAnsi="Times New Roman"/>
          <w:sz w:val="24"/>
        </w:rPr>
      </w:pPr>
    </w:p>
    <w:p w14:paraId="205F29F9" w14:textId="043F8D45" w:rsidR="00DC0AF1" w:rsidRDefault="00E67978" w:rsidP="00256C3E">
      <w:pPr>
        <w:spacing w:after="0" w:line="240" w:lineRule="auto"/>
        <w:jc w:val="both"/>
        <w:rPr>
          <w:rFonts w:ascii="Times New Roman" w:hAnsi="Times New Roman"/>
          <w:bCs/>
          <w:sz w:val="24"/>
        </w:rPr>
      </w:pPr>
      <w:r>
        <w:rPr>
          <w:rFonts w:ascii="Times New Roman" w:hAnsi="Times New Roman"/>
          <w:bCs/>
          <w:sz w:val="24"/>
        </w:rPr>
        <w:t xml:space="preserve">The Company also completed metallurgy testing at the HGZ to illustrate the ease of recovery of the gold at Perron. Results demonstrated </w:t>
      </w:r>
      <w:r w:rsidRPr="00E67978">
        <w:rPr>
          <w:rFonts w:ascii="Times New Roman" w:hAnsi="Times New Roman"/>
          <w:bCs/>
          <w:sz w:val="24"/>
        </w:rPr>
        <w:t>exceptional gold and silver recovery</w:t>
      </w:r>
      <w:r>
        <w:rPr>
          <w:rFonts w:ascii="Times New Roman" w:hAnsi="Times New Roman"/>
          <w:bCs/>
          <w:sz w:val="24"/>
        </w:rPr>
        <w:t xml:space="preserve"> (+99%)</w:t>
      </w:r>
      <w:r w:rsidRPr="00E67978">
        <w:rPr>
          <w:rFonts w:ascii="Times New Roman" w:hAnsi="Times New Roman"/>
          <w:bCs/>
          <w:sz w:val="24"/>
        </w:rPr>
        <w:t xml:space="preserve"> using a 3-stage processing technique (gravity, flotation, and cyanidation). The Phase 2 metallurgy program determined </w:t>
      </w:r>
      <w:r>
        <w:rPr>
          <w:rFonts w:ascii="Times New Roman" w:hAnsi="Times New Roman"/>
          <w:bCs/>
          <w:sz w:val="24"/>
        </w:rPr>
        <w:t xml:space="preserve">that </w:t>
      </w:r>
      <w:r w:rsidRPr="00E67978">
        <w:rPr>
          <w:rFonts w:ascii="Times New Roman" w:hAnsi="Times New Roman"/>
          <w:bCs/>
          <w:sz w:val="24"/>
        </w:rPr>
        <w:t xml:space="preserve">very high gold </w:t>
      </w:r>
      <w:r>
        <w:rPr>
          <w:rFonts w:ascii="Times New Roman" w:hAnsi="Times New Roman"/>
          <w:bCs/>
          <w:sz w:val="24"/>
        </w:rPr>
        <w:t xml:space="preserve">(+99%) </w:t>
      </w:r>
      <w:r w:rsidRPr="00E67978">
        <w:rPr>
          <w:rFonts w:ascii="Times New Roman" w:hAnsi="Times New Roman"/>
          <w:bCs/>
          <w:sz w:val="24"/>
        </w:rPr>
        <w:t xml:space="preserve">and silver </w:t>
      </w:r>
      <w:r>
        <w:rPr>
          <w:rFonts w:ascii="Times New Roman" w:hAnsi="Times New Roman"/>
          <w:bCs/>
          <w:sz w:val="24"/>
        </w:rPr>
        <w:t xml:space="preserve">(89.5%) </w:t>
      </w:r>
      <w:r w:rsidRPr="00E67978">
        <w:rPr>
          <w:rFonts w:ascii="Times New Roman" w:hAnsi="Times New Roman"/>
          <w:bCs/>
          <w:sz w:val="24"/>
        </w:rPr>
        <w:t xml:space="preserve">recoveries </w:t>
      </w:r>
      <w:r>
        <w:rPr>
          <w:rFonts w:ascii="Times New Roman" w:hAnsi="Times New Roman"/>
          <w:bCs/>
          <w:sz w:val="24"/>
        </w:rPr>
        <w:t xml:space="preserve">could be achieved </w:t>
      </w:r>
      <w:r w:rsidRPr="00E67978">
        <w:rPr>
          <w:rFonts w:ascii="Times New Roman" w:hAnsi="Times New Roman"/>
          <w:bCs/>
          <w:sz w:val="24"/>
        </w:rPr>
        <w:t>using a simplified 2 stage process that eliminates floatation</w:t>
      </w:r>
      <w:r>
        <w:rPr>
          <w:rFonts w:ascii="Times New Roman" w:hAnsi="Times New Roman"/>
          <w:bCs/>
          <w:sz w:val="24"/>
        </w:rPr>
        <w:t xml:space="preserve">.  Additional metallurgy testing is planned for the other gold zones at Perron following such exceptional recovery rates at the HGZ. </w:t>
      </w:r>
    </w:p>
    <w:p w14:paraId="76655F44" w14:textId="77777777" w:rsidR="00E67978" w:rsidRDefault="00E67978" w:rsidP="003642C2">
      <w:pPr>
        <w:spacing w:after="0" w:line="240" w:lineRule="auto"/>
        <w:rPr>
          <w:rFonts w:ascii="Times New Roman" w:hAnsi="Times New Roman"/>
          <w:bCs/>
          <w:sz w:val="24"/>
        </w:rPr>
      </w:pPr>
    </w:p>
    <w:p w14:paraId="0BCE7849" w14:textId="33047367" w:rsidR="00572D11" w:rsidRPr="00256C3E" w:rsidRDefault="00572D11" w:rsidP="00256C3E">
      <w:pPr>
        <w:pStyle w:val="Heading2"/>
        <w:shd w:val="clear" w:color="auto" w:fill="FFFFFF"/>
        <w:rPr>
          <w:rFonts w:ascii="Times New Roman" w:hAnsi="Times New Roman"/>
          <w:i w:val="0"/>
          <w:iCs w:val="0"/>
          <w:sz w:val="24"/>
          <w:szCs w:val="22"/>
        </w:rPr>
      </w:pPr>
      <w:r w:rsidRPr="00EE4BA4">
        <w:rPr>
          <w:rFonts w:ascii="Times New Roman" w:hAnsi="Times New Roman"/>
          <w:i w:val="0"/>
          <w:iCs w:val="0"/>
          <w:sz w:val="24"/>
        </w:rPr>
        <w:lastRenderedPageBreak/>
        <w:t xml:space="preserve">Gratien and </w:t>
      </w:r>
      <w:r w:rsidRPr="00EE4BA4">
        <w:rPr>
          <w:rFonts w:ascii="Times New Roman" w:hAnsi="Times New Roman"/>
          <w:i w:val="0"/>
          <w:iCs w:val="0"/>
          <w:sz w:val="24"/>
          <w:szCs w:val="22"/>
        </w:rPr>
        <w:t>Grey</w:t>
      </w:r>
      <w:r w:rsidRPr="00256C3E">
        <w:rPr>
          <w:rFonts w:ascii="Times New Roman" w:hAnsi="Times New Roman"/>
          <w:i w:val="0"/>
          <w:iCs w:val="0"/>
          <w:sz w:val="24"/>
          <w:szCs w:val="22"/>
        </w:rPr>
        <w:t xml:space="preserve"> Cat Gold Zones</w:t>
      </w:r>
    </w:p>
    <w:p w14:paraId="363009AB" w14:textId="6F775580" w:rsidR="00572D11" w:rsidRPr="00256C3E" w:rsidRDefault="00572D11" w:rsidP="00256C3E">
      <w:pPr>
        <w:pStyle w:val="Heading2"/>
        <w:shd w:val="clear" w:color="auto" w:fill="FFFFFF"/>
        <w:jc w:val="both"/>
        <w:rPr>
          <w:rFonts w:ascii="Times New Roman" w:hAnsi="Times New Roman"/>
          <w:b w:val="0"/>
          <w:bCs w:val="0"/>
          <w:i w:val="0"/>
          <w:iCs w:val="0"/>
          <w:sz w:val="24"/>
        </w:rPr>
      </w:pPr>
      <w:r w:rsidRPr="00256C3E">
        <w:rPr>
          <w:rFonts w:ascii="Times New Roman" w:hAnsi="Times New Roman"/>
          <w:b w:val="0"/>
          <w:bCs w:val="0"/>
          <w:i w:val="0"/>
          <w:iCs w:val="0"/>
          <w:sz w:val="24"/>
          <w:szCs w:val="22"/>
        </w:rPr>
        <w:t>During the ye</w:t>
      </w:r>
      <w:r w:rsidRPr="00256C3E">
        <w:rPr>
          <w:rFonts w:ascii="Times New Roman" w:hAnsi="Times New Roman"/>
          <w:b w:val="0"/>
          <w:bCs w:val="0"/>
          <w:i w:val="0"/>
          <w:iCs w:val="0"/>
          <w:sz w:val="24"/>
        </w:rPr>
        <w:t>ar Amex reported near surface gold mineralization on both the Gratien and Grey Cat Gold Zones and confirmed the open pit mining potential of Grey Cat. During 2020 Amex was successful in expanding and defining the near surface mineralization of both zones. Drilling is focused on defining the Gratien to approximately 250 metres vertical depth and while testing the depth of Grey Cat to approximately 500 metres vertically. The Grey Cat appears to have a high-grade core that dips at approximately 60 degrees to the East, similar to the Eastern Gold Zone.</w:t>
      </w:r>
    </w:p>
    <w:p w14:paraId="648F76CB" w14:textId="77777777" w:rsidR="00572D11" w:rsidRDefault="00572D11" w:rsidP="00256C3E">
      <w:pPr>
        <w:spacing w:after="0" w:line="240" w:lineRule="auto"/>
        <w:jc w:val="both"/>
        <w:rPr>
          <w:rFonts w:ascii="Times New Roman" w:hAnsi="Times New Roman"/>
          <w:bCs/>
          <w:sz w:val="24"/>
        </w:rPr>
      </w:pPr>
    </w:p>
    <w:p w14:paraId="6F3E906A" w14:textId="70DA874F" w:rsidR="00572D11" w:rsidRPr="00572D11" w:rsidRDefault="00572D11" w:rsidP="00256C3E">
      <w:pPr>
        <w:spacing w:after="0" w:line="240" w:lineRule="auto"/>
        <w:jc w:val="both"/>
        <w:rPr>
          <w:rFonts w:ascii="Times New Roman" w:hAnsi="Times New Roman"/>
          <w:bCs/>
          <w:sz w:val="24"/>
        </w:rPr>
      </w:pPr>
      <w:r w:rsidRPr="00572D11">
        <w:rPr>
          <w:rFonts w:ascii="Times New Roman" w:hAnsi="Times New Roman"/>
          <w:bCs/>
          <w:sz w:val="24"/>
        </w:rPr>
        <w:t>Significant intercepts</w:t>
      </w:r>
      <w:r>
        <w:rPr>
          <w:rFonts w:ascii="Times New Roman" w:hAnsi="Times New Roman"/>
          <w:bCs/>
          <w:sz w:val="24"/>
        </w:rPr>
        <w:t xml:space="preserve"> at </w:t>
      </w:r>
      <w:r w:rsidRPr="00EE4BA4">
        <w:rPr>
          <w:rFonts w:ascii="Times New Roman" w:hAnsi="Times New Roman"/>
          <w:bCs/>
          <w:sz w:val="24"/>
        </w:rPr>
        <w:t>Gr</w:t>
      </w:r>
      <w:r w:rsidR="00256C3E" w:rsidRPr="00EE4BA4">
        <w:rPr>
          <w:rFonts w:ascii="Times New Roman" w:hAnsi="Times New Roman"/>
          <w:bCs/>
          <w:sz w:val="24"/>
        </w:rPr>
        <w:t>e</w:t>
      </w:r>
      <w:r w:rsidRPr="00EE4BA4">
        <w:rPr>
          <w:rFonts w:ascii="Times New Roman" w:hAnsi="Times New Roman"/>
          <w:bCs/>
          <w:sz w:val="24"/>
        </w:rPr>
        <w:t>y C</w:t>
      </w:r>
      <w:r>
        <w:rPr>
          <w:rFonts w:ascii="Times New Roman" w:hAnsi="Times New Roman"/>
          <w:bCs/>
          <w:sz w:val="24"/>
        </w:rPr>
        <w:t xml:space="preserve">at </w:t>
      </w:r>
      <w:r w:rsidRPr="00572D11">
        <w:rPr>
          <w:rFonts w:ascii="Times New Roman" w:hAnsi="Times New Roman"/>
          <w:bCs/>
          <w:sz w:val="24"/>
        </w:rPr>
        <w:t>include</w:t>
      </w:r>
      <w:r>
        <w:rPr>
          <w:rFonts w:ascii="Times New Roman" w:hAnsi="Times New Roman"/>
          <w:bCs/>
          <w:sz w:val="24"/>
        </w:rPr>
        <w:t>d</w:t>
      </w:r>
      <w:r w:rsidRPr="00572D11">
        <w:rPr>
          <w:rFonts w:ascii="Times New Roman" w:hAnsi="Times New Roman"/>
          <w:bCs/>
          <w:sz w:val="24"/>
        </w:rPr>
        <w:t xml:space="preserve"> 1.22 g/t Au over 39.00 metres in hole PEG-20-143 at a vertical depth of approximately 80 metres as well as 4.54 g/t Au over 10.30 metres in hole PEG-20-150 at a vertical depth of approximately 70 metres.</w:t>
      </w:r>
      <w:r>
        <w:rPr>
          <w:rFonts w:ascii="Times New Roman" w:hAnsi="Times New Roman"/>
          <w:bCs/>
          <w:sz w:val="24"/>
        </w:rPr>
        <w:t xml:space="preserve"> </w:t>
      </w:r>
      <w:r w:rsidRPr="00572D11">
        <w:rPr>
          <w:rFonts w:ascii="Times New Roman" w:hAnsi="Times New Roman"/>
          <w:bCs/>
          <w:sz w:val="24"/>
        </w:rPr>
        <w:t>Mineralization is very planar and occurs in a single lens easily identifiable in three dimensions and simple to target.</w:t>
      </w:r>
    </w:p>
    <w:p w14:paraId="4E3728D2" w14:textId="77777777" w:rsidR="00572D11" w:rsidRPr="00572D11" w:rsidRDefault="00572D11" w:rsidP="00256C3E">
      <w:pPr>
        <w:spacing w:after="0" w:line="240" w:lineRule="auto"/>
        <w:jc w:val="both"/>
        <w:rPr>
          <w:rFonts w:ascii="Times New Roman" w:hAnsi="Times New Roman"/>
          <w:bCs/>
          <w:sz w:val="24"/>
        </w:rPr>
      </w:pPr>
    </w:p>
    <w:p w14:paraId="10890E7A" w14:textId="1105E16E" w:rsidR="00E67978" w:rsidRPr="003E70D3" w:rsidRDefault="003E70D3" w:rsidP="00256C3E">
      <w:pPr>
        <w:spacing w:after="0" w:line="240" w:lineRule="auto"/>
        <w:jc w:val="both"/>
        <w:rPr>
          <w:rFonts w:ascii="Times New Roman" w:hAnsi="Times New Roman"/>
          <w:bCs/>
          <w:sz w:val="24"/>
        </w:rPr>
      </w:pPr>
      <w:r>
        <w:rPr>
          <w:rFonts w:ascii="Times New Roman" w:hAnsi="Times New Roman"/>
          <w:bCs/>
          <w:sz w:val="24"/>
        </w:rPr>
        <w:t>Victor Cantore, CEO commented</w:t>
      </w:r>
      <w:r w:rsidR="00E67978">
        <w:rPr>
          <w:rFonts w:ascii="Times New Roman" w:hAnsi="Times New Roman"/>
          <w:bCs/>
          <w:sz w:val="24"/>
        </w:rPr>
        <w:t>, “</w:t>
      </w:r>
      <w:r>
        <w:rPr>
          <w:rFonts w:ascii="Times New Roman" w:hAnsi="Times New Roman"/>
          <w:bCs/>
          <w:sz w:val="24"/>
        </w:rPr>
        <w:t xml:space="preserve">The drill results on the Perron Project for 2020 have exceeded our expectations. Our understanding of the mineralization and geology of the project </w:t>
      </w:r>
      <w:r w:rsidR="00E67978">
        <w:rPr>
          <w:rFonts w:ascii="Times New Roman" w:hAnsi="Times New Roman"/>
          <w:bCs/>
          <w:sz w:val="24"/>
        </w:rPr>
        <w:t xml:space="preserve">has improved substantially </w:t>
      </w:r>
      <w:r>
        <w:rPr>
          <w:rFonts w:ascii="Times New Roman" w:hAnsi="Times New Roman"/>
          <w:bCs/>
          <w:sz w:val="24"/>
        </w:rPr>
        <w:t>throughout the year provid</w:t>
      </w:r>
      <w:r w:rsidR="00E67978">
        <w:rPr>
          <w:rFonts w:ascii="Times New Roman" w:hAnsi="Times New Roman"/>
          <w:bCs/>
          <w:sz w:val="24"/>
        </w:rPr>
        <w:t>ing for</w:t>
      </w:r>
      <w:r>
        <w:rPr>
          <w:rFonts w:ascii="Times New Roman" w:hAnsi="Times New Roman"/>
          <w:bCs/>
          <w:sz w:val="24"/>
        </w:rPr>
        <w:t xml:space="preserve"> a solid basis to develop the Perron Project to its fullest potential. I look forwa</w:t>
      </w:r>
      <w:r w:rsidR="00F15575">
        <w:rPr>
          <w:rFonts w:ascii="Times New Roman" w:hAnsi="Times New Roman"/>
          <w:bCs/>
          <w:sz w:val="24"/>
        </w:rPr>
        <w:t xml:space="preserve">rd to another year of continued </w:t>
      </w:r>
      <w:r w:rsidR="00E67978">
        <w:rPr>
          <w:rFonts w:ascii="Times New Roman" w:hAnsi="Times New Roman"/>
          <w:bCs/>
          <w:sz w:val="24"/>
        </w:rPr>
        <w:t xml:space="preserve">drilling </w:t>
      </w:r>
      <w:r>
        <w:rPr>
          <w:rFonts w:ascii="Times New Roman" w:hAnsi="Times New Roman"/>
          <w:bCs/>
          <w:sz w:val="24"/>
        </w:rPr>
        <w:t>success, thanks to the great team we have in place</w:t>
      </w:r>
      <w:r w:rsidR="00E67978">
        <w:rPr>
          <w:rFonts w:ascii="Times New Roman" w:hAnsi="Times New Roman"/>
          <w:bCs/>
          <w:sz w:val="24"/>
        </w:rPr>
        <w:t>.”</w:t>
      </w:r>
    </w:p>
    <w:p w14:paraId="41FCF5CE" w14:textId="77777777" w:rsidR="00343C88" w:rsidRDefault="00343C88" w:rsidP="009D1344">
      <w:pPr>
        <w:spacing w:after="0" w:line="240" w:lineRule="auto"/>
        <w:jc w:val="both"/>
        <w:rPr>
          <w:rFonts w:ascii="Times New Roman" w:hAnsi="Times New Roman"/>
          <w:b/>
          <w:bCs/>
          <w:sz w:val="24"/>
        </w:rPr>
      </w:pPr>
    </w:p>
    <w:p w14:paraId="206EBA21" w14:textId="7A05155F" w:rsidR="00343C88" w:rsidRDefault="00E67978" w:rsidP="00E67978">
      <w:pPr>
        <w:spacing w:after="0" w:line="240" w:lineRule="auto"/>
        <w:jc w:val="both"/>
        <w:rPr>
          <w:rFonts w:ascii="Times New Roman" w:hAnsi="Times New Roman"/>
          <w:b/>
          <w:bCs/>
          <w:sz w:val="24"/>
        </w:rPr>
      </w:pPr>
      <w:r>
        <w:rPr>
          <w:rFonts w:ascii="Times New Roman" w:hAnsi="Times New Roman"/>
          <w:b/>
          <w:bCs/>
          <w:sz w:val="24"/>
        </w:rPr>
        <w:t>Corporate Update</w:t>
      </w:r>
    </w:p>
    <w:p w14:paraId="47FB37C1" w14:textId="23988639" w:rsidR="00C757F1" w:rsidRDefault="00C757F1" w:rsidP="009D1344">
      <w:pPr>
        <w:spacing w:after="0" w:line="240" w:lineRule="auto"/>
        <w:jc w:val="both"/>
        <w:rPr>
          <w:rFonts w:ascii="Times New Roman" w:hAnsi="Times New Roman"/>
          <w:b/>
          <w:bCs/>
          <w:sz w:val="24"/>
        </w:rPr>
      </w:pPr>
    </w:p>
    <w:p w14:paraId="2D62006A" w14:textId="5145BC12" w:rsidR="00E67978" w:rsidRDefault="00E67978" w:rsidP="009D1344">
      <w:pPr>
        <w:spacing w:after="0" w:line="240" w:lineRule="auto"/>
        <w:jc w:val="both"/>
        <w:rPr>
          <w:rFonts w:ascii="Times New Roman" w:hAnsi="Times New Roman"/>
          <w:sz w:val="24"/>
        </w:rPr>
      </w:pPr>
      <w:r>
        <w:rPr>
          <w:rFonts w:ascii="Times New Roman" w:hAnsi="Times New Roman"/>
          <w:sz w:val="24"/>
        </w:rPr>
        <w:t>Ame</w:t>
      </w:r>
      <w:r w:rsidR="00C7016F">
        <w:rPr>
          <w:rFonts w:ascii="Times New Roman" w:hAnsi="Times New Roman"/>
          <w:sz w:val="24"/>
        </w:rPr>
        <w:t xml:space="preserve">x recognizes the value of diversity in deliberation and </w:t>
      </w:r>
      <w:r>
        <w:rPr>
          <w:rFonts w:ascii="Times New Roman" w:hAnsi="Times New Roman"/>
          <w:sz w:val="24"/>
        </w:rPr>
        <w:t>took a number of steps to strengthen i</w:t>
      </w:r>
      <w:r w:rsidR="00C7016F">
        <w:rPr>
          <w:rFonts w:ascii="Times New Roman" w:hAnsi="Times New Roman"/>
          <w:sz w:val="24"/>
        </w:rPr>
        <w:t xml:space="preserve">ts Board by </w:t>
      </w:r>
      <w:r>
        <w:rPr>
          <w:rFonts w:ascii="Times New Roman" w:hAnsi="Times New Roman"/>
          <w:sz w:val="24"/>
        </w:rPr>
        <w:t>welcom</w:t>
      </w:r>
      <w:r w:rsidR="00C7016F">
        <w:rPr>
          <w:rFonts w:ascii="Times New Roman" w:hAnsi="Times New Roman"/>
          <w:sz w:val="24"/>
        </w:rPr>
        <w:t xml:space="preserve">ing </w:t>
      </w:r>
      <w:r>
        <w:rPr>
          <w:rFonts w:ascii="Times New Roman" w:hAnsi="Times New Roman"/>
          <w:sz w:val="24"/>
        </w:rPr>
        <w:t>two new Board members in 2020, Mr. Br</w:t>
      </w:r>
      <w:r w:rsidR="00C7016F">
        <w:rPr>
          <w:rFonts w:ascii="Times New Roman" w:hAnsi="Times New Roman"/>
          <w:sz w:val="24"/>
        </w:rPr>
        <w:t xml:space="preserve">yan Coates and Ms. Anik Gendron. Both Bryan and Anik have played an active role on the Amex Board offering strategic insight to the management team over the past year. </w:t>
      </w:r>
    </w:p>
    <w:p w14:paraId="7B4CE078" w14:textId="4F4C44F1" w:rsidR="00C7016F" w:rsidRDefault="00C7016F" w:rsidP="009D1344">
      <w:pPr>
        <w:spacing w:after="0" w:line="240" w:lineRule="auto"/>
        <w:jc w:val="both"/>
        <w:rPr>
          <w:rFonts w:ascii="Times New Roman" w:hAnsi="Times New Roman"/>
          <w:sz w:val="24"/>
        </w:rPr>
      </w:pPr>
    </w:p>
    <w:p w14:paraId="7C286321" w14:textId="527EAEC5" w:rsidR="002E562D" w:rsidRDefault="00C7016F" w:rsidP="009D1344">
      <w:pPr>
        <w:spacing w:after="0" w:line="240" w:lineRule="auto"/>
        <w:jc w:val="both"/>
        <w:rPr>
          <w:rFonts w:ascii="Times New Roman" w:hAnsi="Times New Roman"/>
          <w:sz w:val="24"/>
        </w:rPr>
      </w:pPr>
      <w:r>
        <w:rPr>
          <w:rFonts w:ascii="Times New Roman" w:hAnsi="Times New Roman"/>
          <w:sz w:val="24"/>
        </w:rPr>
        <w:t>From a financial perspective, Amex has never been stronger</w:t>
      </w:r>
      <w:r w:rsidR="005E2239">
        <w:rPr>
          <w:rFonts w:ascii="Times New Roman" w:hAnsi="Times New Roman"/>
          <w:sz w:val="24"/>
        </w:rPr>
        <w:t xml:space="preserve">, ending the </w:t>
      </w:r>
      <w:r>
        <w:rPr>
          <w:rFonts w:ascii="Times New Roman" w:hAnsi="Times New Roman"/>
          <w:sz w:val="24"/>
        </w:rPr>
        <w:t xml:space="preserve">year with approximately </w:t>
      </w:r>
      <w:r w:rsidRPr="00EE4BA4">
        <w:rPr>
          <w:rFonts w:ascii="Times New Roman" w:hAnsi="Times New Roman"/>
          <w:sz w:val="24"/>
        </w:rPr>
        <w:t>$</w:t>
      </w:r>
      <w:r w:rsidR="00EE4BA4" w:rsidRPr="00EE4BA4">
        <w:rPr>
          <w:rFonts w:ascii="Times New Roman" w:hAnsi="Times New Roman"/>
          <w:sz w:val="24"/>
        </w:rPr>
        <w:t>32</w:t>
      </w:r>
      <w:r w:rsidRPr="00EE4BA4">
        <w:rPr>
          <w:rFonts w:ascii="Times New Roman" w:hAnsi="Times New Roman"/>
          <w:sz w:val="24"/>
        </w:rPr>
        <w:t xml:space="preserve"> m in </w:t>
      </w:r>
      <w:r w:rsidR="00EE4BA4">
        <w:rPr>
          <w:rFonts w:ascii="Times New Roman" w:hAnsi="Times New Roman"/>
          <w:sz w:val="24"/>
        </w:rPr>
        <w:t xml:space="preserve">available </w:t>
      </w:r>
      <w:r w:rsidRPr="00EE4BA4">
        <w:rPr>
          <w:rFonts w:ascii="Times New Roman" w:hAnsi="Times New Roman"/>
          <w:sz w:val="24"/>
        </w:rPr>
        <w:t>cash,</w:t>
      </w:r>
      <w:r>
        <w:rPr>
          <w:rFonts w:ascii="Times New Roman" w:hAnsi="Times New Roman"/>
          <w:sz w:val="24"/>
        </w:rPr>
        <w:t xml:space="preserve"> making the Company fully funded f</w:t>
      </w:r>
      <w:r w:rsidR="005E2239">
        <w:rPr>
          <w:rFonts w:ascii="Times New Roman" w:hAnsi="Times New Roman"/>
          <w:sz w:val="24"/>
        </w:rPr>
        <w:t>or</w:t>
      </w:r>
      <w:r>
        <w:rPr>
          <w:rFonts w:ascii="Times New Roman" w:hAnsi="Times New Roman"/>
          <w:sz w:val="24"/>
        </w:rPr>
        <w:t xml:space="preserve"> its exploration program for 2021. </w:t>
      </w:r>
      <w:r w:rsidR="005E2239">
        <w:rPr>
          <w:rFonts w:ascii="Times New Roman" w:hAnsi="Times New Roman"/>
          <w:sz w:val="24"/>
        </w:rPr>
        <w:t xml:space="preserve">During 2020 Amex also added cornerstone investor along side Mr. Eric Sprott, who increased his position and participated in each financing. Various well respected institutions from Canada, United States, Europe and the United Kingdom all participated in the 2020 financings. The shareholder profile of Amex shifted from primarily retail investors to institutional holders in 2020. </w:t>
      </w:r>
      <w:r w:rsidR="002E562D">
        <w:rPr>
          <w:rFonts w:ascii="Times New Roman" w:hAnsi="Times New Roman"/>
          <w:sz w:val="24"/>
        </w:rPr>
        <w:t>Accordingly, the stock reflected the achievements of the Amex team and delivered a very strong performance and outperformed its peers</w:t>
      </w:r>
      <w:r w:rsidR="002E562D" w:rsidRPr="006C20B8">
        <w:rPr>
          <w:rFonts w:ascii="Times New Roman" w:hAnsi="Times New Roman"/>
          <w:sz w:val="24"/>
        </w:rPr>
        <w:t xml:space="preserve">. See </w:t>
      </w:r>
      <w:r w:rsidR="00177020" w:rsidRPr="006C20B8">
        <w:rPr>
          <w:rFonts w:ascii="Times New Roman" w:hAnsi="Times New Roman"/>
          <w:b/>
          <w:bCs/>
          <w:sz w:val="24"/>
        </w:rPr>
        <w:t>F</w:t>
      </w:r>
      <w:r w:rsidR="002E562D" w:rsidRPr="006C20B8">
        <w:rPr>
          <w:rFonts w:ascii="Times New Roman" w:hAnsi="Times New Roman"/>
          <w:b/>
          <w:bCs/>
          <w:sz w:val="24"/>
        </w:rPr>
        <w:t>igure 3</w:t>
      </w:r>
      <w:r w:rsidR="002E562D" w:rsidRPr="006C20B8">
        <w:rPr>
          <w:rFonts w:ascii="Times New Roman" w:hAnsi="Times New Roman"/>
          <w:sz w:val="24"/>
        </w:rPr>
        <w:t xml:space="preserve"> below</w:t>
      </w:r>
      <w:r w:rsidR="002E562D">
        <w:rPr>
          <w:rFonts w:ascii="Times New Roman" w:hAnsi="Times New Roman"/>
          <w:sz w:val="24"/>
        </w:rPr>
        <w:t>.</w:t>
      </w:r>
    </w:p>
    <w:p w14:paraId="4F45BC59" w14:textId="0A85D2FF" w:rsidR="002E562D" w:rsidRDefault="002E562D" w:rsidP="009D1344">
      <w:pPr>
        <w:spacing w:after="0" w:line="240" w:lineRule="auto"/>
        <w:jc w:val="both"/>
        <w:rPr>
          <w:rFonts w:ascii="Times New Roman" w:hAnsi="Times New Roman"/>
          <w:sz w:val="24"/>
        </w:rPr>
      </w:pPr>
    </w:p>
    <w:p w14:paraId="4AFC3D67" w14:textId="49CC7E2C" w:rsidR="00256C3E" w:rsidRDefault="00256C3E" w:rsidP="009D1344">
      <w:pPr>
        <w:spacing w:after="0" w:line="240" w:lineRule="auto"/>
        <w:jc w:val="both"/>
        <w:rPr>
          <w:rFonts w:ascii="Times New Roman" w:hAnsi="Times New Roman"/>
          <w:sz w:val="24"/>
        </w:rPr>
      </w:pPr>
    </w:p>
    <w:p w14:paraId="45112B16" w14:textId="3EAEC14F" w:rsidR="00256C3E" w:rsidRDefault="00256C3E" w:rsidP="009D1344">
      <w:pPr>
        <w:spacing w:after="0" w:line="240" w:lineRule="auto"/>
        <w:jc w:val="both"/>
        <w:rPr>
          <w:rFonts w:ascii="Times New Roman" w:hAnsi="Times New Roman"/>
          <w:sz w:val="24"/>
        </w:rPr>
      </w:pPr>
    </w:p>
    <w:p w14:paraId="513AD721" w14:textId="595BE840" w:rsidR="00256C3E" w:rsidRDefault="00256C3E" w:rsidP="009D1344">
      <w:pPr>
        <w:spacing w:after="0" w:line="240" w:lineRule="auto"/>
        <w:jc w:val="both"/>
        <w:rPr>
          <w:rFonts w:ascii="Times New Roman" w:hAnsi="Times New Roman"/>
          <w:sz w:val="24"/>
        </w:rPr>
      </w:pPr>
    </w:p>
    <w:p w14:paraId="35E9C23B" w14:textId="63CD293F" w:rsidR="00256C3E" w:rsidRDefault="00256C3E" w:rsidP="009D1344">
      <w:pPr>
        <w:spacing w:after="0" w:line="240" w:lineRule="auto"/>
        <w:jc w:val="both"/>
        <w:rPr>
          <w:rFonts w:ascii="Times New Roman" w:hAnsi="Times New Roman"/>
          <w:sz w:val="24"/>
        </w:rPr>
      </w:pPr>
    </w:p>
    <w:p w14:paraId="50B45198" w14:textId="30AB09CA" w:rsidR="00256C3E" w:rsidRDefault="00256C3E" w:rsidP="009D1344">
      <w:pPr>
        <w:spacing w:after="0" w:line="240" w:lineRule="auto"/>
        <w:jc w:val="both"/>
        <w:rPr>
          <w:rFonts w:ascii="Times New Roman" w:hAnsi="Times New Roman"/>
          <w:sz w:val="24"/>
        </w:rPr>
      </w:pPr>
    </w:p>
    <w:p w14:paraId="2CA34E7E" w14:textId="77777777" w:rsidR="00256C3E" w:rsidRDefault="00256C3E" w:rsidP="009D1344">
      <w:pPr>
        <w:spacing w:after="0" w:line="240" w:lineRule="auto"/>
        <w:jc w:val="both"/>
        <w:rPr>
          <w:rFonts w:ascii="Times New Roman" w:hAnsi="Times New Roman"/>
          <w:sz w:val="24"/>
        </w:rPr>
      </w:pPr>
    </w:p>
    <w:p w14:paraId="52E1E590" w14:textId="10C53CE0" w:rsidR="002E562D" w:rsidRDefault="00CE1E3D" w:rsidP="009D1344">
      <w:pPr>
        <w:spacing w:after="0" w:line="240" w:lineRule="auto"/>
        <w:jc w:val="both"/>
        <w:rPr>
          <w:rFonts w:ascii="Times New Roman" w:hAnsi="Times New Roman"/>
          <w:b/>
          <w:bCs/>
          <w:sz w:val="24"/>
        </w:rPr>
      </w:pPr>
      <w:r>
        <w:rPr>
          <w:rFonts w:ascii="Times New Roman" w:hAnsi="Times New Roman"/>
          <w:b/>
          <w:bCs/>
          <w:sz w:val="24"/>
        </w:rPr>
        <w:lastRenderedPageBreak/>
        <w:t>Figure 3: Stock chart showing Amex performance from January 1, 2019 to December 31, 2020 relative to high performing peers</w:t>
      </w:r>
      <w:r w:rsidR="005453F8">
        <w:rPr>
          <w:rFonts w:ascii="Times New Roman" w:hAnsi="Times New Roman"/>
          <w:b/>
          <w:bCs/>
          <w:sz w:val="24"/>
        </w:rPr>
        <w:t xml:space="preserve"> – AMX show</w:t>
      </w:r>
      <w:r w:rsidR="00180A1C">
        <w:rPr>
          <w:rFonts w:ascii="Times New Roman" w:hAnsi="Times New Roman"/>
          <w:b/>
          <w:bCs/>
          <w:sz w:val="24"/>
        </w:rPr>
        <w:t>n</w:t>
      </w:r>
      <w:r w:rsidR="005453F8">
        <w:rPr>
          <w:rFonts w:ascii="Times New Roman" w:hAnsi="Times New Roman"/>
          <w:b/>
          <w:bCs/>
          <w:sz w:val="24"/>
        </w:rPr>
        <w:t xml:space="preserve"> in bold black below</w:t>
      </w:r>
    </w:p>
    <w:p w14:paraId="54BCFACA" w14:textId="77777777" w:rsidR="00CE1E3D" w:rsidRDefault="00CE1E3D" w:rsidP="009D1344">
      <w:pPr>
        <w:spacing w:after="0" w:line="240" w:lineRule="auto"/>
        <w:jc w:val="both"/>
        <w:rPr>
          <w:rFonts w:ascii="Times New Roman" w:hAnsi="Times New Roman"/>
          <w:sz w:val="24"/>
        </w:rPr>
      </w:pPr>
    </w:p>
    <w:p w14:paraId="07105514" w14:textId="480B06A5" w:rsidR="00CE1E3D" w:rsidRPr="00CE1E3D" w:rsidRDefault="00CE1E3D" w:rsidP="009D1344">
      <w:pPr>
        <w:spacing w:after="0" w:line="240" w:lineRule="auto"/>
        <w:jc w:val="both"/>
        <w:rPr>
          <w:rFonts w:ascii="Times New Roman" w:hAnsi="Times New Roman"/>
          <w:sz w:val="24"/>
        </w:rPr>
      </w:pPr>
      <w:r w:rsidRPr="00EE4BA4">
        <w:rPr>
          <w:rFonts w:ascii="Times New Roman" w:hAnsi="Times New Roman"/>
          <w:b/>
          <w:bCs/>
          <w:noProof/>
          <w:sz w:val="24"/>
          <w:lang w:val="en-GB" w:eastAsia="en-GB"/>
        </w:rPr>
        <w:drawing>
          <wp:inline distT="0" distB="0" distL="0" distR="0" wp14:anchorId="6A0AD0C4" wp14:editId="79737389">
            <wp:extent cx="5486400" cy="3174365"/>
            <wp:effectExtent l="0" t="0" r="0" b="6985"/>
            <wp:docPr id="1"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pic:nvPicPr>
                  <pic:blipFill>
                    <a:blip r:embed="rId12"/>
                    <a:stretch>
                      <a:fillRect/>
                    </a:stretch>
                  </pic:blipFill>
                  <pic:spPr>
                    <a:xfrm>
                      <a:off x="0" y="0"/>
                      <a:ext cx="5486400" cy="3174365"/>
                    </a:xfrm>
                    <a:prstGeom prst="rect">
                      <a:avLst/>
                    </a:prstGeom>
                  </pic:spPr>
                </pic:pic>
              </a:graphicData>
            </a:graphic>
          </wp:inline>
        </w:drawing>
      </w:r>
    </w:p>
    <w:p w14:paraId="3BFDBA60" w14:textId="7011F672" w:rsidR="00C7016F" w:rsidRDefault="002E562D" w:rsidP="009D1344">
      <w:pPr>
        <w:spacing w:after="0" w:line="240" w:lineRule="auto"/>
        <w:jc w:val="both"/>
        <w:rPr>
          <w:rFonts w:ascii="Times New Roman" w:hAnsi="Times New Roman"/>
          <w:sz w:val="24"/>
        </w:rPr>
      </w:pPr>
      <w:r>
        <w:rPr>
          <w:rFonts w:ascii="Times New Roman" w:hAnsi="Times New Roman"/>
          <w:sz w:val="24"/>
        </w:rPr>
        <w:t xml:space="preserve"> </w:t>
      </w:r>
    </w:p>
    <w:p w14:paraId="2EEB2828" w14:textId="0E7060AC" w:rsidR="00C7016F" w:rsidRDefault="00C7016F" w:rsidP="009D1344">
      <w:pPr>
        <w:spacing w:after="0" w:line="240" w:lineRule="auto"/>
        <w:jc w:val="both"/>
        <w:rPr>
          <w:rFonts w:ascii="Times New Roman" w:hAnsi="Times New Roman"/>
          <w:sz w:val="24"/>
        </w:rPr>
      </w:pPr>
    </w:p>
    <w:p w14:paraId="0EF5423C" w14:textId="398489AF" w:rsidR="005E2239" w:rsidRDefault="005E2239" w:rsidP="009D1344">
      <w:pPr>
        <w:spacing w:after="0" w:line="240" w:lineRule="auto"/>
        <w:jc w:val="both"/>
        <w:rPr>
          <w:rFonts w:ascii="Times New Roman" w:hAnsi="Times New Roman"/>
          <w:sz w:val="24"/>
        </w:rPr>
      </w:pPr>
      <w:r>
        <w:rPr>
          <w:rFonts w:ascii="Times New Roman" w:hAnsi="Times New Roman"/>
          <w:sz w:val="24"/>
        </w:rPr>
        <w:t xml:space="preserve">Cantore continued, </w:t>
      </w:r>
      <w:r w:rsidR="00C7016F">
        <w:rPr>
          <w:rFonts w:ascii="Times New Roman" w:hAnsi="Times New Roman"/>
          <w:sz w:val="24"/>
        </w:rPr>
        <w:t>“I am proud to say that each financing that we have completed since 201</w:t>
      </w:r>
      <w:r>
        <w:rPr>
          <w:rFonts w:ascii="Times New Roman" w:hAnsi="Times New Roman"/>
          <w:sz w:val="24"/>
        </w:rPr>
        <w:t>8</w:t>
      </w:r>
      <w:r w:rsidR="00C7016F">
        <w:rPr>
          <w:rFonts w:ascii="Times New Roman" w:hAnsi="Times New Roman"/>
          <w:sz w:val="24"/>
        </w:rPr>
        <w:t xml:space="preserve"> has been done at successively higher </w:t>
      </w:r>
      <w:r w:rsidR="007C6F48">
        <w:rPr>
          <w:rFonts w:ascii="Times New Roman" w:hAnsi="Times New Roman"/>
          <w:sz w:val="24"/>
        </w:rPr>
        <w:t>issue prices</w:t>
      </w:r>
      <w:r w:rsidR="00C7016F">
        <w:rPr>
          <w:rFonts w:ascii="Times New Roman" w:hAnsi="Times New Roman"/>
          <w:sz w:val="24"/>
        </w:rPr>
        <w:t>, thereby limiting th</w:t>
      </w:r>
      <w:r>
        <w:rPr>
          <w:rFonts w:ascii="Times New Roman" w:hAnsi="Times New Roman"/>
          <w:sz w:val="24"/>
        </w:rPr>
        <w:t>e</w:t>
      </w:r>
      <w:r w:rsidR="00C7016F">
        <w:rPr>
          <w:rFonts w:ascii="Times New Roman" w:hAnsi="Times New Roman"/>
          <w:sz w:val="24"/>
        </w:rPr>
        <w:t xml:space="preserve"> shareholder dilution while converting the capital raised in</w:t>
      </w:r>
      <w:r w:rsidR="005453F8">
        <w:rPr>
          <w:rFonts w:ascii="Times New Roman" w:hAnsi="Times New Roman"/>
          <w:sz w:val="24"/>
        </w:rPr>
        <w:t>to</w:t>
      </w:r>
      <w:r w:rsidR="00C7016F">
        <w:rPr>
          <w:rFonts w:ascii="Times New Roman" w:hAnsi="Times New Roman"/>
          <w:sz w:val="24"/>
        </w:rPr>
        <w:t xml:space="preserve"> </w:t>
      </w:r>
      <w:r>
        <w:rPr>
          <w:rFonts w:ascii="Times New Roman" w:hAnsi="Times New Roman"/>
          <w:sz w:val="24"/>
        </w:rPr>
        <w:t>exponentially</w:t>
      </w:r>
      <w:r w:rsidR="00C7016F">
        <w:rPr>
          <w:rFonts w:ascii="Times New Roman" w:hAnsi="Times New Roman"/>
          <w:sz w:val="24"/>
        </w:rPr>
        <w:t xml:space="preserve"> higher market cap</w:t>
      </w:r>
      <w:r>
        <w:rPr>
          <w:rFonts w:ascii="Times New Roman" w:hAnsi="Times New Roman"/>
          <w:sz w:val="24"/>
        </w:rPr>
        <w:t xml:space="preserve"> value. This has been achieved through prudent financings and targeted exploration which has delivered exceptional results. Our management team are all shareholders of Amex and our interest are very much aligned with our shareholder base.</w:t>
      </w:r>
      <w:r w:rsidR="00BD1BFA">
        <w:rPr>
          <w:rFonts w:ascii="Times New Roman" w:hAnsi="Times New Roman"/>
          <w:sz w:val="24"/>
        </w:rPr>
        <w:t xml:space="preserve"> </w:t>
      </w:r>
      <w:r>
        <w:rPr>
          <w:rFonts w:ascii="Times New Roman" w:hAnsi="Times New Roman"/>
          <w:sz w:val="24"/>
        </w:rPr>
        <w:t>As I look to 2021, I am confident in our exploration program</w:t>
      </w:r>
      <w:r w:rsidR="00BD1BFA">
        <w:rPr>
          <w:rFonts w:ascii="Times New Roman" w:hAnsi="Times New Roman"/>
          <w:sz w:val="24"/>
        </w:rPr>
        <w:t xml:space="preserve">, </w:t>
      </w:r>
      <w:r>
        <w:rPr>
          <w:rFonts w:ascii="Times New Roman" w:hAnsi="Times New Roman"/>
          <w:sz w:val="24"/>
        </w:rPr>
        <w:t>our leadership team and our ability to deliver results in th</w:t>
      </w:r>
      <w:r w:rsidR="00BD1BFA">
        <w:rPr>
          <w:rFonts w:ascii="Times New Roman" w:hAnsi="Times New Roman"/>
          <w:sz w:val="24"/>
        </w:rPr>
        <w:t>is</w:t>
      </w:r>
      <w:r>
        <w:rPr>
          <w:rFonts w:ascii="Times New Roman" w:hAnsi="Times New Roman"/>
          <w:sz w:val="24"/>
        </w:rPr>
        <w:t xml:space="preserve"> strong gold market.</w:t>
      </w:r>
      <w:r w:rsidR="00BD1BFA">
        <w:rPr>
          <w:rFonts w:ascii="Times New Roman" w:hAnsi="Times New Roman"/>
          <w:sz w:val="24"/>
        </w:rPr>
        <w:t xml:space="preserve">” </w:t>
      </w:r>
    </w:p>
    <w:p w14:paraId="6D2E15E9" w14:textId="77777777" w:rsidR="00C7016F" w:rsidRPr="00E67978" w:rsidRDefault="00C7016F" w:rsidP="009D1344">
      <w:pPr>
        <w:spacing w:after="0" w:line="240" w:lineRule="auto"/>
        <w:jc w:val="both"/>
        <w:rPr>
          <w:rFonts w:ascii="Times New Roman" w:hAnsi="Times New Roman"/>
          <w:sz w:val="24"/>
        </w:rPr>
      </w:pPr>
    </w:p>
    <w:p w14:paraId="52CBDB2B" w14:textId="61039960" w:rsidR="00EE4BA4" w:rsidRPr="006C20B8" w:rsidRDefault="00EE4BA4">
      <w:pPr>
        <w:spacing w:after="0" w:line="240" w:lineRule="auto"/>
        <w:jc w:val="both"/>
        <w:rPr>
          <w:rFonts w:ascii="Times New Roman" w:hAnsi="Times New Roman"/>
          <w:b/>
          <w:sz w:val="24"/>
        </w:rPr>
      </w:pPr>
      <w:r w:rsidRPr="006C20B8">
        <w:rPr>
          <w:rFonts w:ascii="Times New Roman" w:hAnsi="Times New Roman"/>
          <w:b/>
          <w:sz w:val="24"/>
        </w:rPr>
        <w:t>Looking Forward</w:t>
      </w:r>
      <w:r w:rsidR="000756EE" w:rsidRPr="006C20B8">
        <w:rPr>
          <w:rFonts w:ascii="Times New Roman" w:hAnsi="Times New Roman"/>
          <w:b/>
          <w:sz w:val="24"/>
        </w:rPr>
        <w:t xml:space="preserve"> to 2021 </w:t>
      </w:r>
    </w:p>
    <w:p w14:paraId="621FE199" w14:textId="77777777" w:rsidR="00177020" w:rsidRPr="006C20B8" w:rsidRDefault="00177020">
      <w:pPr>
        <w:spacing w:after="0" w:line="240" w:lineRule="auto"/>
        <w:jc w:val="both"/>
        <w:rPr>
          <w:rFonts w:ascii="Times New Roman" w:hAnsi="Times New Roman"/>
          <w:b/>
          <w:sz w:val="24"/>
        </w:rPr>
      </w:pPr>
    </w:p>
    <w:p w14:paraId="362BD09A" w14:textId="0802E31B" w:rsidR="00EE4BA4" w:rsidRPr="006C20B8" w:rsidRDefault="00EE4BA4">
      <w:pPr>
        <w:spacing w:after="0" w:line="240" w:lineRule="auto"/>
        <w:jc w:val="both"/>
        <w:rPr>
          <w:rFonts w:ascii="Times New Roman" w:hAnsi="Times New Roman"/>
          <w:bCs/>
          <w:sz w:val="24"/>
        </w:rPr>
      </w:pPr>
      <w:r w:rsidRPr="006C20B8">
        <w:rPr>
          <w:rFonts w:ascii="Times New Roman" w:hAnsi="Times New Roman"/>
          <w:bCs/>
          <w:sz w:val="24"/>
        </w:rPr>
        <w:t>Amex intends to complete the balance of the drilling program which will take the majority of the year until the fall of 2021 at which time the Company will initiate a property wide NI43-101</w:t>
      </w:r>
      <w:r w:rsidR="00032DB2" w:rsidRPr="006C20B8">
        <w:rPr>
          <w:rFonts w:ascii="Times New Roman" w:hAnsi="Times New Roman"/>
          <w:bCs/>
          <w:sz w:val="24"/>
        </w:rPr>
        <w:t xml:space="preserve"> compliant</w:t>
      </w:r>
      <w:r w:rsidRPr="006C20B8">
        <w:rPr>
          <w:rFonts w:ascii="Times New Roman" w:hAnsi="Times New Roman"/>
          <w:bCs/>
          <w:sz w:val="24"/>
        </w:rPr>
        <w:t xml:space="preserve"> resource calculation.</w:t>
      </w:r>
      <w:r w:rsidR="000756EE" w:rsidRPr="006C20B8">
        <w:rPr>
          <w:rFonts w:ascii="Times New Roman" w:hAnsi="Times New Roman"/>
          <w:bCs/>
          <w:sz w:val="24"/>
        </w:rPr>
        <w:t xml:space="preserve"> In addition, t</w:t>
      </w:r>
      <w:r w:rsidRPr="006C20B8">
        <w:rPr>
          <w:rFonts w:ascii="Times New Roman" w:hAnsi="Times New Roman"/>
          <w:bCs/>
          <w:sz w:val="24"/>
        </w:rPr>
        <w:t xml:space="preserve">he technical team has identified several potential </w:t>
      </w:r>
      <w:r w:rsidR="000F5A5F" w:rsidRPr="006C20B8">
        <w:rPr>
          <w:rFonts w:ascii="Times New Roman" w:hAnsi="Times New Roman"/>
          <w:bCs/>
          <w:sz w:val="24"/>
        </w:rPr>
        <w:t xml:space="preserve">additional </w:t>
      </w:r>
      <w:r w:rsidRPr="006C20B8">
        <w:rPr>
          <w:rFonts w:ascii="Times New Roman" w:hAnsi="Times New Roman"/>
          <w:bCs/>
          <w:sz w:val="24"/>
        </w:rPr>
        <w:t xml:space="preserve">gold </w:t>
      </w:r>
      <w:r w:rsidR="000F5A5F" w:rsidRPr="006C20B8">
        <w:rPr>
          <w:rFonts w:ascii="Times New Roman" w:hAnsi="Times New Roman"/>
          <w:bCs/>
          <w:sz w:val="24"/>
        </w:rPr>
        <w:t xml:space="preserve">bearing </w:t>
      </w:r>
      <w:r w:rsidRPr="006C20B8">
        <w:rPr>
          <w:rFonts w:ascii="Times New Roman" w:hAnsi="Times New Roman"/>
          <w:bCs/>
          <w:sz w:val="24"/>
        </w:rPr>
        <w:t>structures outside the three known gold zones</w:t>
      </w:r>
      <w:r w:rsidR="000756EE" w:rsidRPr="006C20B8">
        <w:rPr>
          <w:rFonts w:ascii="Times New Roman" w:hAnsi="Times New Roman"/>
          <w:bCs/>
          <w:sz w:val="24"/>
        </w:rPr>
        <w:t xml:space="preserve"> during its regional exploration program</w:t>
      </w:r>
      <w:r w:rsidRPr="006C20B8">
        <w:rPr>
          <w:rFonts w:ascii="Times New Roman" w:hAnsi="Times New Roman"/>
          <w:bCs/>
          <w:sz w:val="24"/>
        </w:rPr>
        <w:t>. Follow up drilling on these new structures will be part of the drill program in 2021 to determine if they constitute new gold zones</w:t>
      </w:r>
      <w:r w:rsidR="000F5A5F" w:rsidRPr="006C20B8">
        <w:rPr>
          <w:rFonts w:ascii="Times New Roman" w:hAnsi="Times New Roman"/>
          <w:bCs/>
          <w:sz w:val="24"/>
        </w:rPr>
        <w:t>.</w:t>
      </w:r>
      <w:r w:rsidRPr="006C20B8">
        <w:rPr>
          <w:rFonts w:ascii="Times New Roman" w:hAnsi="Times New Roman"/>
          <w:bCs/>
          <w:sz w:val="24"/>
        </w:rPr>
        <w:t xml:space="preserve"> </w:t>
      </w:r>
    </w:p>
    <w:p w14:paraId="71CF3801" w14:textId="35A47D38" w:rsidR="00044A99" w:rsidRPr="006C20B8" w:rsidRDefault="00044A99">
      <w:pPr>
        <w:spacing w:after="0" w:line="240" w:lineRule="auto"/>
        <w:jc w:val="both"/>
        <w:rPr>
          <w:rFonts w:ascii="Times New Roman" w:hAnsi="Times New Roman"/>
          <w:bCs/>
          <w:sz w:val="24"/>
        </w:rPr>
      </w:pPr>
    </w:p>
    <w:p w14:paraId="026494C1" w14:textId="1A0D4B4E" w:rsidR="00044A99" w:rsidRDefault="00044A99">
      <w:pPr>
        <w:spacing w:after="0" w:line="240" w:lineRule="auto"/>
        <w:jc w:val="both"/>
        <w:rPr>
          <w:rFonts w:ascii="Times New Roman" w:hAnsi="Times New Roman"/>
          <w:bCs/>
          <w:sz w:val="24"/>
        </w:rPr>
      </w:pPr>
      <w:r w:rsidRPr="006C20B8">
        <w:rPr>
          <w:rFonts w:ascii="Times New Roman" w:hAnsi="Times New Roman"/>
          <w:bCs/>
          <w:sz w:val="24"/>
        </w:rPr>
        <w:t xml:space="preserve">Jacques Trottier, PhD Executive Chairman of Amex said, “I am excited to resume the year with an ambitious 10 drill program that aims to build ounces within the Perron Gold Corridor while discovering new gold zones on the property. With the benefit of having made several gold discoveries using predictive modeling and structural geology as our </w:t>
      </w:r>
      <w:r w:rsidRPr="006C20B8">
        <w:rPr>
          <w:rFonts w:ascii="Times New Roman" w:hAnsi="Times New Roman"/>
          <w:bCs/>
          <w:sz w:val="24"/>
        </w:rPr>
        <w:lastRenderedPageBreak/>
        <w:t>guide, I believe that Perron has much untapped potential that will be demonstrated in the coming year.”</w:t>
      </w:r>
    </w:p>
    <w:p w14:paraId="7962893D" w14:textId="77777777" w:rsidR="00EE4BA4" w:rsidRPr="00EE4BA4" w:rsidRDefault="00EE4BA4">
      <w:pPr>
        <w:spacing w:after="0" w:line="240" w:lineRule="auto"/>
        <w:jc w:val="both"/>
        <w:rPr>
          <w:rFonts w:ascii="Times New Roman" w:hAnsi="Times New Roman"/>
          <w:bCs/>
          <w:sz w:val="24"/>
        </w:rPr>
      </w:pPr>
    </w:p>
    <w:p w14:paraId="4ECD8524" w14:textId="71A3DB95" w:rsidR="005C6EA9" w:rsidRDefault="00926142">
      <w:pPr>
        <w:spacing w:after="0" w:line="240" w:lineRule="auto"/>
        <w:jc w:val="both"/>
        <w:rPr>
          <w:rFonts w:ascii="Times New Roman" w:hAnsi="Times New Roman"/>
          <w:b/>
          <w:sz w:val="24"/>
        </w:rPr>
      </w:pPr>
      <w:r w:rsidRPr="00E172CE">
        <w:rPr>
          <w:rFonts w:ascii="Times New Roman" w:hAnsi="Times New Roman"/>
          <w:b/>
          <w:sz w:val="24"/>
        </w:rPr>
        <w:t>Qualified Person</w:t>
      </w:r>
    </w:p>
    <w:p w14:paraId="3D79A0DA" w14:textId="77777777" w:rsidR="00136FAF" w:rsidRPr="00E172CE" w:rsidRDefault="00136FAF">
      <w:pPr>
        <w:spacing w:after="0" w:line="240" w:lineRule="auto"/>
        <w:jc w:val="both"/>
        <w:rPr>
          <w:rFonts w:ascii="Times New Roman" w:hAnsi="Times New Roman"/>
          <w:b/>
          <w:sz w:val="24"/>
        </w:rPr>
      </w:pPr>
    </w:p>
    <w:p w14:paraId="7E1C9ED0" w14:textId="77777777" w:rsidR="00D00532" w:rsidRPr="00D00532" w:rsidRDefault="00926142" w:rsidP="00D00532">
      <w:pPr>
        <w:spacing w:after="0" w:line="240" w:lineRule="auto"/>
        <w:jc w:val="both"/>
        <w:rPr>
          <w:rFonts w:ascii="Times New Roman" w:hAnsi="Times New Roman"/>
          <w:color w:val="000000"/>
          <w:spacing w:val="6"/>
          <w:sz w:val="24"/>
          <w:szCs w:val="24"/>
          <w:shd w:val="clear" w:color="auto" w:fill="FFFFFF"/>
        </w:rPr>
      </w:pPr>
      <w:r w:rsidRPr="00E172CE">
        <w:rPr>
          <w:rFonts w:ascii="Times New Roman" w:hAnsi="Times New Roman"/>
          <w:sz w:val="24"/>
        </w:rPr>
        <w:t>Maxime Bouchard P.Geo. M.Sc.A., (OGQ 1752) and Jérôme Augustin P.Geo. Ph.D., (OGQ 2134), Independent Qualified Persons as defined by Canadian NI 43-101 standards, have reviewed and approved the geological information reported in this news release. The drilling campaign and the quality control program have been planned and supervised by Maxime Bouchard and Jérôme Augustin. Core logging and sampling were completed by Laurentia Exploration.</w:t>
      </w:r>
      <w:r w:rsidR="00D00532">
        <w:rPr>
          <w:rFonts w:ascii="Times New Roman" w:hAnsi="Times New Roman"/>
          <w:sz w:val="24"/>
        </w:rPr>
        <w:t xml:space="preserve"> </w:t>
      </w:r>
      <w:r w:rsidR="00D00532" w:rsidRPr="00D00532">
        <w:rPr>
          <w:rFonts w:ascii="Times New Roman" w:hAnsi="Times New Roman"/>
          <w:sz w:val="24"/>
          <w:szCs w:val="24"/>
        </w:rPr>
        <w:t>T</w:t>
      </w:r>
      <w:r w:rsidR="00D00532" w:rsidRPr="00D00532">
        <w:rPr>
          <w:rFonts w:ascii="Times New Roman" w:hAnsi="Times New Roman"/>
          <w:color w:val="000000"/>
          <w:spacing w:val="6"/>
          <w:sz w:val="24"/>
          <w:szCs w:val="24"/>
          <w:shd w:val="clear" w:color="auto" w:fill="FFFFFF"/>
        </w:rPr>
        <w:t>he quality assurance and quality control protocol include insertion of blank or standard every 10 samples on average, in addition to the regular insertion of blank, duplicate, and standard samples accredited by Laboratoire Expert during the analytical process. Gold values are estimated by fire assay with finish by atomic absorption and values over 3 ppm Au are reanalyzed by fire assay with finish by gravimetry by Laboratoire Expert Inc, Rouyn-Noranda. Samples containing visible gold mineralization are analyzed by metallic sieve. For additional quality assurance and quality control, all samples were crushed to 90% less than 2 mm prior to pulverization, in order to homogenize samples which may contain coarse gold. Core logging and sampling were completed by Laurentia Exploration.</w:t>
      </w:r>
    </w:p>
    <w:p w14:paraId="2B0586AD" w14:textId="77777777" w:rsidR="00D00532" w:rsidRDefault="00D00532" w:rsidP="00D00532">
      <w:pPr>
        <w:spacing w:before="240" w:after="0" w:line="240" w:lineRule="auto"/>
        <w:jc w:val="both"/>
        <w:rPr>
          <w:rFonts w:ascii="Times New Roman" w:hAnsi="Times New Roman"/>
          <w:sz w:val="24"/>
          <w:szCs w:val="24"/>
        </w:rPr>
      </w:pPr>
      <w:r w:rsidRPr="00D00532">
        <w:rPr>
          <w:rFonts w:ascii="Times New Roman" w:hAnsi="Times New Roman"/>
          <w:color w:val="000000"/>
          <w:spacing w:val="6"/>
          <w:sz w:val="24"/>
          <w:szCs w:val="24"/>
          <w:shd w:val="clear" w:color="auto" w:fill="FFFFFF"/>
        </w:rPr>
        <w:t>The Qualified Persons have not completed sufficient work to verify the historic information on the Property, particularly in regards to historical drill results. However, the Qualified Persons believe that drilling and analytical results were completed to industry standard practices. The information provides an indication of the exploration potential of the Property but may not be representative of expected results.</w:t>
      </w:r>
    </w:p>
    <w:p w14:paraId="0E0C7118" w14:textId="77777777" w:rsidR="00B30A0E" w:rsidRDefault="00B30A0E">
      <w:pPr>
        <w:spacing w:after="0" w:line="240" w:lineRule="auto"/>
        <w:jc w:val="both"/>
        <w:rPr>
          <w:rFonts w:ascii="Times New Roman" w:hAnsi="Times New Roman"/>
          <w:b/>
          <w:sz w:val="24"/>
        </w:rPr>
      </w:pPr>
    </w:p>
    <w:p w14:paraId="0E5B5BD2" w14:textId="77777777" w:rsidR="005C6EA9" w:rsidRPr="00E172CE" w:rsidRDefault="00926142">
      <w:pPr>
        <w:spacing w:after="0" w:line="240" w:lineRule="auto"/>
        <w:jc w:val="both"/>
        <w:rPr>
          <w:rFonts w:ascii="Times New Roman" w:hAnsi="Times New Roman"/>
          <w:b/>
          <w:sz w:val="24"/>
        </w:rPr>
      </w:pPr>
      <w:r w:rsidRPr="00E172CE">
        <w:rPr>
          <w:rFonts w:ascii="Times New Roman" w:hAnsi="Times New Roman"/>
          <w:b/>
          <w:sz w:val="24"/>
        </w:rPr>
        <w:t>About Amex</w:t>
      </w:r>
    </w:p>
    <w:p w14:paraId="61DE404F" w14:textId="77777777" w:rsidR="005C6EA9" w:rsidRPr="00E172CE" w:rsidRDefault="00926142">
      <w:pPr>
        <w:spacing w:after="0" w:line="240" w:lineRule="auto"/>
        <w:jc w:val="both"/>
        <w:rPr>
          <w:rFonts w:ascii="Times New Roman" w:hAnsi="Times New Roman"/>
          <w:sz w:val="24"/>
        </w:rPr>
      </w:pPr>
      <w:r w:rsidRPr="00E172CE">
        <w:rPr>
          <w:rFonts w:ascii="Times New Roman" w:hAnsi="Times New Roman"/>
          <w:sz w:val="24"/>
        </w:rPr>
        <w:t>Amex Exploration Inc. is a junior mining exploration company, the primary objective of which is to acquire, explore, and develop viable gold projects in the mining-friendly jurisdiction of Quebec. Amex is focused on its 100% owned Perron gold project located 110 kilomet</w:t>
      </w:r>
      <w:r w:rsidR="00E64CD2">
        <w:rPr>
          <w:rFonts w:ascii="Times New Roman" w:hAnsi="Times New Roman"/>
          <w:sz w:val="24"/>
        </w:rPr>
        <w:t>re</w:t>
      </w:r>
      <w:r w:rsidRPr="00E172CE">
        <w:rPr>
          <w:rFonts w:ascii="Times New Roman" w:hAnsi="Times New Roman"/>
          <w:sz w:val="24"/>
        </w:rPr>
        <w:t>s north of Rouyn Noranda, Quebec, consisting of 116 contiguous claims covering 4,518 hectares. A number of significant gold discoveries have been made at Perron, including the Eastern Gold Zone, the Gratien Gold Zone, the Grey Cat Zone, and the Central Polymetallic Zone. High-grade gold has been identified in each of the zones. A significant portion of the project remains underexplored. In addition to the Perron project, the company holds a portfolio of three other properties focused on gold and base metals in the Abitibi region of Quebec</w:t>
      </w:r>
      <w:r w:rsidR="00B428FF">
        <w:rPr>
          <w:rFonts w:ascii="Times New Roman" w:hAnsi="Times New Roman"/>
          <w:sz w:val="24"/>
        </w:rPr>
        <w:t xml:space="preserve"> and else where in the province</w:t>
      </w:r>
      <w:r w:rsidRPr="00E172CE">
        <w:rPr>
          <w:rFonts w:ascii="Times New Roman" w:hAnsi="Times New Roman"/>
          <w:sz w:val="24"/>
        </w:rPr>
        <w:t>.</w:t>
      </w:r>
    </w:p>
    <w:p w14:paraId="2655F94F" w14:textId="77777777" w:rsidR="005C6EA9" w:rsidRPr="00E172CE" w:rsidRDefault="005C6EA9">
      <w:pPr>
        <w:spacing w:after="0" w:line="240" w:lineRule="auto"/>
        <w:jc w:val="both"/>
        <w:rPr>
          <w:rFonts w:ascii="Times New Roman" w:hAnsi="Times New Roman"/>
          <w:sz w:val="24"/>
        </w:rPr>
      </w:pPr>
    </w:p>
    <w:p w14:paraId="4B4A00AC" w14:textId="77777777" w:rsidR="005C6EA9" w:rsidRPr="00E172CE" w:rsidRDefault="00926142">
      <w:pPr>
        <w:spacing w:after="0" w:line="240" w:lineRule="auto"/>
        <w:jc w:val="both"/>
        <w:rPr>
          <w:rFonts w:ascii="Times New Roman" w:hAnsi="Times New Roman"/>
          <w:sz w:val="24"/>
        </w:rPr>
      </w:pPr>
      <w:r w:rsidRPr="00E172CE">
        <w:rPr>
          <w:rFonts w:ascii="Times New Roman" w:hAnsi="Times New Roman"/>
          <w:sz w:val="24"/>
        </w:rPr>
        <w:t>For further information please contact:</w:t>
      </w:r>
    </w:p>
    <w:p w14:paraId="7108B06E" w14:textId="77777777" w:rsidR="005C6EA9" w:rsidRPr="00E172CE" w:rsidRDefault="00926142">
      <w:pPr>
        <w:spacing w:after="0" w:line="240" w:lineRule="auto"/>
        <w:jc w:val="both"/>
        <w:rPr>
          <w:rFonts w:ascii="Times New Roman" w:hAnsi="Times New Roman"/>
          <w:sz w:val="24"/>
        </w:rPr>
      </w:pPr>
      <w:r w:rsidRPr="00E172CE">
        <w:rPr>
          <w:rFonts w:ascii="Times New Roman" w:hAnsi="Times New Roman"/>
          <w:sz w:val="24"/>
        </w:rPr>
        <w:t>Victor Cantore</w:t>
      </w:r>
    </w:p>
    <w:p w14:paraId="75656604" w14:textId="77777777" w:rsidR="005C6EA9" w:rsidRPr="00E172CE" w:rsidRDefault="00926142">
      <w:pPr>
        <w:spacing w:after="0" w:line="240" w:lineRule="auto"/>
        <w:jc w:val="both"/>
        <w:rPr>
          <w:rFonts w:ascii="Times New Roman" w:hAnsi="Times New Roman"/>
          <w:sz w:val="24"/>
        </w:rPr>
      </w:pPr>
      <w:r w:rsidRPr="00E172CE">
        <w:rPr>
          <w:rFonts w:ascii="Times New Roman" w:hAnsi="Times New Roman"/>
          <w:sz w:val="24"/>
        </w:rPr>
        <w:t>President and Chief Executive Officer</w:t>
      </w:r>
    </w:p>
    <w:p w14:paraId="4E07A39C" w14:textId="77777777" w:rsidR="005C6EA9" w:rsidRPr="00E172CE" w:rsidRDefault="00926142">
      <w:pPr>
        <w:spacing w:after="0" w:line="240" w:lineRule="auto"/>
        <w:jc w:val="both"/>
        <w:rPr>
          <w:rFonts w:ascii="Times New Roman" w:hAnsi="Times New Roman"/>
          <w:sz w:val="24"/>
        </w:rPr>
      </w:pPr>
      <w:r w:rsidRPr="00E172CE">
        <w:rPr>
          <w:rFonts w:ascii="Times New Roman" w:hAnsi="Times New Roman"/>
          <w:sz w:val="24"/>
        </w:rPr>
        <w:t xml:space="preserve">Amex Exploration: </w:t>
      </w:r>
      <w:r w:rsidR="00F85645">
        <w:rPr>
          <w:rFonts w:ascii="Times New Roman" w:hAnsi="Times New Roman"/>
          <w:sz w:val="24"/>
        </w:rPr>
        <w:t>+1-</w:t>
      </w:r>
      <w:r w:rsidRPr="00E172CE">
        <w:rPr>
          <w:rFonts w:ascii="Times New Roman" w:hAnsi="Times New Roman"/>
          <w:sz w:val="24"/>
        </w:rPr>
        <w:t>514-866-8209</w:t>
      </w:r>
    </w:p>
    <w:p w14:paraId="161C70C4" w14:textId="77777777" w:rsidR="005C6EA9" w:rsidRPr="00E172CE" w:rsidRDefault="005C6EA9">
      <w:pPr>
        <w:spacing w:after="300" w:line="240" w:lineRule="auto"/>
        <w:jc w:val="both"/>
        <w:rPr>
          <w:rFonts w:ascii="PT Sans" w:eastAsia="PT Sans" w:hAnsi="PT Sans" w:cs="PT Sans"/>
          <w:color w:val="000000"/>
          <w:sz w:val="23"/>
          <w:shd w:val="clear" w:color="auto" w:fill="FFFFFF"/>
        </w:rPr>
      </w:pPr>
    </w:p>
    <w:p w14:paraId="5C1EC18E" w14:textId="77777777" w:rsidR="00380B23" w:rsidRPr="00E172CE" w:rsidRDefault="00926142">
      <w:pPr>
        <w:spacing w:after="300" w:line="240" w:lineRule="auto"/>
        <w:jc w:val="both"/>
        <w:rPr>
          <w:rFonts w:ascii="Times New Roman" w:hAnsi="Times New Roman"/>
          <w:color w:val="000000"/>
          <w:shd w:val="clear" w:color="auto" w:fill="FFFFFF"/>
        </w:rPr>
      </w:pPr>
      <w:r w:rsidRPr="00E172CE">
        <w:rPr>
          <w:rFonts w:ascii="Times New Roman" w:hAnsi="Times New Roman"/>
          <w:color w:val="000000"/>
          <w:shd w:val="clear" w:color="auto" w:fill="FFFFFF"/>
        </w:rPr>
        <w:lastRenderedPageBreak/>
        <w:t>Neither the TSX Venture Exchange nor its Regulation Services Provider (as that term is defined in the policies of the TSX Venture Exchange) accepts responsibility for the adequacy or accuracy of this release.</w:t>
      </w:r>
    </w:p>
    <w:p w14:paraId="22F440D3" w14:textId="77777777" w:rsidR="005C6EA9" w:rsidRPr="00E172CE" w:rsidRDefault="00926142">
      <w:pPr>
        <w:spacing w:after="300" w:line="240" w:lineRule="auto"/>
        <w:jc w:val="both"/>
        <w:rPr>
          <w:rFonts w:ascii="Times New Roman" w:hAnsi="Times New Roman"/>
          <w:color w:val="000000"/>
          <w:shd w:val="clear" w:color="auto" w:fill="FFFFFF"/>
        </w:rPr>
      </w:pPr>
      <w:r w:rsidRPr="00E172CE">
        <w:rPr>
          <w:rFonts w:ascii="Times New Roman" w:hAnsi="Times New Roman"/>
          <w:b/>
          <w:i/>
          <w:color w:val="000000"/>
          <w:shd w:val="clear" w:color="auto" w:fill="FFFFFF"/>
        </w:rPr>
        <w:t>Forward-looking statements:</w:t>
      </w:r>
    </w:p>
    <w:p w14:paraId="0F67A922" w14:textId="77777777" w:rsidR="005C6EA9" w:rsidRPr="00E172CE" w:rsidRDefault="00926142">
      <w:pPr>
        <w:spacing w:after="300" w:line="240" w:lineRule="auto"/>
        <w:jc w:val="both"/>
        <w:rPr>
          <w:rFonts w:ascii="Times New Roman" w:hAnsi="Times New Roman"/>
          <w:color w:val="000000"/>
          <w:shd w:val="clear" w:color="auto" w:fill="FFFFFF"/>
        </w:rPr>
      </w:pPr>
      <w:r w:rsidRPr="00E172CE">
        <w:rPr>
          <w:rFonts w:ascii="Times New Roman" w:hAnsi="Times New Roman"/>
          <w:b/>
          <w:i/>
          <w:color w:val="000000"/>
          <w:shd w:val="clear" w:color="auto" w:fill="FFFFFF"/>
        </w:rPr>
        <w:t xml:space="preserve">This news release contains forward-looking statements. All statements, other than of historical facts, that address activities, events or developments that the Company believes, expects or anticipates will or may occur in the future including, without limitation, the planned exploration program on the HGZ and </w:t>
      </w:r>
      <w:r w:rsidR="00237DB5">
        <w:rPr>
          <w:rFonts w:ascii="Times New Roman" w:hAnsi="Times New Roman"/>
          <w:b/>
          <w:i/>
          <w:color w:val="000000"/>
          <w:shd w:val="clear" w:color="auto" w:fill="FFFFFF"/>
        </w:rPr>
        <w:t>Denise Zone</w:t>
      </w:r>
      <w:r w:rsidRPr="00E172CE">
        <w:rPr>
          <w:rFonts w:ascii="Times New Roman" w:hAnsi="Times New Roman"/>
          <w:b/>
          <w:i/>
          <w:color w:val="000000"/>
          <w:shd w:val="clear" w:color="auto" w:fill="FFFFFF"/>
        </w:rPr>
        <w:t>, the expected positive exploration results, the extension of the mineralized zones, the timing of the exploration results, the ability of the Company to continue with the exploration program, the availability of the required funds to continue with the exploration and the potential mineralization or potential mineral resources are forward-looking statements. Forward-looking statements are generally identifiable by use of the words “will”, “should”, “continue”, “expect”, “anticipate”, “estimate”, “believe”, “intend”, “to earn”, “to have’, “plan” or “project” or the negative of these words or other variations on these words or comparable terminology. Forward-looking statements are subject to a number of risks and uncertainties, many of which are beyond the Company’s ability to control or predict, that may cause the actual results of the Company to differ materially from those discussed in the forward-looking statements. Factors that could cause actual results or events to differ materially from current expectations include, among other things, failure to meet expected, estimated or planned exploration expenditures, failure to establish estimated mineral resources, the possibility that future exploration results will not be consistent with the Company’s expectations, general business and economic conditions, changes in world gold markets, sufficient labour and equipment being available, changes in laws and permitting requirements, unanticipated weather changes,  title disputes and claims, environmental risks as well as those risks identified in the Company’s annual Management’s Discussion and Analysis. Should one or more of these risks or uncertainties materialize, or should assumptions underlying the forward-looking statements prove incorrect, actual results may vary materially from those described and accordingly, readers should not place undue reliance on forward-looking statements. Although the Company has attempted to identify important risks, uncertainties and factors which could cause actual results to differ materially, there may be others that cause results not to be as anticipated, estimated or intended. The Company does not intend, and does not assume any obligation, to update these forward-looking statements except as otherwise required by applicable law.</w:t>
      </w:r>
    </w:p>
    <w:sectPr w:rsidR="005C6EA9" w:rsidRPr="00E172C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CE71C" w14:textId="77777777" w:rsidR="00EB309F" w:rsidRDefault="00EB309F" w:rsidP="00E87963">
      <w:pPr>
        <w:spacing w:after="0" w:line="240" w:lineRule="auto"/>
      </w:pPr>
      <w:r>
        <w:separator/>
      </w:r>
    </w:p>
  </w:endnote>
  <w:endnote w:type="continuationSeparator" w:id="0">
    <w:p w14:paraId="217EF5A0" w14:textId="77777777" w:rsidR="00EB309F" w:rsidRDefault="00EB309F" w:rsidP="00E8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Arial"/>
    <w:charset w:val="4D"/>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CB64B" w14:textId="77777777" w:rsidR="00EB309F" w:rsidRDefault="00EB309F" w:rsidP="00E87963">
      <w:pPr>
        <w:spacing w:after="0" w:line="240" w:lineRule="auto"/>
      </w:pPr>
      <w:r>
        <w:separator/>
      </w:r>
    </w:p>
  </w:footnote>
  <w:footnote w:type="continuationSeparator" w:id="0">
    <w:p w14:paraId="437A4EFA" w14:textId="77777777" w:rsidR="00EB309F" w:rsidRDefault="00EB309F" w:rsidP="00E87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35D25"/>
    <w:multiLevelType w:val="hybridMultilevel"/>
    <w:tmpl w:val="17A68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ED1315F"/>
    <w:multiLevelType w:val="hybridMultilevel"/>
    <w:tmpl w:val="751E92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42F2646"/>
    <w:multiLevelType w:val="hybridMultilevel"/>
    <w:tmpl w:val="E0746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B9631EC"/>
    <w:multiLevelType w:val="hybridMultilevel"/>
    <w:tmpl w:val="CBC85BFC"/>
    <w:lvl w:ilvl="0" w:tplc="FC780AD4">
      <w:numFmt w:val="bullet"/>
      <w:lvlText w:val="-"/>
      <w:lvlJc w:val="left"/>
      <w:pPr>
        <w:ind w:left="480" w:hanging="360"/>
      </w:pPr>
      <w:rPr>
        <w:rFonts w:ascii="Arial" w:eastAsia="Arial" w:hAnsi="Arial" w:cs="Arial" w:hint="default"/>
      </w:rPr>
    </w:lvl>
    <w:lvl w:ilvl="1" w:tplc="10090003" w:tentative="1">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4" w15:restartNumberingAfterBreak="0">
    <w:nsid w:val="7B314ABC"/>
    <w:multiLevelType w:val="hybridMultilevel"/>
    <w:tmpl w:val="97BA5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A9"/>
    <w:rsid w:val="0000666F"/>
    <w:rsid w:val="00007FCE"/>
    <w:rsid w:val="0001362A"/>
    <w:rsid w:val="0002253D"/>
    <w:rsid w:val="0003184A"/>
    <w:rsid w:val="00032CEF"/>
    <w:rsid w:val="00032DB2"/>
    <w:rsid w:val="000379C1"/>
    <w:rsid w:val="00041107"/>
    <w:rsid w:val="00042105"/>
    <w:rsid w:val="000437C1"/>
    <w:rsid w:val="00044A99"/>
    <w:rsid w:val="00046320"/>
    <w:rsid w:val="0005358C"/>
    <w:rsid w:val="00055121"/>
    <w:rsid w:val="00057F5F"/>
    <w:rsid w:val="00063270"/>
    <w:rsid w:val="00067C81"/>
    <w:rsid w:val="000747C2"/>
    <w:rsid w:val="000756EE"/>
    <w:rsid w:val="00091066"/>
    <w:rsid w:val="00093DD7"/>
    <w:rsid w:val="00095AB1"/>
    <w:rsid w:val="000A5842"/>
    <w:rsid w:val="000C2D9A"/>
    <w:rsid w:val="000C575B"/>
    <w:rsid w:val="000C6AD1"/>
    <w:rsid w:val="000D3D45"/>
    <w:rsid w:val="000D3F82"/>
    <w:rsid w:val="000E3904"/>
    <w:rsid w:val="000E5BE7"/>
    <w:rsid w:val="000E798E"/>
    <w:rsid w:val="000F1E3D"/>
    <w:rsid w:val="000F5A5F"/>
    <w:rsid w:val="000F6CB7"/>
    <w:rsid w:val="000F7380"/>
    <w:rsid w:val="000F7782"/>
    <w:rsid w:val="00103E6B"/>
    <w:rsid w:val="0011226C"/>
    <w:rsid w:val="001161C8"/>
    <w:rsid w:val="001218B4"/>
    <w:rsid w:val="00134C00"/>
    <w:rsid w:val="00136FAF"/>
    <w:rsid w:val="001419DF"/>
    <w:rsid w:val="0014241E"/>
    <w:rsid w:val="0014373A"/>
    <w:rsid w:val="001465E7"/>
    <w:rsid w:val="00151D14"/>
    <w:rsid w:val="00153081"/>
    <w:rsid w:val="0017216D"/>
    <w:rsid w:val="00177020"/>
    <w:rsid w:val="001801EE"/>
    <w:rsid w:val="00180A1C"/>
    <w:rsid w:val="00186FA8"/>
    <w:rsid w:val="00192F72"/>
    <w:rsid w:val="00195FE2"/>
    <w:rsid w:val="001A2C51"/>
    <w:rsid w:val="001A375D"/>
    <w:rsid w:val="001A5F10"/>
    <w:rsid w:val="001A5F91"/>
    <w:rsid w:val="001A725E"/>
    <w:rsid w:val="001B458F"/>
    <w:rsid w:val="001C1D19"/>
    <w:rsid w:val="001C1F5B"/>
    <w:rsid w:val="001C3FC5"/>
    <w:rsid w:val="001C6D8C"/>
    <w:rsid w:val="001F334E"/>
    <w:rsid w:val="002043AB"/>
    <w:rsid w:val="002129B8"/>
    <w:rsid w:val="00214EE0"/>
    <w:rsid w:val="002172B9"/>
    <w:rsid w:val="00223495"/>
    <w:rsid w:val="002270E2"/>
    <w:rsid w:val="00237DB5"/>
    <w:rsid w:val="002535DD"/>
    <w:rsid w:val="00256C3E"/>
    <w:rsid w:val="00262458"/>
    <w:rsid w:val="00266FDD"/>
    <w:rsid w:val="00270C06"/>
    <w:rsid w:val="00274C29"/>
    <w:rsid w:val="002771AE"/>
    <w:rsid w:val="00284156"/>
    <w:rsid w:val="00286E67"/>
    <w:rsid w:val="00290CF8"/>
    <w:rsid w:val="002B4B7E"/>
    <w:rsid w:val="002B7599"/>
    <w:rsid w:val="002C04A1"/>
    <w:rsid w:val="002C08C5"/>
    <w:rsid w:val="002C2957"/>
    <w:rsid w:val="002E4234"/>
    <w:rsid w:val="002E562D"/>
    <w:rsid w:val="002E770D"/>
    <w:rsid w:val="002F3B9D"/>
    <w:rsid w:val="002F3CAD"/>
    <w:rsid w:val="002F3F01"/>
    <w:rsid w:val="002F3FCD"/>
    <w:rsid w:val="00304397"/>
    <w:rsid w:val="003075A9"/>
    <w:rsid w:val="00321739"/>
    <w:rsid w:val="00322817"/>
    <w:rsid w:val="00325723"/>
    <w:rsid w:val="0032605E"/>
    <w:rsid w:val="00326BE5"/>
    <w:rsid w:val="00333884"/>
    <w:rsid w:val="00335730"/>
    <w:rsid w:val="00340E5E"/>
    <w:rsid w:val="003423C7"/>
    <w:rsid w:val="00343C88"/>
    <w:rsid w:val="00343DA7"/>
    <w:rsid w:val="003539F0"/>
    <w:rsid w:val="003642C2"/>
    <w:rsid w:val="003761A6"/>
    <w:rsid w:val="00380B23"/>
    <w:rsid w:val="003814B0"/>
    <w:rsid w:val="003815A9"/>
    <w:rsid w:val="00385BD3"/>
    <w:rsid w:val="00396908"/>
    <w:rsid w:val="003A6B95"/>
    <w:rsid w:val="003B0F25"/>
    <w:rsid w:val="003C30EE"/>
    <w:rsid w:val="003C5CD0"/>
    <w:rsid w:val="003D4339"/>
    <w:rsid w:val="003D789D"/>
    <w:rsid w:val="003D7E6F"/>
    <w:rsid w:val="003E70D3"/>
    <w:rsid w:val="003F361E"/>
    <w:rsid w:val="0040442C"/>
    <w:rsid w:val="00406FE0"/>
    <w:rsid w:val="00422116"/>
    <w:rsid w:val="00423BD5"/>
    <w:rsid w:val="0042468E"/>
    <w:rsid w:val="00442B8A"/>
    <w:rsid w:val="0046171A"/>
    <w:rsid w:val="00465236"/>
    <w:rsid w:val="00465BC2"/>
    <w:rsid w:val="004767DC"/>
    <w:rsid w:val="004842EB"/>
    <w:rsid w:val="00493288"/>
    <w:rsid w:val="00495E40"/>
    <w:rsid w:val="004A6310"/>
    <w:rsid w:val="004B1CC9"/>
    <w:rsid w:val="004C6927"/>
    <w:rsid w:val="004E2B9F"/>
    <w:rsid w:val="004E434E"/>
    <w:rsid w:val="004E5688"/>
    <w:rsid w:val="004E584E"/>
    <w:rsid w:val="004E614E"/>
    <w:rsid w:val="00503EE9"/>
    <w:rsid w:val="005102E7"/>
    <w:rsid w:val="005232CE"/>
    <w:rsid w:val="00526035"/>
    <w:rsid w:val="005331D4"/>
    <w:rsid w:val="0053737D"/>
    <w:rsid w:val="005414C6"/>
    <w:rsid w:val="005453F8"/>
    <w:rsid w:val="005535C9"/>
    <w:rsid w:val="00555417"/>
    <w:rsid w:val="0056638D"/>
    <w:rsid w:val="00566438"/>
    <w:rsid w:val="005667AB"/>
    <w:rsid w:val="00567674"/>
    <w:rsid w:val="00572D11"/>
    <w:rsid w:val="00572DFF"/>
    <w:rsid w:val="005818CC"/>
    <w:rsid w:val="00592962"/>
    <w:rsid w:val="00592B5F"/>
    <w:rsid w:val="005A2042"/>
    <w:rsid w:val="005A6E6E"/>
    <w:rsid w:val="005C6945"/>
    <w:rsid w:val="005C6EA9"/>
    <w:rsid w:val="005D0D0C"/>
    <w:rsid w:val="005D389E"/>
    <w:rsid w:val="005E17E1"/>
    <w:rsid w:val="005E2239"/>
    <w:rsid w:val="005E6ADE"/>
    <w:rsid w:val="005F53DC"/>
    <w:rsid w:val="00603726"/>
    <w:rsid w:val="006204C0"/>
    <w:rsid w:val="0062458A"/>
    <w:rsid w:val="006260D1"/>
    <w:rsid w:val="006324A5"/>
    <w:rsid w:val="00640E46"/>
    <w:rsid w:val="00661050"/>
    <w:rsid w:val="006656DE"/>
    <w:rsid w:val="006659A7"/>
    <w:rsid w:val="006704F9"/>
    <w:rsid w:val="00670E48"/>
    <w:rsid w:val="006777E8"/>
    <w:rsid w:val="006A16A6"/>
    <w:rsid w:val="006A224B"/>
    <w:rsid w:val="006C20B8"/>
    <w:rsid w:val="006C4CEE"/>
    <w:rsid w:val="006E4B80"/>
    <w:rsid w:val="006E6B3E"/>
    <w:rsid w:val="007173E8"/>
    <w:rsid w:val="00721B48"/>
    <w:rsid w:val="00723B74"/>
    <w:rsid w:val="00724E22"/>
    <w:rsid w:val="0072607D"/>
    <w:rsid w:val="007336C8"/>
    <w:rsid w:val="00735C72"/>
    <w:rsid w:val="007373A0"/>
    <w:rsid w:val="00740450"/>
    <w:rsid w:val="00740561"/>
    <w:rsid w:val="00740ED1"/>
    <w:rsid w:val="007412D7"/>
    <w:rsid w:val="007435F0"/>
    <w:rsid w:val="00751EAE"/>
    <w:rsid w:val="0075640F"/>
    <w:rsid w:val="00765E9E"/>
    <w:rsid w:val="007756EF"/>
    <w:rsid w:val="0078021D"/>
    <w:rsid w:val="00783CEA"/>
    <w:rsid w:val="00784B2A"/>
    <w:rsid w:val="007A2D09"/>
    <w:rsid w:val="007A3D6F"/>
    <w:rsid w:val="007A6AA5"/>
    <w:rsid w:val="007A7B29"/>
    <w:rsid w:val="007B06DD"/>
    <w:rsid w:val="007B29F9"/>
    <w:rsid w:val="007C3362"/>
    <w:rsid w:val="007C6F48"/>
    <w:rsid w:val="007D0C6E"/>
    <w:rsid w:val="007D2688"/>
    <w:rsid w:val="007D2F58"/>
    <w:rsid w:val="007E2AD5"/>
    <w:rsid w:val="007E66DB"/>
    <w:rsid w:val="007F49CE"/>
    <w:rsid w:val="007F5A66"/>
    <w:rsid w:val="00801A9A"/>
    <w:rsid w:val="00804A98"/>
    <w:rsid w:val="00805BFA"/>
    <w:rsid w:val="008131E5"/>
    <w:rsid w:val="00821C10"/>
    <w:rsid w:val="00823A3F"/>
    <w:rsid w:val="00823F25"/>
    <w:rsid w:val="008332CB"/>
    <w:rsid w:val="00833759"/>
    <w:rsid w:val="00843F55"/>
    <w:rsid w:val="008577EF"/>
    <w:rsid w:val="00867B0F"/>
    <w:rsid w:val="00872065"/>
    <w:rsid w:val="008940B9"/>
    <w:rsid w:val="008A28F0"/>
    <w:rsid w:val="008C735F"/>
    <w:rsid w:val="008D0E25"/>
    <w:rsid w:val="008D3152"/>
    <w:rsid w:val="008D412A"/>
    <w:rsid w:val="00926142"/>
    <w:rsid w:val="00935D89"/>
    <w:rsid w:val="00935EA0"/>
    <w:rsid w:val="00936BB9"/>
    <w:rsid w:val="00937447"/>
    <w:rsid w:val="00941B2A"/>
    <w:rsid w:val="00942035"/>
    <w:rsid w:val="00942073"/>
    <w:rsid w:val="00945682"/>
    <w:rsid w:val="00946C00"/>
    <w:rsid w:val="00947F55"/>
    <w:rsid w:val="0095691C"/>
    <w:rsid w:val="00964653"/>
    <w:rsid w:val="009749BA"/>
    <w:rsid w:val="00975B62"/>
    <w:rsid w:val="009913CE"/>
    <w:rsid w:val="00991D5C"/>
    <w:rsid w:val="009936B1"/>
    <w:rsid w:val="00994F83"/>
    <w:rsid w:val="009A14CB"/>
    <w:rsid w:val="009B4D08"/>
    <w:rsid w:val="009B5BE6"/>
    <w:rsid w:val="009C033C"/>
    <w:rsid w:val="009C161D"/>
    <w:rsid w:val="009C1CE0"/>
    <w:rsid w:val="009C6A48"/>
    <w:rsid w:val="009D1344"/>
    <w:rsid w:val="009D2654"/>
    <w:rsid w:val="009E7D8D"/>
    <w:rsid w:val="009F60CF"/>
    <w:rsid w:val="00A00673"/>
    <w:rsid w:val="00A17802"/>
    <w:rsid w:val="00A2077A"/>
    <w:rsid w:val="00A3069C"/>
    <w:rsid w:val="00A30825"/>
    <w:rsid w:val="00A31E99"/>
    <w:rsid w:val="00A31F92"/>
    <w:rsid w:val="00A33F2F"/>
    <w:rsid w:val="00A33F8C"/>
    <w:rsid w:val="00A417D2"/>
    <w:rsid w:val="00A46348"/>
    <w:rsid w:val="00A50EB6"/>
    <w:rsid w:val="00A60694"/>
    <w:rsid w:val="00A63E19"/>
    <w:rsid w:val="00A672FA"/>
    <w:rsid w:val="00A761C0"/>
    <w:rsid w:val="00A824EF"/>
    <w:rsid w:val="00A8781A"/>
    <w:rsid w:val="00A907FE"/>
    <w:rsid w:val="00AB6A03"/>
    <w:rsid w:val="00AC6F26"/>
    <w:rsid w:val="00AC7F6F"/>
    <w:rsid w:val="00AD1BEC"/>
    <w:rsid w:val="00AD2DE3"/>
    <w:rsid w:val="00AF0E23"/>
    <w:rsid w:val="00AF6AE6"/>
    <w:rsid w:val="00B01E46"/>
    <w:rsid w:val="00B022B0"/>
    <w:rsid w:val="00B13CA5"/>
    <w:rsid w:val="00B165C7"/>
    <w:rsid w:val="00B226B0"/>
    <w:rsid w:val="00B30A0E"/>
    <w:rsid w:val="00B32548"/>
    <w:rsid w:val="00B343E2"/>
    <w:rsid w:val="00B428FF"/>
    <w:rsid w:val="00B47A72"/>
    <w:rsid w:val="00B47AE1"/>
    <w:rsid w:val="00B50941"/>
    <w:rsid w:val="00B6342F"/>
    <w:rsid w:val="00B64192"/>
    <w:rsid w:val="00B825F1"/>
    <w:rsid w:val="00B8532A"/>
    <w:rsid w:val="00B92EC4"/>
    <w:rsid w:val="00B96E54"/>
    <w:rsid w:val="00BA5876"/>
    <w:rsid w:val="00BA5AE1"/>
    <w:rsid w:val="00BD1BFA"/>
    <w:rsid w:val="00BF2397"/>
    <w:rsid w:val="00BF27B3"/>
    <w:rsid w:val="00BF6061"/>
    <w:rsid w:val="00C0007E"/>
    <w:rsid w:val="00C02CE7"/>
    <w:rsid w:val="00C07BCD"/>
    <w:rsid w:val="00C17F78"/>
    <w:rsid w:val="00C348BA"/>
    <w:rsid w:val="00C35C16"/>
    <w:rsid w:val="00C6259A"/>
    <w:rsid w:val="00C7016F"/>
    <w:rsid w:val="00C7082B"/>
    <w:rsid w:val="00C73D1C"/>
    <w:rsid w:val="00C757F1"/>
    <w:rsid w:val="00C764CC"/>
    <w:rsid w:val="00C83F31"/>
    <w:rsid w:val="00C862B5"/>
    <w:rsid w:val="00C94AAC"/>
    <w:rsid w:val="00CA1017"/>
    <w:rsid w:val="00CA19DA"/>
    <w:rsid w:val="00CA35E6"/>
    <w:rsid w:val="00CA3777"/>
    <w:rsid w:val="00CA561A"/>
    <w:rsid w:val="00CB60F5"/>
    <w:rsid w:val="00CE1E3D"/>
    <w:rsid w:val="00CF321C"/>
    <w:rsid w:val="00CF798D"/>
    <w:rsid w:val="00D00532"/>
    <w:rsid w:val="00D022DF"/>
    <w:rsid w:val="00D05039"/>
    <w:rsid w:val="00D14D72"/>
    <w:rsid w:val="00D158D9"/>
    <w:rsid w:val="00D1636F"/>
    <w:rsid w:val="00D4321A"/>
    <w:rsid w:val="00D44914"/>
    <w:rsid w:val="00D45B4E"/>
    <w:rsid w:val="00D45DCC"/>
    <w:rsid w:val="00D62338"/>
    <w:rsid w:val="00D63643"/>
    <w:rsid w:val="00D74CDC"/>
    <w:rsid w:val="00D7787C"/>
    <w:rsid w:val="00D92C01"/>
    <w:rsid w:val="00D94326"/>
    <w:rsid w:val="00D95EB5"/>
    <w:rsid w:val="00DA006B"/>
    <w:rsid w:val="00DB423D"/>
    <w:rsid w:val="00DC0AF1"/>
    <w:rsid w:val="00DC2C41"/>
    <w:rsid w:val="00DD3068"/>
    <w:rsid w:val="00DD58E7"/>
    <w:rsid w:val="00DE3659"/>
    <w:rsid w:val="00E05896"/>
    <w:rsid w:val="00E172CE"/>
    <w:rsid w:val="00E378BD"/>
    <w:rsid w:val="00E47466"/>
    <w:rsid w:val="00E4774A"/>
    <w:rsid w:val="00E524AC"/>
    <w:rsid w:val="00E603AF"/>
    <w:rsid w:val="00E643D1"/>
    <w:rsid w:val="00E64CD2"/>
    <w:rsid w:val="00E67978"/>
    <w:rsid w:val="00E724D8"/>
    <w:rsid w:val="00E87963"/>
    <w:rsid w:val="00E90488"/>
    <w:rsid w:val="00E90ADA"/>
    <w:rsid w:val="00EB2D40"/>
    <w:rsid w:val="00EB309F"/>
    <w:rsid w:val="00EB6C46"/>
    <w:rsid w:val="00EC377A"/>
    <w:rsid w:val="00ED1418"/>
    <w:rsid w:val="00EE12B5"/>
    <w:rsid w:val="00EE4BA4"/>
    <w:rsid w:val="00EF1015"/>
    <w:rsid w:val="00EF4149"/>
    <w:rsid w:val="00F10E64"/>
    <w:rsid w:val="00F1510B"/>
    <w:rsid w:val="00F15575"/>
    <w:rsid w:val="00F17470"/>
    <w:rsid w:val="00F31828"/>
    <w:rsid w:val="00F3264E"/>
    <w:rsid w:val="00F46EAF"/>
    <w:rsid w:val="00F534B3"/>
    <w:rsid w:val="00F53B70"/>
    <w:rsid w:val="00F5658D"/>
    <w:rsid w:val="00F64BAB"/>
    <w:rsid w:val="00F72892"/>
    <w:rsid w:val="00F85645"/>
    <w:rsid w:val="00F85EE3"/>
    <w:rsid w:val="00F95D52"/>
    <w:rsid w:val="00FA0463"/>
    <w:rsid w:val="00FA3890"/>
    <w:rsid w:val="00FA7927"/>
    <w:rsid w:val="00FB0B5F"/>
    <w:rsid w:val="00FB2E5C"/>
    <w:rsid w:val="00FB44A9"/>
    <w:rsid w:val="00FB6CF9"/>
    <w:rsid w:val="00FB700B"/>
    <w:rsid w:val="00FB72DA"/>
    <w:rsid w:val="00FB7A07"/>
    <w:rsid w:val="00FC1C43"/>
    <w:rsid w:val="00FC7904"/>
    <w:rsid w:val="00FC7BFB"/>
    <w:rsid w:val="00FD3C94"/>
    <w:rsid w:val="00FD6B09"/>
    <w:rsid w:val="00FE1CCC"/>
    <w:rsid w:val="00FE1FC6"/>
    <w:rsid w:val="00FE316B"/>
    <w:rsid w:val="00FE7F61"/>
    <w:rsid w:val="29DE7A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F1A3F"/>
  <w15:docId w15:val="{81140CD0-BCB1-4080-9E89-36F630A0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fr-CA"/>
    </w:rPr>
  </w:style>
  <w:style w:type="paragraph" w:styleId="Heading1">
    <w:name w:val="heading 1"/>
    <w:basedOn w:val="Normal"/>
    <w:next w:val="Normal"/>
    <w:link w:val="Heading1Char"/>
    <w:uiPriority w:val="9"/>
    <w:qFormat/>
    <w:rsid w:val="00343C88"/>
    <w:pPr>
      <w:keepNext/>
      <w:keepLines/>
      <w:spacing w:before="240" w:after="0"/>
      <w:outlineLvl w:val="0"/>
    </w:pPr>
    <w:rPr>
      <w:rFonts w:ascii="Calibri Light" w:hAnsi="Calibri Light"/>
      <w:color w:val="2F5496"/>
      <w:sz w:val="32"/>
      <w:szCs w:val="32"/>
    </w:rPr>
  </w:style>
  <w:style w:type="paragraph" w:styleId="Heading2">
    <w:name w:val="heading 2"/>
    <w:basedOn w:val="Normal"/>
    <w:next w:val="Normal"/>
    <w:link w:val="Heading2Char"/>
    <w:uiPriority w:val="9"/>
    <w:unhideWhenUsed/>
    <w:qFormat/>
    <w:rsid w:val="000F778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2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72CE"/>
    <w:rPr>
      <w:rFonts w:ascii="Segoe UI" w:hAnsi="Segoe UI" w:cs="Segoe UI"/>
      <w:sz w:val="18"/>
      <w:szCs w:val="18"/>
    </w:rPr>
  </w:style>
  <w:style w:type="paragraph" w:styleId="ListParagraph">
    <w:name w:val="List Paragraph"/>
    <w:basedOn w:val="Normal"/>
    <w:uiPriority w:val="34"/>
    <w:qFormat/>
    <w:rsid w:val="00304397"/>
    <w:pPr>
      <w:ind w:left="720"/>
      <w:contextualSpacing/>
    </w:pPr>
  </w:style>
  <w:style w:type="character" w:styleId="CommentReference">
    <w:name w:val="annotation reference"/>
    <w:uiPriority w:val="99"/>
    <w:semiHidden/>
    <w:unhideWhenUsed/>
    <w:rsid w:val="002771AE"/>
    <w:rPr>
      <w:sz w:val="16"/>
      <w:szCs w:val="16"/>
    </w:rPr>
  </w:style>
  <w:style w:type="paragraph" w:styleId="CommentText">
    <w:name w:val="annotation text"/>
    <w:basedOn w:val="Normal"/>
    <w:link w:val="CommentTextChar"/>
    <w:uiPriority w:val="99"/>
    <w:semiHidden/>
    <w:unhideWhenUsed/>
    <w:rsid w:val="002771AE"/>
    <w:pPr>
      <w:spacing w:line="240" w:lineRule="auto"/>
    </w:pPr>
    <w:rPr>
      <w:sz w:val="20"/>
      <w:szCs w:val="20"/>
    </w:rPr>
  </w:style>
  <w:style w:type="character" w:customStyle="1" w:styleId="CommentTextChar">
    <w:name w:val="Comment Text Char"/>
    <w:link w:val="CommentText"/>
    <w:uiPriority w:val="99"/>
    <w:semiHidden/>
    <w:rsid w:val="002771AE"/>
    <w:rPr>
      <w:sz w:val="20"/>
      <w:szCs w:val="20"/>
    </w:rPr>
  </w:style>
  <w:style w:type="paragraph" w:styleId="CommentSubject">
    <w:name w:val="annotation subject"/>
    <w:basedOn w:val="CommentText"/>
    <w:next w:val="CommentText"/>
    <w:link w:val="CommentSubjectChar"/>
    <w:uiPriority w:val="99"/>
    <w:semiHidden/>
    <w:unhideWhenUsed/>
    <w:rsid w:val="002771AE"/>
    <w:rPr>
      <w:b/>
      <w:bCs/>
    </w:rPr>
  </w:style>
  <w:style w:type="character" w:customStyle="1" w:styleId="CommentSubjectChar">
    <w:name w:val="Comment Subject Char"/>
    <w:link w:val="CommentSubject"/>
    <w:uiPriority w:val="99"/>
    <w:semiHidden/>
    <w:rsid w:val="002771AE"/>
    <w:rPr>
      <w:b/>
      <w:bCs/>
      <w:sz w:val="20"/>
      <w:szCs w:val="20"/>
    </w:rPr>
  </w:style>
  <w:style w:type="table" w:styleId="TableGrid">
    <w:name w:val="Table Grid"/>
    <w:basedOn w:val="TableNormal"/>
    <w:uiPriority w:val="39"/>
    <w:rsid w:val="00DA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6171A"/>
    <w:rPr>
      <w:color w:val="0563C1"/>
      <w:u w:val="single"/>
    </w:rPr>
  </w:style>
  <w:style w:type="character" w:customStyle="1" w:styleId="UnresolvedMention">
    <w:name w:val="Unresolved Mention"/>
    <w:uiPriority w:val="99"/>
    <w:semiHidden/>
    <w:unhideWhenUsed/>
    <w:rsid w:val="0046171A"/>
    <w:rPr>
      <w:color w:val="605E5C"/>
      <w:shd w:val="clear" w:color="auto" w:fill="E1DFDD"/>
    </w:rPr>
  </w:style>
  <w:style w:type="character" w:styleId="FollowedHyperlink">
    <w:name w:val="FollowedHyperlink"/>
    <w:uiPriority w:val="99"/>
    <w:semiHidden/>
    <w:unhideWhenUsed/>
    <w:rsid w:val="00724E22"/>
    <w:rPr>
      <w:color w:val="954F72"/>
      <w:u w:val="single"/>
    </w:rPr>
  </w:style>
  <w:style w:type="paragraph" w:styleId="Header">
    <w:name w:val="header"/>
    <w:basedOn w:val="Normal"/>
    <w:link w:val="HeaderChar"/>
    <w:uiPriority w:val="99"/>
    <w:unhideWhenUsed/>
    <w:rsid w:val="00E8796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7963"/>
  </w:style>
  <w:style w:type="paragraph" w:styleId="Footer">
    <w:name w:val="footer"/>
    <w:basedOn w:val="Normal"/>
    <w:link w:val="FooterChar"/>
    <w:uiPriority w:val="99"/>
    <w:unhideWhenUsed/>
    <w:rsid w:val="00E87963"/>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7963"/>
  </w:style>
  <w:style w:type="paragraph" w:styleId="Revision">
    <w:name w:val="Revision"/>
    <w:hidden/>
    <w:uiPriority w:val="99"/>
    <w:semiHidden/>
    <w:rsid w:val="00223495"/>
    <w:rPr>
      <w:sz w:val="22"/>
      <w:szCs w:val="22"/>
      <w:lang w:eastAsia="fr-CA"/>
    </w:rPr>
  </w:style>
  <w:style w:type="paragraph" w:styleId="NormalWeb">
    <w:name w:val="Normal (Web)"/>
    <w:basedOn w:val="Normal"/>
    <w:uiPriority w:val="99"/>
    <w:semiHidden/>
    <w:unhideWhenUsed/>
    <w:rsid w:val="00821C10"/>
    <w:pPr>
      <w:spacing w:before="100" w:beforeAutospacing="1" w:after="100" w:afterAutospacing="1" w:line="240" w:lineRule="auto"/>
    </w:pPr>
    <w:rPr>
      <w:rFonts w:ascii="Times New Roman" w:hAnsi="Times New Roman"/>
      <w:sz w:val="24"/>
      <w:szCs w:val="24"/>
      <w:lang w:val="fr-CA"/>
    </w:rPr>
  </w:style>
  <w:style w:type="character" w:customStyle="1" w:styleId="Heading1Char">
    <w:name w:val="Heading 1 Char"/>
    <w:link w:val="Heading1"/>
    <w:uiPriority w:val="9"/>
    <w:rsid w:val="00343C88"/>
    <w:rPr>
      <w:rFonts w:ascii="Calibri Light" w:eastAsia="Times New Roman" w:hAnsi="Calibri Light" w:cs="Times New Roman"/>
      <w:color w:val="2F5496"/>
      <w:sz w:val="32"/>
      <w:szCs w:val="32"/>
      <w:lang w:val="en-CA"/>
    </w:rPr>
  </w:style>
  <w:style w:type="character" w:customStyle="1" w:styleId="Heading2Char">
    <w:name w:val="Heading 2 Char"/>
    <w:link w:val="Heading2"/>
    <w:uiPriority w:val="9"/>
    <w:rsid w:val="000F7782"/>
    <w:rPr>
      <w:rFonts w:ascii="Calibri Light" w:eastAsia="Times New Roman" w:hAnsi="Calibri Light" w:cs="Times New Roman"/>
      <w:b/>
      <w:bCs/>
      <w:i/>
      <w:iCs/>
      <w:sz w:val="28"/>
      <w:szCs w:val="28"/>
      <w:lang w:val="en-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3500">
      <w:bodyDiv w:val="1"/>
      <w:marLeft w:val="0"/>
      <w:marRight w:val="0"/>
      <w:marTop w:val="0"/>
      <w:marBottom w:val="0"/>
      <w:divBdr>
        <w:top w:val="none" w:sz="0" w:space="0" w:color="auto"/>
        <w:left w:val="none" w:sz="0" w:space="0" w:color="auto"/>
        <w:bottom w:val="none" w:sz="0" w:space="0" w:color="auto"/>
        <w:right w:val="none" w:sz="0" w:space="0" w:color="auto"/>
      </w:divBdr>
    </w:div>
    <w:div w:id="116919323">
      <w:bodyDiv w:val="1"/>
      <w:marLeft w:val="0"/>
      <w:marRight w:val="0"/>
      <w:marTop w:val="0"/>
      <w:marBottom w:val="0"/>
      <w:divBdr>
        <w:top w:val="none" w:sz="0" w:space="0" w:color="auto"/>
        <w:left w:val="none" w:sz="0" w:space="0" w:color="auto"/>
        <w:bottom w:val="none" w:sz="0" w:space="0" w:color="auto"/>
        <w:right w:val="none" w:sz="0" w:space="0" w:color="auto"/>
      </w:divBdr>
    </w:div>
    <w:div w:id="179050101">
      <w:bodyDiv w:val="1"/>
      <w:marLeft w:val="0"/>
      <w:marRight w:val="0"/>
      <w:marTop w:val="0"/>
      <w:marBottom w:val="0"/>
      <w:divBdr>
        <w:top w:val="none" w:sz="0" w:space="0" w:color="auto"/>
        <w:left w:val="none" w:sz="0" w:space="0" w:color="auto"/>
        <w:bottom w:val="none" w:sz="0" w:space="0" w:color="auto"/>
        <w:right w:val="none" w:sz="0" w:space="0" w:color="auto"/>
      </w:divBdr>
    </w:div>
    <w:div w:id="201402506">
      <w:bodyDiv w:val="1"/>
      <w:marLeft w:val="0"/>
      <w:marRight w:val="0"/>
      <w:marTop w:val="0"/>
      <w:marBottom w:val="0"/>
      <w:divBdr>
        <w:top w:val="none" w:sz="0" w:space="0" w:color="auto"/>
        <w:left w:val="none" w:sz="0" w:space="0" w:color="auto"/>
        <w:bottom w:val="none" w:sz="0" w:space="0" w:color="auto"/>
        <w:right w:val="none" w:sz="0" w:space="0" w:color="auto"/>
      </w:divBdr>
    </w:div>
    <w:div w:id="240220996">
      <w:bodyDiv w:val="1"/>
      <w:marLeft w:val="0"/>
      <w:marRight w:val="0"/>
      <w:marTop w:val="0"/>
      <w:marBottom w:val="0"/>
      <w:divBdr>
        <w:top w:val="none" w:sz="0" w:space="0" w:color="auto"/>
        <w:left w:val="none" w:sz="0" w:space="0" w:color="auto"/>
        <w:bottom w:val="none" w:sz="0" w:space="0" w:color="auto"/>
        <w:right w:val="none" w:sz="0" w:space="0" w:color="auto"/>
      </w:divBdr>
    </w:div>
    <w:div w:id="276255825">
      <w:bodyDiv w:val="1"/>
      <w:marLeft w:val="0"/>
      <w:marRight w:val="0"/>
      <w:marTop w:val="0"/>
      <w:marBottom w:val="0"/>
      <w:divBdr>
        <w:top w:val="none" w:sz="0" w:space="0" w:color="auto"/>
        <w:left w:val="none" w:sz="0" w:space="0" w:color="auto"/>
        <w:bottom w:val="none" w:sz="0" w:space="0" w:color="auto"/>
        <w:right w:val="none" w:sz="0" w:space="0" w:color="auto"/>
      </w:divBdr>
    </w:div>
    <w:div w:id="290215014">
      <w:bodyDiv w:val="1"/>
      <w:marLeft w:val="0"/>
      <w:marRight w:val="0"/>
      <w:marTop w:val="0"/>
      <w:marBottom w:val="0"/>
      <w:divBdr>
        <w:top w:val="none" w:sz="0" w:space="0" w:color="auto"/>
        <w:left w:val="none" w:sz="0" w:space="0" w:color="auto"/>
        <w:bottom w:val="none" w:sz="0" w:space="0" w:color="auto"/>
        <w:right w:val="none" w:sz="0" w:space="0" w:color="auto"/>
      </w:divBdr>
    </w:div>
    <w:div w:id="355273462">
      <w:bodyDiv w:val="1"/>
      <w:marLeft w:val="0"/>
      <w:marRight w:val="0"/>
      <w:marTop w:val="0"/>
      <w:marBottom w:val="0"/>
      <w:divBdr>
        <w:top w:val="none" w:sz="0" w:space="0" w:color="auto"/>
        <w:left w:val="none" w:sz="0" w:space="0" w:color="auto"/>
        <w:bottom w:val="none" w:sz="0" w:space="0" w:color="auto"/>
        <w:right w:val="none" w:sz="0" w:space="0" w:color="auto"/>
      </w:divBdr>
    </w:div>
    <w:div w:id="367218733">
      <w:bodyDiv w:val="1"/>
      <w:marLeft w:val="0"/>
      <w:marRight w:val="0"/>
      <w:marTop w:val="0"/>
      <w:marBottom w:val="0"/>
      <w:divBdr>
        <w:top w:val="none" w:sz="0" w:space="0" w:color="auto"/>
        <w:left w:val="none" w:sz="0" w:space="0" w:color="auto"/>
        <w:bottom w:val="none" w:sz="0" w:space="0" w:color="auto"/>
        <w:right w:val="none" w:sz="0" w:space="0" w:color="auto"/>
      </w:divBdr>
    </w:div>
    <w:div w:id="489564649">
      <w:bodyDiv w:val="1"/>
      <w:marLeft w:val="0"/>
      <w:marRight w:val="0"/>
      <w:marTop w:val="0"/>
      <w:marBottom w:val="0"/>
      <w:divBdr>
        <w:top w:val="none" w:sz="0" w:space="0" w:color="auto"/>
        <w:left w:val="none" w:sz="0" w:space="0" w:color="auto"/>
        <w:bottom w:val="none" w:sz="0" w:space="0" w:color="auto"/>
        <w:right w:val="none" w:sz="0" w:space="0" w:color="auto"/>
      </w:divBdr>
    </w:div>
    <w:div w:id="596013962">
      <w:bodyDiv w:val="1"/>
      <w:marLeft w:val="0"/>
      <w:marRight w:val="0"/>
      <w:marTop w:val="0"/>
      <w:marBottom w:val="0"/>
      <w:divBdr>
        <w:top w:val="none" w:sz="0" w:space="0" w:color="auto"/>
        <w:left w:val="none" w:sz="0" w:space="0" w:color="auto"/>
        <w:bottom w:val="none" w:sz="0" w:space="0" w:color="auto"/>
        <w:right w:val="none" w:sz="0" w:space="0" w:color="auto"/>
      </w:divBdr>
    </w:div>
    <w:div w:id="659306068">
      <w:bodyDiv w:val="1"/>
      <w:marLeft w:val="0"/>
      <w:marRight w:val="0"/>
      <w:marTop w:val="0"/>
      <w:marBottom w:val="0"/>
      <w:divBdr>
        <w:top w:val="none" w:sz="0" w:space="0" w:color="auto"/>
        <w:left w:val="none" w:sz="0" w:space="0" w:color="auto"/>
        <w:bottom w:val="none" w:sz="0" w:space="0" w:color="auto"/>
        <w:right w:val="none" w:sz="0" w:space="0" w:color="auto"/>
      </w:divBdr>
    </w:div>
    <w:div w:id="780730781">
      <w:bodyDiv w:val="1"/>
      <w:marLeft w:val="0"/>
      <w:marRight w:val="0"/>
      <w:marTop w:val="0"/>
      <w:marBottom w:val="0"/>
      <w:divBdr>
        <w:top w:val="none" w:sz="0" w:space="0" w:color="auto"/>
        <w:left w:val="none" w:sz="0" w:space="0" w:color="auto"/>
        <w:bottom w:val="none" w:sz="0" w:space="0" w:color="auto"/>
        <w:right w:val="none" w:sz="0" w:space="0" w:color="auto"/>
      </w:divBdr>
    </w:div>
    <w:div w:id="868297996">
      <w:bodyDiv w:val="1"/>
      <w:marLeft w:val="0"/>
      <w:marRight w:val="0"/>
      <w:marTop w:val="0"/>
      <w:marBottom w:val="0"/>
      <w:divBdr>
        <w:top w:val="none" w:sz="0" w:space="0" w:color="auto"/>
        <w:left w:val="none" w:sz="0" w:space="0" w:color="auto"/>
        <w:bottom w:val="none" w:sz="0" w:space="0" w:color="auto"/>
        <w:right w:val="none" w:sz="0" w:space="0" w:color="auto"/>
      </w:divBdr>
    </w:div>
    <w:div w:id="963191766">
      <w:bodyDiv w:val="1"/>
      <w:marLeft w:val="0"/>
      <w:marRight w:val="0"/>
      <w:marTop w:val="0"/>
      <w:marBottom w:val="0"/>
      <w:divBdr>
        <w:top w:val="none" w:sz="0" w:space="0" w:color="auto"/>
        <w:left w:val="none" w:sz="0" w:space="0" w:color="auto"/>
        <w:bottom w:val="none" w:sz="0" w:space="0" w:color="auto"/>
        <w:right w:val="none" w:sz="0" w:space="0" w:color="auto"/>
      </w:divBdr>
    </w:div>
    <w:div w:id="1254972592">
      <w:bodyDiv w:val="1"/>
      <w:marLeft w:val="0"/>
      <w:marRight w:val="0"/>
      <w:marTop w:val="0"/>
      <w:marBottom w:val="0"/>
      <w:divBdr>
        <w:top w:val="none" w:sz="0" w:space="0" w:color="auto"/>
        <w:left w:val="none" w:sz="0" w:space="0" w:color="auto"/>
        <w:bottom w:val="none" w:sz="0" w:space="0" w:color="auto"/>
        <w:right w:val="none" w:sz="0" w:space="0" w:color="auto"/>
      </w:divBdr>
    </w:div>
    <w:div w:id="1263026974">
      <w:bodyDiv w:val="1"/>
      <w:marLeft w:val="0"/>
      <w:marRight w:val="0"/>
      <w:marTop w:val="0"/>
      <w:marBottom w:val="0"/>
      <w:divBdr>
        <w:top w:val="none" w:sz="0" w:space="0" w:color="auto"/>
        <w:left w:val="none" w:sz="0" w:space="0" w:color="auto"/>
        <w:bottom w:val="none" w:sz="0" w:space="0" w:color="auto"/>
        <w:right w:val="none" w:sz="0" w:space="0" w:color="auto"/>
      </w:divBdr>
    </w:div>
    <w:div w:id="1267883288">
      <w:bodyDiv w:val="1"/>
      <w:marLeft w:val="0"/>
      <w:marRight w:val="0"/>
      <w:marTop w:val="0"/>
      <w:marBottom w:val="0"/>
      <w:divBdr>
        <w:top w:val="none" w:sz="0" w:space="0" w:color="auto"/>
        <w:left w:val="none" w:sz="0" w:space="0" w:color="auto"/>
        <w:bottom w:val="none" w:sz="0" w:space="0" w:color="auto"/>
        <w:right w:val="none" w:sz="0" w:space="0" w:color="auto"/>
      </w:divBdr>
    </w:div>
    <w:div w:id="1380859982">
      <w:bodyDiv w:val="1"/>
      <w:marLeft w:val="0"/>
      <w:marRight w:val="0"/>
      <w:marTop w:val="0"/>
      <w:marBottom w:val="0"/>
      <w:divBdr>
        <w:top w:val="none" w:sz="0" w:space="0" w:color="auto"/>
        <w:left w:val="none" w:sz="0" w:space="0" w:color="auto"/>
        <w:bottom w:val="none" w:sz="0" w:space="0" w:color="auto"/>
        <w:right w:val="none" w:sz="0" w:space="0" w:color="auto"/>
      </w:divBdr>
    </w:div>
    <w:div w:id="1505705301">
      <w:bodyDiv w:val="1"/>
      <w:marLeft w:val="0"/>
      <w:marRight w:val="0"/>
      <w:marTop w:val="0"/>
      <w:marBottom w:val="0"/>
      <w:divBdr>
        <w:top w:val="none" w:sz="0" w:space="0" w:color="auto"/>
        <w:left w:val="none" w:sz="0" w:space="0" w:color="auto"/>
        <w:bottom w:val="none" w:sz="0" w:space="0" w:color="auto"/>
        <w:right w:val="none" w:sz="0" w:space="0" w:color="auto"/>
      </w:divBdr>
    </w:div>
    <w:div w:id="1664118350">
      <w:bodyDiv w:val="1"/>
      <w:marLeft w:val="0"/>
      <w:marRight w:val="0"/>
      <w:marTop w:val="0"/>
      <w:marBottom w:val="0"/>
      <w:divBdr>
        <w:top w:val="none" w:sz="0" w:space="0" w:color="auto"/>
        <w:left w:val="none" w:sz="0" w:space="0" w:color="auto"/>
        <w:bottom w:val="none" w:sz="0" w:space="0" w:color="auto"/>
        <w:right w:val="none" w:sz="0" w:space="0" w:color="auto"/>
      </w:divBdr>
    </w:div>
    <w:div w:id="1782065008">
      <w:bodyDiv w:val="1"/>
      <w:marLeft w:val="0"/>
      <w:marRight w:val="0"/>
      <w:marTop w:val="0"/>
      <w:marBottom w:val="0"/>
      <w:divBdr>
        <w:top w:val="none" w:sz="0" w:space="0" w:color="auto"/>
        <w:left w:val="none" w:sz="0" w:space="0" w:color="auto"/>
        <w:bottom w:val="none" w:sz="0" w:space="0" w:color="auto"/>
        <w:right w:val="none" w:sz="0" w:space="0" w:color="auto"/>
      </w:divBdr>
    </w:div>
    <w:div w:id="1949316823">
      <w:bodyDiv w:val="1"/>
      <w:marLeft w:val="0"/>
      <w:marRight w:val="0"/>
      <w:marTop w:val="0"/>
      <w:marBottom w:val="0"/>
      <w:divBdr>
        <w:top w:val="none" w:sz="0" w:space="0" w:color="auto"/>
        <w:left w:val="none" w:sz="0" w:space="0" w:color="auto"/>
        <w:bottom w:val="none" w:sz="0" w:space="0" w:color="auto"/>
        <w:right w:val="none" w:sz="0" w:space="0" w:color="auto"/>
      </w:divBdr>
    </w:div>
    <w:div w:id="1991398082">
      <w:bodyDiv w:val="1"/>
      <w:marLeft w:val="0"/>
      <w:marRight w:val="0"/>
      <w:marTop w:val="0"/>
      <w:marBottom w:val="0"/>
      <w:divBdr>
        <w:top w:val="none" w:sz="0" w:space="0" w:color="auto"/>
        <w:left w:val="none" w:sz="0" w:space="0" w:color="auto"/>
        <w:bottom w:val="none" w:sz="0" w:space="0" w:color="auto"/>
        <w:right w:val="none" w:sz="0" w:space="0" w:color="auto"/>
      </w:divBdr>
    </w:div>
    <w:div w:id="2036617526">
      <w:bodyDiv w:val="1"/>
      <w:marLeft w:val="0"/>
      <w:marRight w:val="0"/>
      <w:marTop w:val="0"/>
      <w:marBottom w:val="0"/>
      <w:divBdr>
        <w:top w:val="none" w:sz="0" w:space="0" w:color="auto"/>
        <w:left w:val="none" w:sz="0" w:space="0" w:color="auto"/>
        <w:bottom w:val="none" w:sz="0" w:space="0" w:color="auto"/>
        <w:right w:val="none" w:sz="0" w:space="0" w:color="auto"/>
      </w:divBdr>
    </w:div>
    <w:div w:id="2064137249">
      <w:bodyDiv w:val="1"/>
      <w:marLeft w:val="0"/>
      <w:marRight w:val="0"/>
      <w:marTop w:val="0"/>
      <w:marBottom w:val="0"/>
      <w:divBdr>
        <w:top w:val="none" w:sz="0" w:space="0" w:color="auto"/>
        <w:left w:val="none" w:sz="0" w:space="0" w:color="auto"/>
        <w:bottom w:val="none" w:sz="0" w:space="0" w:color="auto"/>
        <w:right w:val="none" w:sz="0" w:space="0" w:color="auto"/>
      </w:divBdr>
    </w:div>
    <w:div w:id="2094006320">
      <w:bodyDiv w:val="1"/>
      <w:marLeft w:val="0"/>
      <w:marRight w:val="0"/>
      <w:marTop w:val="0"/>
      <w:marBottom w:val="0"/>
      <w:divBdr>
        <w:top w:val="none" w:sz="0" w:space="0" w:color="auto"/>
        <w:left w:val="none" w:sz="0" w:space="0" w:color="auto"/>
        <w:bottom w:val="none" w:sz="0" w:space="0" w:color="auto"/>
        <w:right w:val="none" w:sz="0" w:space="0" w:color="auto"/>
      </w:divBdr>
    </w:div>
    <w:div w:id="2108260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FCACE-E3C8-46F8-83C6-CA16F1A1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2433</Words>
  <Characters>13874</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Bouchard</dc:creator>
  <cp:keywords/>
  <cp:lastModifiedBy>User</cp:lastModifiedBy>
  <cp:revision>2</cp:revision>
  <cp:lastPrinted>2020-12-17T00:53:00Z</cp:lastPrinted>
  <dcterms:created xsi:type="dcterms:W3CDTF">2021-01-04T17:04:00Z</dcterms:created>
  <dcterms:modified xsi:type="dcterms:W3CDTF">2021-01-04T17:04:00Z</dcterms:modified>
</cp:coreProperties>
</file>