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3F302" w14:textId="77777777" w:rsidR="00B026FE" w:rsidRDefault="00B026FE" w:rsidP="00B026FE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14:paraId="324E7DA6" w14:textId="6EDDFD20" w:rsidR="00835D94" w:rsidRPr="00835D94" w:rsidRDefault="00835D94" w:rsidP="00992B17">
      <w:pPr>
        <w:jc w:val="center"/>
        <w:rPr>
          <w:b/>
          <w:color w:val="000000" w:themeColor="text1"/>
          <w:sz w:val="28"/>
          <w:szCs w:val="28"/>
        </w:rPr>
      </w:pPr>
      <w:r w:rsidRPr="0010566A">
        <w:rPr>
          <w:rFonts w:eastAsia="Times New Roman"/>
          <w:b/>
          <w:color w:val="000000" w:themeColor="text1"/>
          <w:sz w:val="28"/>
          <w:szCs w:val="28"/>
        </w:rPr>
        <w:t xml:space="preserve">Atomera </w:t>
      </w:r>
      <w:r w:rsidR="0010566A" w:rsidRPr="0010566A">
        <w:rPr>
          <w:rFonts w:eastAsia="Times New Roman"/>
          <w:b/>
          <w:color w:val="000000" w:themeColor="text1"/>
          <w:sz w:val="28"/>
          <w:szCs w:val="28"/>
        </w:rPr>
        <w:t>t</w:t>
      </w:r>
      <w:r w:rsidR="0010566A" w:rsidRPr="00763486">
        <w:rPr>
          <w:rFonts w:eastAsia="Times New Roman"/>
          <w:b/>
          <w:color w:val="000000" w:themeColor="text1"/>
          <w:sz w:val="28"/>
          <w:szCs w:val="28"/>
        </w:rPr>
        <w:t xml:space="preserve">o </w:t>
      </w:r>
      <w:r w:rsidR="00AC78E2">
        <w:rPr>
          <w:rFonts w:eastAsia="Times New Roman"/>
          <w:b/>
          <w:color w:val="000000" w:themeColor="text1"/>
          <w:sz w:val="28"/>
          <w:szCs w:val="28"/>
        </w:rPr>
        <w:t xml:space="preserve">Present at </w:t>
      </w:r>
      <w:r w:rsidR="00F846D8">
        <w:rPr>
          <w:rFonts w:eastAsia="Times New Roman"/>
          <w:b/>
          <w:color w:val="000000" w:themeColor="text1"/>
          <w:sz w:val="28"/>
          <w:szCs w:val="28"/>
        </w:rPr>
        <w:t xml:space="preserve">the </w:t>
      </w:r>
      <w:r w:rsidR="00E075B9" w:rsidRPr="00E075B9">
        <w:rPr>
          <w:rFonts w:eastAsia="Times New Roman"/>
          <w:b/>
          <w:color w:val="000000" w:themeColor="text1"/>
          <w:sz w:val="28"/>
          <w:szCs w:val="28"/>
        </w:rPr>
        <w:t>23rd Annual Needham Virtual Growth Conference</w:t>
      </w:r>
      <w:r w:rsidR="00AC78E2">
        <w:rPr>
          <w:rFonts w:eastAsia="Times New Roman"/>
          <w:b/>
          <w:color w:val="000000" w:themeColor="text1"/>
          <w:sz w:val="28"/>
          <w:szCs w:val="28"/>
        </w:rPr>
        <w:br/>
      </w:r>
    </w:p>
    <w:p w14:paraId="7878C1E1" w14:textId="77777777" w:rsidR="00B16EA2" w:rsidRPr="00854CDF" w:rsidRDefault="00B16EA2">
      <w:pPr>
        <w:rPr>
          <w:rFonts w:eastAsia="Times New Roman"/>
          <w:color w:val="000000" w:themeColor="text1"/>
        </w:rPr>
      </w:pPr>
    </w:p>
    <w:p w14:paraId="0EA76C3E" w14:textId="4DFEC0F3" w:rsidR="00AC78E2" w:rsidRDefault="00A63C74" w:rsidP="00AC78E2">
      <w:pPr>
        <w:rPr>
          <w:rStyle w:val="Bold"/>
          <w:rFonts w:eastAsiaTheme="minorEastAsia"/>
          <w:b w:val="0"/>
          <w:color w:val="000000" w:themeColor="text1"/>
        </w:rPr>
      </w:pPr>
      <w:r w:rsidRPr="00E135BB">
        <w:rPr>
          <w:rStyle w:val="Bold"/>
          <w:rFonts w:eastAsiaTheme="minorEastAsia"/>
          <w:color w:val="000000" w:themeColor="text1"/>
        </w:rPr>
        <w:t>LOS GATOS, C</w:t>
      </w:r>
      <w:r w:rsidR="00586A32">
        <w:rPr>
          <w:rStyle w:val="Bold"/>
          <w:rFonts w:eastAsiaTheme="minorEastAsia"/>
          <w:color w:val="000000" w:themeColor="text1"/>
        </w:rPr>
        <w:t>alif.</w:t>
      </w:r>
      <w:r w:rsidRPr="00E135BB">
        <w:rPr>
          <w:rStyle w:val="Bold"/>
          <w:rFonts w:eastAsiaTheme="minorEastAsia"/>
          <w:color w:val="000000" w:themeColor="text1"/>
        </w:rPr>
        <w:t xml:space="preserve">, </w:t>
      </w:r>
      <w:r w:rsidR="00586A32" w:rsidRPr="00E135BB">
        <w:rPr>
          <w:rStyle w:val="Bold"/>
          <w:rFonts w:eastAsiaTheme="minorEastAsia"/>
          <w:color w:val="000000" w:themeColor="text1"/>
        </w:rPr>
        <w:t xml:space="preserve">– </w:t>
      </w:r>
      <w:r w:rsidR="00E14F0F">
        <w:rPr>
          <w:rStyle w:val="Bold"/>
          <w:rFonts w:eastAsiaTheme="minorEastAsia"/>
          <w:color w:val="000000" w:themeColor="text1"/>
        </w:rPr>
        <w:t xml:space="preserve">January </w:t>
      </w:r>
      <w:r w:rsidR="00884930">
        <w:rPr>
          <w:rStyle w:val="Bold"/>
          <w:rFonts w:eastAsiaTheme="minorEastAsia"/>
          <w:color w:val="000000" w:themeColor="text1"/>
        </w:rPr>
        <w:t>7</w:t>
      </w:r>
      <w:r w:rsidR="001E04B9">
        <w:rPr>
          <w:rStyle w:val="Bold"/>
          <w:rFonts w:eastAsiaTheme="minorEastAsia"/>
          <w:color w:val="000000" w:themeColor="text1"/>
        </w:rPr>
        <w:t xml:space="preserve">, </w:t>
      </w:r>
      <w:r w:rsidR="00F44084">
        <w:rPr>
          <w:rStyle w:val="Bold"/>
          <w:rFonts w:eastAsiaTheme="minorEastAsia"/>
          <w:color w:val="000000" w:themeColor="text1"/>
        </w:rPr>
        <w:t>202</w:t>
      </w:r>
      <w:r w:rsidR="00E14F0F">
        <w:rPr>
          <w:rStyle w:val="Bold"/>
          <w:rFonts w:eastAsiaTheme="minorEastAsia"/>
          <w:color w:val="000000" w:themeColor="text1"/>
        </w:rPr>
        <w:t>1</w:t>
      </w:r>
      <w:r w:rsidR="00F44084" w:rsidRPr="00E135BB">
        <w:rPr>
          <w:rStyle w:val="Bold"/>
          <w:rFonts w:eastAsiaTheme="minorEastAsia"/>
          <w:b w:val="0"/>
          <w:color w:val="000000" w:themeColor="text1"/>
        </w:rPr>
        <w:t xml:space="preserve"> </w:t>
      </w:r>
      <w:r w:rsidR="008327A8" w:rsidRPr="00E135BB">
        <w:rPr>
          <w:rStyle w:val="Bold"/>
          <w:rFonts w:eastAsiaTheme="minorEastAsia"/>
          <w:color w:val="000000" w:themeColor="text1"/>
        </w:rPr>
        <w:t>–</w:t>
      </w:r>
      <w:r w:rsidRPr="00E135BB">
        <w:rPr>
          <w:rStyle w:val="Bold"/>
          <w:rFonts w:eastAsiaTheme="minorEastAsia"/>
          <w:color w:val="000000" w:themeColor="text1"/>
        </w:rPr>
        <w:t xml:space="preserve"> </w:t>
      </w:r>
      <w:hyperlink r:id="rId8" w:history="1">
        <w:r w:rsidR="008327A8" w:rsidRPr="00E135BB">
          <w:rPr>
            <w:rStyle w:val="Hyperlink"/>
            <w:rFonts w:eastAsiaTheme="minorEastAsia"/>
          </w:rPr>
          <w:t>Atomera Incorporated</w:t>
        </w:r>
      </w:hyperlink>
      <w:r w:rsidR="008327A8" w:rsidRPr="00E135BB">
        <w:rPr>
          <w:rStyle w:val="Bold"/>
          <w:rFonts w:eastAsiaTheme="minorEastAsia"/>
          <w:b w:val="0"/>
          <w:color w:val="000000" w:themeColor="text1"/>
        </w:rPr>
        <w:t xml:space="preserve"> (NASDAQ: </w:t>
      </w:r>
      <w:hyperlink r:id="rId9" w:history="1">
        <w:r w:rsidR="008327A8" w:rsidRPr="00E135BB">
          <w:rPr>
            <w:rStyle w:val="Hyperlink"/>
            <w:rFonts w:eastAsiaTheme="minorEastAsia"/>
          </w:rPr>
          <w:t>ATOM</w:t>
        </w:r>
      </w:hyperlink>
      <w:r w:rsidR="008327A8" w:rsidRPr="00E135BB">
        <w:rPr>
          <w:rStyle w:val="Bold"/>
          <w:rFonts w:eastAsiaTheme="minorEastAsia"/>
          <w:b w:val="0"/>
          <w:color w:val="000000" w:themeColor="text1"/>
        </w:rPr>
        <w:t xml:space="preserve">), </w:t>
      </w:r>
      <w:r w:rsidR="00E14F0F" w:rsidRPr="00E14F0F">
        <w:rPr>
          <w:rStyle w:val="Bold"/>
          <w:rFonts w:eastAsiaTheme="minorEastAsia"/>
          <w:b w:val="0"/>
          <w:color w:val="000000" w:themeColor="text1"/>
        </w:rPr>
        <w:t>a semiconductor materials and licensing company,</w:t>
      </w:r>
      <w:r w:rsidR="008327A8" w:rsidRPr="00E135BB">
        <w:rPr>
          <w:rStyle w:val="Bold"/>
          <w:rFonts w:eastAsiaTheme="minorEastAsia"/>
          <w:b w:val="0"/>
          <w:color w:val="000000" w:themeColor="text1"/>
        </w:rPr>
        <w:t xml:space="preserve"> </w:t>
      </w:r>
      <w:r w:rsidR="00F846D8" w:rsidRPr="00F846D8">
        <w:rPr>
          <w:rStyle w:val="Bold"/>
          <w:rFonts w:eastAsiaTheme="minorEastAsia"/>
          <w:b w:val="0"/>
          <w:color w:val="000000" w:themeColor="text1"/>
        </w:rPr>
        <w:t xml:space="preserve">today announced it will participate in the </w:t>
      </w:r>
      <w:r w:rsidR="00E075B9" w:rsidRPr="00E075B9">
        <w:rPr>
          <w:rStyle w:val="Bold"/>
          <w:rFonts w:eastAsiaTheme="minorEastAsia"/>
          <w:b w:val="0"/>
          <w:color w:val="000000" w:themeColor="text1"/>
        </w:rPr>
        <w:t>23rd Annual Needham Virtual Growth Conference</w:t>
      </w:r>
      <w:r w:rsidR="00F846D8" w:rsidRPr="00F846D8">
        <w:rPr>
          <w:rStyle w:val="Bold"/>
          <w:rFonts w:eastAsiaTheme="minorEastAsia"/>
          <w:b w:val="0"/>
          <w:color w:val="000000" w:themeColor="text1"/>
        </w:rPr>
        <w:t xml:space="preserve"> on </w:t>
      </w:r>
      <w:r w:rsidR="00E075B9">
        <w:rPr>
          <w:rStyle w:val="Bold"/>
          <w:rFonts w:eastAsiaTheme="minorEastAsia"/>
          <w:b w:val="0"/>
          <w:color w:val="000000" w:themeColor="text1"/>
        </w:rPr>
        <w:t>Friday</w:t>
      </w:r>
      <w:r w:rsidR="00F846D8" w:rsidRPr="00F846D8">
        <w:rPr>
          <w:rStyle w:val="Bold"/>
          <w:rFonts w:eastAsiaTheme="minorEastAsia"/>
          <w:b w:val="0"/>
          <w:color w:val="000000" w:themeColor="text1"/>
        </w:rPr>
        <w:t xml:space="preserve">, </w:t>
      </w:r>
      <w:r w:rsidR="00E075B9">
        <w:rPr>
          <w:rStyle w:val="Bold"/>
          <w:rFonts w:eastAsiaTheme="minorEastAsia"/>
          <w:b w:val="0"/>
          <w:color w:val="000000" w:themeColor="text1"/>
        </w:rPr>
        <w:t>Jan</w:t>
      </w:r>
      <w:r w:rsidR="00F846D8">
        <w:rPr>
          <w:rStyle w:val="Bold"/>
          <w:rFonts w:eastAsiaTheme="minorEastAsia"/>
          <w:b w:val="0"/>
          <w:color w:val="000000" w:themeColor="text1"/>
        </w:rPr>
        <w:t xml:space="preserve">. </w:t>
      </w:r>
      <w:r w:rsidR="00F846D8" w:rsidRPr="00F846D8">
        <w:rPr>
          <w:rStyle w:val="Bold"/>
          <w:rFonts w:eastAsiaTheme="minorEastAsia"/>
          <w:b w:val="0"/>
          <w:color w:val="000000" w:themeColor="text1"/>
        </w:rPr>
        <w:t>1</w:t>
      </w:r>
      <w:r w:rsidR="00E075B9">
        <w:rPr>
          <w:rStyle w:val="Bold"/>
          <w:rFonts w:eastAsiaTheme="minorEastAsia"/>
          <w:b w:val="0"/>
          <w:color w:val="000000" w:themeColor="text1"/>
        </w:rPr>
        <w:t>5</w:t>
      </w:r>
      <w:r w:rsidR="00F846D8" w:rsidRPr="00F846D8">
        <w:rPr>
          <w:rStyle w:val="Bold"/>
          <w:rFonts w:eastAsiaTheme="minorEastAsia"/>
          <w:b w:val="0"/>
          <w:color w:val="000000" w:themeColor="text1"/>
        </w:rPr>
        <w:t>, 202</w:t>
      </w:r>
      <w:r w:rsidR="00E075B9">
        <w:rPr>
          <w:rStyle w:val="Bold"/>
          <w:rFonts w:eastAsiaTheme="minorEastAsia"/>
          <w:b w:val="0"/>
          <w:color w:val="000000" w:themeColor="text1"/>
        </w:rPr>
        <w:t>1</w:t>
      </w:r>
      <w:r w:rsidR="00F846D8" w:rsidRPr="00F846D8">
        <w:rPr>
          <w:rStyle w:val="Bold"/>
          <w:rFonts w:eastAsiaTheme="minorEastAsia"/>
          <w:b w:val="0"/>
          <w:color w:val="000000" w:themeColor="text1"/>
        </w:rPr>
        <w:t>.</w:t>
      </w:r>
    </w:p>
    <w:p w14:paraId="345AA719" w14:textId="77777777" w:rsidR="00F846D8" w:rsidRDefault="00F846D8" w:rsidP="00AC78E2">
      <w:pPr>
        <w:rPr>
          <w:rStyle w:val="Bold"/>
          <w:rFonts w:eastAsiaTheme="minorEastAsia"/>
          <w:b w:val="0"/>
          <w:color w:val="000000" w:themeColor="text1"/>
        </w:rPr>
      </w:pPr>
    </w:p>
    <w:p w14:paraId="7C0B6130" w14:textId="076E62B2" w:rsidR="00A568BE" w:rsidRDefault="00A568BE" w:rsidP="00AC78E2">
      <w:pPr>
        <w:rPr>
          <w:rStyle w:val="Bold"/>
          <w:rFonts w:eastAsiaTheme="minorEastAsia"/>
          <w:b w:val="0"/>
          <w:color w:val="000000" w:themeColor="text1"/>
        </w:rPr>
      </w:pPr>
      <w:r w:rsidRPr="00A568BE">
        <w:rPr>
          <w:rStyle w:val="Bold"/>
          <w:rFonts w:eastAsiaTheme="minorEastAsia"/>
          <w:b w:val="0"/>
          <w:color w:val="000000" w:themeColor="text1"/>
        </w:rPr>
        <w:t xml:space="preserve">The presentation is scheduled to begin at </w:t>
      </w:r>
      <w:r w:rsidR="00E075B9">
        <w:rPr>
          <w:rStyle w:val="Bold"/>
          <w:rFonts w:eastAsiaTheme="minorEastAsia"/>
          <w:b w:val="0"/>
          <w:color w:val="000000" w:themeColor="text1"/>
        </w:rPr>
        <w:t>2</w:t>
      </w:r>
      <w:r w:rsidRPr="00A568BE">
        <w:rPr>
          <w:rStyle w:val="Bold"/>
          <w:rFonts w:eastAsiaTheme="minorEastAsia"/>
          <w:b w:val="0"/>
          <w:color w:val="000000" w:themeColor="text1"/>
        </w:rPr>
        <w:t>:</w:t>
      </w:r>
      <w:r w:rsidR="00E075B9">
        <w:rPr>
          <w:rStyle w:val="Bold"/>
          <w:rFonts w:eastAsiaTheme="minorEastAsia"/>
          <w:b w:val="0"/>
          <w:color w:val="000000" w:themeColor="text1"/>
        </w:rPr>
        <w:t>45</w:t>
      </w:r>
      <w:r w:rsidRPr="00A568BE">
        <w:rPr>
          <w:rStyle w:val="Bold"/>
          <w:rFonts w:eastAsiaTheme="minorEastAsia"/>
          <w:b w:val="0"/>
          <w:color w:val="000000" w:themeColor="text1"/>
        </w:rPr>
        <w:t xml:space="preserve"> </w:t>
      </w:r>
      <w:r w:rsidR="00F846D8">
        <w:rPr>
          <w:rStyle w:val="Bold"/>
          <w:rFonts w:eastAsiaTheme="minorEastAsia"/>
          <w:b w:val="0"/>
          <w:color w:val="000000" w:themeColor="text1"/>
        </w:rPr>
        <w:t>p</w:t>
      </w:r>
      <w:r w:rsidRPr="00A568BE">
        <w:rPr>
          <w:rStyle w:val="Bold"/>
          <w:rFonts w:eastAsiaTheme="minorEastAsia"/>
          <w:b w:val="0"/>
          <w:color w:val="000000" w:themeColor="text1"/>
        </w:rPr>
        <w:t xml:space="preserve">.m. </w:t>
      </w:r>
      <w:r w:rsidR="00F846D8">
        <w:rPr>
          <w:rStyle w:val="Bold"/>
          <w:rFonts w:eastAsiaTheme="minorEastAsia"/>
          <w:b w:val="0"/>
          <w:color w:val="000000" w:themeColor="text1"/>
        </w:rPr>
        <w:t>Eastern</w:t>
      </w:r>
      <w:r w:rsidRPr="00A568BE">
        <w:rPr>
          <w:rStyle w:val="Bold"/>
          <w:rFonts w:eastAsiaTheme="minorEastAsia"/>
          <w:b w:val="0"/>
          <w:color w:val="000000" w:themeColor="text1"/>
        </w:rPr>
        <w:t xml:space="preserve"> Time and will be webcast live</w:t>
      </w:r>
      <w:r w:rsidR="00BA335C">
        <w:rPr>
          <w:rStyle w:val="Bold"/>
          <w:rFonts w:eastAsiaTheme="minorEastAsia"/>
          <w:b w:val="0"/>
          <w:color w:val="000000" w:themeColor="text1"/>
        </w:rPr>
        <w:t xml:space="preserve"> </w:t>
      </w:r>
      <w:r w:rsidR="005252FA">
        <w:rPr>
          <w:rStyle w:val="Bold"/>
          <w:rFonts w:eastAsiaTheme="minorEastAsia"/>
          <w:b w:val="0"/>
          <w:color w:val="000000" w:themeColor="text1"/>
        </w:rPr>
        <w:t xml:space="preserve">and </w:t>
      </w:r>
      <w:r w:rsidR="005252FA" w:rsidRPr="00A568BE">
        <w:rPr>
          <w:rStyle w:val="Bold"/>
          <w:rFonts w:eastAsiaTheme="minorEastAsia"/>
          <w:b w:val="0"/>
          <w:color w:val="000000" w:themeColor="text1"/>
        </w:rPr>
        <w:t>available</w:t>
      </w:r>
      <w:r w:rsidRPr="00A568BE">
        <w:rPr>
          <w:rStyle w:val="Bold"/>
          <w:rFonts w:eastAsiaTheme="minorEastAsia"/>
          <w:b w:val="0"/>
          <w:color w:val="000000" w:themeColor="text1"/>
        </w:rPr>
        <w:t xml:space="preserve"> on </w:t>
      </w:r>
      <w:proofErr w:type="spellStart"/>
      <w:r>
        <w:rPr>
          <w:rStyle w:val="Bold"/>
          <w:rFonts w:eastAsiaTheme="minorEastAsia"/>
          <w:b w:val="0"/>
          <w:color w:val="000000" w:themeColor="text1"/>
        </w:rPr>
        <w:t>Atomera’s</w:t>
      </w:r>
      <w:proofErr w:type="spellEnd"/>
      <w:r w:rsidRPr="00A568BE">
        <w:rPr>
          <w:rStyle w:val="Bold"/>
          <w:rFonts w:eastAsiaTheme="minorEastAsia"/>
          <w:b w:val="0"/>
          <w:color w:val="000000" w:themeColor="text1"/>
        </w:rPr>
        <w:t xml:space="preserve"> investor relations website at </w:t>
      </w:r>
      <w:r w:rsidR="005E06B5">
        <w:rPr>
          <w:rStyle w:val="Bold"/>
          <w:rFonts w:eastAsiaTheme="minorEastAsia"/>
          <w:b w:val="0"/>
          <w:color w:val="000000" w:themeColor="text1"/>
        </w:rPr>
        <w:t>ir.atomera.com</w:t>
      </w:r>
      <w:r w:rsidRPr="00A568BE">
        <w:rPr>
          <w:rStyle w:val="Bold"/>
          <w:rFonts w:eastAsiaTheme="minorEastAsia"/>
          <w:b w:val="0"/>
          <w:color w:val="000000" w:themeColor="text1"/>
        </w:rPr>
        <w:t>. The webcast will be archived and available for 90 days.</w:t>
      </w:r>
    </w:p>
    <w:p w14:paraId="5E477547" w14:textId="77777777" w:rsidR="00A568BE" w:rsidRPr="00AC78E2" w:rsidRDefault="00A568BE" w:rsidP="00AC78E2">
      <w:pPr>
        <w:rPr>
          <w:rStyle w:val="Bold"/>
          <w:rFonts w:eastAsiaTheme="minorEastAsia"/>
          <w:b w:val="0"/>
          <w:color w:val="000000" w:themeColor="text1"/>
        </w:rPr>
      </w:pPr>
    </w:p>
    <w:p w14:paraId="62B1E98F" w14:textId="77777777" w:rsidR="00B16EA2" w:rsidRPr="00A04029" w:rsidRDefault="00B16EA2">
      <w:pPr>
        <w:rPr>
          <w:rFonts w:eastAsia="Times New Roman"/>
          <w:color w:val="000000" w:themeColor="text1"/>
        </w:rPr>
      </w:pPr>
    </w:p>
    <w:p w14:paraId="5E59F40E" w14:textId="77777777" w:rsidR="00B16EA2" w:rsidRPr="00A04029" w:rsidRDefault="008327A8">
      <w:pPr>
        <w:outlineLvl w:val="0"/>
        <w:rPr>
          <w:rStyle w:val="Bold"/>
          <w:rFonts w:eastAsiaTheme="minorEastAsia"/>
          <w:color w:val="000000" w:themeColor="text1"/>
        </w:rPr>
      </w:pPr>
      <w:r w:rsidRPr="00A04029">
        <w:rPr>
          <w:rStyle w:val="Bold"/>
          <w:rFonts w:eastAsiaTheme="minorEastAsia"/>
          <w:color w:val="000000" w:themeColor="text1"/>
        </w:rPr>
        <w:t>About Atomera</w:t>
      </w:r>
    </w:p>
    <w:p w14:paraId="2F26FF10" w14:textId="1ADF3E85" w:rsidR="005E5AF9" w:rsidRDefault="00E14F0F">
      <w:pPr>
        <w:rPr>
          <w:rFonts w:eastAsiaTheme="minorEastAsia"/>
        </w:rPr>
      </w:pPr>
      <w:r w:rsidRPr="00E14F0F">
        <w:rPr>
          <w:rFonts w:eastAsiaTheme="minorEastAsia"/>
        </w:rPr>
        <w:t>Atomera Incorporated is a semiconductor materials and technology licensing company focused on deploying its proprietary, silicon-proven technology into the semiconductor industry. For more information, please visit Atomera.com</w:t>
      </w:r>
    </w:p>
    <w:p w14:paraId="016E288C" w14:textId="7A16271F" w:rsidR="00E14F0F" w:rsidRDefault="00E14F0F">
      <w:pPr>
        <w:rPr>
          <w:rFonts w:eastAsiaTheme="minorEastAsia"/>
        </w:rPr>
      </w:pPr>
    </w:p>
    <w:p w14:paraId="3EE7CD2B" w14:textId="77777777" w:rsidR="00E14F0F" w:rsidRDefault="00E14F0F">
      <w:pPr>
        <w:rPr>
          <w:rStyle w:val="Bold"/>
          <w:rFonts w:eastAsiaTheme="minorEastAsia"/>
          <w:b w:val="0"/>
          <w:color w:val="000000" w:themeColor="text1"/>
        </w:rPr>
      </w:pPr>
    </w:p>
    <w:p w14:paraId="0613E4E7" w14:textId="13A035B8" w:rsidR="005E5AF9" w:rsidRPr="005E5AF9" w:rsidRDefault="005E5AF9">
      <w:pPr>
        <w:rPr>
          <w:rStyle w:val="Bold"/>
          <w:rFonts w:eastAsiaTheme="minorEastAsia"/>
          <w:color w:val="000000" w:themeColor="text1"/>
        </w:rPr>
      </w:pPr>
      <w:r w:rsidRPr="005E5AF9">
        <w:rPr>
          <w:rStyle w:val="Bold"/>
          <w:rFonts w:eastAsiaTheme="minorEastAsia"/>
          <w:color w:val="000000" w:themeColor="text1"/>
        </w:rPr>
        <w:t>Investor Contact:</w:t>
      </w:r>
    </w:p>
    <w:p w14:paraId="006BBDBC" w14:textId="1A995164" w:rsidR="001839A9" w:rsidRDefault="001839A9">
      <w:pPr>
        <w:rPr>
          <w:rStyle w:val="Bold"/>
          <w:rFonts w:eastAsiaTheme="minorEastAsia"/>
          <w:b w:val="0"/>
          <w:color w:val="000000" w:themeColor="text1"/>
        </w:rPr>
      </w:pPr>
      <w:r>
        <w:rPr>
          <w:rStyle w:val="Bold"/>
          <w:rFonts w:eastAsiaTheme="minorEastAsia"/>
          <w:b w:val="0"/>
          <w:color w:val="000000" w:themeColor="text1"/>
        </w:rPr>
        <w:t>Bishop IR</w:t>
      </w:r>
    </w:p>
    <w:p w14:paraId="44412E76" w14:textId="203A7FB0" w:rsidR="005E5AF9" w:rsidRDefault="001839A9">
      <w:pPr>
        <w:rPr>
          <w:rStyle w:val="Bold"/>
          <w:rFonts w:eastAsiaTheme="minorEastAsia"/>
          <w:b w:val="0"/>
          <w:color w:val="000000" w:themeColor="text1"/>
        </w:rPr>
      </w:pPr>
      <w:r>
        <w:rPr>
          <w:rStyle w:val="Bold"/>
          <w:rFonts w:eastAsiaTheme="minorEastAsia"/>
          <w:b w:val="0"/>
          <w:color w:val="000000" w:themeColor="text1"/>
        </w:rPr>
        <w:t>Mike Bishop</w:t>
      </w:r>
    </w:p>
    <w:p w14:paraId="043986F3" w14:textId="0601D8F7" w:rsidR="005E5AF9" w:rsidRDefault="0046479D">
      <w:pPr>
        <w:rPr>
          <w:rStyle w:val="Bold"/>
          <w:rFonts w:eastAsiaTheme="minorEastAsia"/>
          <w:b w:val="0"/>
          <w:color w:val="000000" w:themeColor="text1"/>
        </w:rPr>
      </w:pPr>
      <w:r>
        <w:rPr>
          <w:rStyle w:val="Bold"/>
          <w:rFonts w:eastAsiaTheme="minorEastAsia"/>
          <w:b w:val="0"/>
          <w:color w:val="000000" w:themeColor="text1"/>
        </w:rPr>
        <w:t>(</w:t>
      </w:r>
      <w:r w:rsidR="001839A9">
        <w:rPr>
          <w:rStyle w:val="Bold"/>
          <w:rFonts w:eastAsiaTheme="minorEastAsia"/>
          <w:b w:val="0"/>
          <w:color w:val="000000" w:themeColor="text1"/>
        </w:rPr>
        <w:t>415</w:t>
      </w:r>
      <w:r>
        <w:rPr>
          <w:rStyle w:val="Bold"/>
          <w:rFonts w:eastAsiaTheme="minorEastAsia"/>
          <w:b w:val="0"/>
          <w:color w:val="000000" w:themeColor="text1"/>
        </w:rPr>
        <w:t xml:space="preserve">) </w:t>
      </w:r>
      <w:r w:rsidR="001839A9">
        <w:rPr>
          <w:rStyle w:val="Bold"/>
          <w:rFonts w:eastAsiaTheme="minorEastAsia"/>
          <w:b w:val="0"/>
          <w:color w:val="000000" w:themeColor="text1"/>
        </w:rPr>
        <w:t>894-9633</w:t>
      </w:r>
    </w:p>
    <w:p w14:paraId="12CE16F5" w14:textId="2716F8D4" w:rsidR="00B16EA2" w:rsidRPr="0046479D" w:rsidRDefault="005E5AF9">
      <w:pPr>
        <w:rPr>
          <w:rStyle w:val="Bold"/>
          <w:rFonts w:eastAsiaTheme="minorEastAsia"/>
          <w:b w:val="0"/>
          <w:color w:val="000000" w:themeColor="text1"/>
        </w:rPr>
      </w:pPr>
      <w:r>
        <w:rPr>
          <w:rStyle w:val="Bold"/>
          <w:rFonts w:eastAsiaTheme="minorEastAsia"/>
          <w:b w:val="0"/>
          <w:color w:val="000000" w:themeColor="text1"/>
        </w:rPr>
        <w:t>investor@atomera.com</w:t>
      </w:r>
    </w:p>
    <w:sectPr w:rsidR="00B16EA2" w:rsidRPr="0046479D" w:rsidSect="00B026FE">
      <w:footerReference w:type="even" r:id="rId10"/>
      <w:footerReference w:type="default" r:id="rId11"/>
      <w:headerReference w:type="first" r:id="rId12"/>
      <w:pgSz w:w="12240" w:h="15840"/>
      <w:pgMar w:top="720" w:right="1440" w:bottom="806" w:left="1440" w:header="36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337CA" w14:textId="77777777" w:rsidR="00BD6CA5" w:rsidRDefault="00BD6CA5">
      <w:r>
        <w:separator/>
      </w:r>
    </w:p>
  </w:endnote>
  <w:endnote w:type="continuationSeparator" w:id="0">
    <w:p w14:paraId="6F663811" w14:textId="77777777" w:rsidR="00BD6CA5" w:rsidRDefault="00BD6CA5">
      <w:r>
        <w:continuationSeparator/>
      </w:r>
    </w:p>
  </w:endnote>
  <w:endnote w:type="continuationNotice" w:id="1">
    <w:p w14:paraId="735743AD" w14:textId="77777777" w:rsidR="00BD6CA5" w:rsidRDefault="00BD6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Std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PSStd-Regular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2">
    <w:altName w:val="Wingdings 2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14098" w14:textId="77777777" w:rsidR="00B16EA2" w:rsidRDefault="008646DF">
    <w:pPr>
      <w:pStyle w:val="GTDocID"/>
    </w:pPr>
    <w:r>
      <w:fldChar w:fldCharType="begin"/>
    </w:r>
    <w:r>
      <w:instrText xml:space="preserve"> DOCPROPERTY DOCXDOCID DMS=InterwovenIManage Format=&lt;&lt;LIB&gt;&gt; &lt;&lt;NUM&gt;&gt;v&lt;&lt;VER&gt;&gt; PRESERVELOCATION \* MERGEFORMAT </w:instrText>
    </w:r>
    <w:r>
      <w:fldChar w:fldCharType="separate"/>
    </w:r>
    <w:r w:rsidR="0046479D">
      <w:rPr>
        <w:b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985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7BC03FA" w14:textId="64DF70BB" w:rsidR="00B16EA2" w:rsidRDefault="008327A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5C18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926B" w14:textId="77777777" w:rsidR="00BD6CA5" w:rsidRDefault="00BD6CA5">
      <w:r>
        <w:separator/>
      </w:r>
    </w:p>
  </w:footnote>
  <w:footnote w:type="continuationSeparator" w:id="0">
    <w:p w14:paraId="00F644CB" w14:textId="77777777" w:rsidR="00BD6CA5" w:rsidRDefault="00BD6CA5">
      <w:r>
        <w:continuationSeparator/>
      </w:r>
    </w:p>
  </w:footnote>
  <w:footnote w:type="continuationNotice" w:id="1">
    <w:p w14:paraId="2B3162AE" w14:textId="77777777" w:rsidR="00BD6CA5" w:rsidRDefault="00BD6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D890F" w14:textId="718B4A63" w:rsidR="00B026FE" w:rsidRDefault="00B026FE">
    <w:pPr>
      <w:pStyle w:val="Header"/>
    </w:pPr>
    <w:r>
      <w:rPr>
        <w:noProof/>
      </w:rPr>
      <w:drawing>
        <wp:inline distT="0" distB="0" distL="0" distR="0" wp14:anchorId="627C46B9" wp14:editId="23806907">
          <wp:extent cx="1164620" cy="630836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ome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317" cy="637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1AF7B" w14:textId="77777777" w:rsidR="00B026FE" w:rsidRDefault="00B02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4D33"/>
    <w:multiLevelType w:val="hybridMultilevel"/>
    <w:tmpl w:val="A5AC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310"/>
    <w:multiLevelType w:val="multilevel"/>
    <w:tmpl w:val="6E0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A33C9"/>
    <w:multiLevelType w:val="multilevel"/>
    <w:tmpl w:val="A9D6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EF6955"/>
    <w:multiLevelType w:val="hybridMultilevel"/>
    <w:tmpl w:val="F56A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0CA6"/>
    <w:multiLevelType w:val="multilevel"/>
    <w:tmpl w:val="6E0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A1E7B"/>
    <w:multiLevelType w:val="hybridMultilevel"/>
    <w:tmpl w:val="3E36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54438"/>
    <w:multiLevelType w:val="hybridMultilevel"/>
    <w:tmpl w:val="C8EA4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A70851"/>
    <w:multiLevelType w:val="hybridMultilevel"/>
    <w:tmpl w:val="D9949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50486C"/>
    <w:multiLevelType w:val="multilevel"/>
    <w:tmpl w:val="50F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E84FC5"/>
    <w:multiLevelType w:val="hybridMultilevel"/>
    <w:tmpl w:val="D882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A2"/>
    <w:rsid w:val="00002C1C"/>
    <w:rsid w:val="00004794"/>
    <w:rsid w:val="00010206"/>
    <w:rsid w:val="00011419"/>
    <w:rsid w:val="000172A2"/>
    <w:rsid w:val="00022189"/>
    <w:rsid w:val="00036E92"/>
    <w:rsid w:val="00094158"/>
    <w:rsid w:val="000A0850"/>
    <w:rsid w:val="000A4C41"/>
    <w:rsid w:val="000C2820"/>
    <w:rsid w:val="000C390E"/>
    <w:rsid w:val="000D78C4"/>
    <w:rsid w:val="000E3BF6"/>
    <w:rsid w:val="0010566A"/>
    <w:rsid w:val="00131FDB"/>
    <w:rsid w:val="0013767A"/>
    <w:rsid w:val="001839A9"/>
    <w:rsid w:val="00183DDD"/>
    <w:rsid w:val="00190042"/>
    <w:rsid w:val="001C0AB7"/>
    <w:rsid w:val="001D7036"/>
    <w:rsid w:val="001E04B9"/>
    <w:rsid w:val="00200D83"/>
    <w:rsid w:val="00207364"/>
    <w:rsid w:val="00215DB6"/>
    <w:rsid w:val="00256B21"/>
    <w:rsid w:val="002630C2"/>
    <w:rsid w:val="00276A60"/>
    <w:rsid w:val="002821BF"/>
    <w:rsid w:val="00295988"/>
    <w:rsid w:val="00297A78"/>
    <w:rsid w:val="002B7138"/>
    <w:rsid w:val="002C0318"/>
    <w:rsid w:val="002D2891"/>
    <w:rsid w:val="002F6D7F"/>
    <w:rsid w:val="00305C18"/>
    <w:rsid w:val="00322469"/>
    <w:rsid w:val="00374BFD"/>
    <w:rsid w:val="00376747"/>
    <w:rsid w:val="00385DCC"/>
    <w:rsid w:val="0039082E"/>
    <w:rsid w:val="00392BED"/>
    <w:rsid w:val="00394FD9"/>
    <w:rsid w:val="003974CD"/>
    <w:rsid w:val="003A2F4A"/>
    <w:rsid w:val="003F3C23"/>
    <w:rsid w:val="00410628"/>
    <w:rsid w:val="00413B1E"/>
    <w:rsid w:val="00416B09"/>
    <w:rsid w:val="00417101"/>
    <w:rsid w:val="00432EE9"/>
    <w:rsid w:val="00435027"/>
    <w:rsid w:val="00446939"/>
    <w:rsid w:val="0046479D"/>
    <w:rsid w:val="00473249"/>
    <w:rsid w:val="00481153"/>
    <w:rsid w:val="00483C98"/>
    <w:rsid w:val="00493684"/>
    <w:rsid w:val="00494D6C"/>
    <w:rsid w:val="004961BC"/>
    <w:rsid w:val="004A52EF"/>
    <w:rsid w:val="004A5FA5"/>
    <w:rsid w:val="004B4771"/>
    <w:rsid w:val="004D0CEA"/>
    <w:rsid w:val="004E10F1"/>
    <w:rsid w:val="005024C0"/>
    <w:rsid w:val="00506CE8"/>
    <w:rsid w:val="00522129"/>
    <w:rsid w:val="005252FA"/>
    <w:rsid w:val="00534366"/>
    <w:rsid w:val="005366B4"/>
    <w:rsid w:val="00543613"/>
    <w:rsid w:val="00562322"/>
    <w:rsid w:val="005716F8"/>
    <w:rsid w:val="00586A32"/>
    <w:rsid w:val="005A0331"/>
    <w:rsid w:val="005C2E9C"/>
    <w:rsid w:val="005C34C7"/>
    <w:rsid w:val="005D1B51"/>
    <w:rsid w:val="005D6EA0"/>
    <w:rsid w:val="005E06B5"/>
    <w:rsid w:val="005E5AF9"/>
    <w:rsid w:val="005F452A"/>
    <w:rsid w:val="00621A9B"/>
    <w:rsid w:val="00635FAB"/>
    <w:rsid w:val="0063718F"/>
    <w:rsid w:val="00637DE6"/>
    <w:rsid w:val="00671041"/>
    <w:rsid w:val="00682ADA"/>
    <w:rsid w:val="00684515"/>
    <w:rsid w:val="006B1F2C"/>
    <w:rsid w:val="006B2175"/>
    <w:rsid w:val="006C2D26"/>
    <w:rsid w:val="006C7DB2"/>
    <w:rsid w:val="006D5997"/>
    <w:rsid w:val="006D7FF1"/>
    <w:rsid w:val="006F42F1"/>
    <w:rsid w:val="00705A0F"/>
    <w:rsid w:val="00706F81"/>
    <w:rsid w:val="007314FE"/>
    <w:rsid w:val="00753256"/>
    <w:rsid w:val="00763486"/>
    <w:rsid w:val="00763F35"/>
    <w:rsid w:val="00766CB2"/>
    <w:rsid w:val="00777B3A"/>
    <w:rsid w:val="00797A36"/>
    <w:rsid w:val="007C1624"/>
    <w:rsid w:val="007F6818"/>
    <w:rsid w:val="008327A8"/>
    <w:rsid w:val="008335FD"/>
    <w:rsid w:val="00835D94"/>
    <w:rsid w:val="00853512"/>
    <w:rsid w:val="00854CDF"/>
    <w:rsid w:val="008646DF"/>
    <w:rsid w:val="00884930"/>
    <w:rsid w:val="00886AB3"/>
    <w:rsid w:val="008A79C1"/>
    <w:rsid w:val="008C495E"/>
    <w:rsid w:val="008D0876"/>
    <w:rsid w:val="008D28F8"/>
    <w:rsid w:val="00900424"/>
    <w:rsid w:val="00906B19"/>
    <w:rsid w:val="009078A0"/>
    <w:rsid w:val="00921AFF"/>
    <w:rsid w:val="00927A6A"/>
    <w:rsid w:val="00930C8C"/>
    <w:rsid w:val="0094199E"/>
    <w:rsid w:val="00972E2F"/>
    <w:rsid w:val="00992B17"/>
    <w:rsid w:val="00996FAF"/>
    <w:rsid w:val="009D68EF"/>
    <w:rsid w:val="009E5EDC"/>
    <w:rsid w:val="009F73D2"/>
    <w:rsid w:val="00A04029"/>
    <w:rsid w:val="00A25387"/>
    <w:rsid w:val="00A27744"/>
    <w:rsid w:val="00A300E8"/>
    <w:rsid w:val="00A568BE"/>
    <w:rsid w:val="00A607C7"/>
    <w:rsid w:val="00A63641"/>
    <w:rsid w:val="00A63C74"/>
    <w:rsid w:val="00A644C8"/>
    <w:rsid w:val="00A95553"/>
    <w:rsid w:val="00AA1C79"/>
    <w:rsid w:val="00AA77CA"/>
    <w:rsid w:val="00AB527B"/>
    <w:rsid w:val="00AC2A7F"/>
    <w:rsid w:val="00AC78E2"/>
    <w:rsid w:val="00AF1581"/>
    <w:rsid w:val="00B026FE"/>
    <w:rsid w:val="00B14161"/>
    <w:rsid w:val="00B16EA2"/>
    <w:rsid w:val="00B44D9C"/>
    <w:rsid w:val="00B5570C"/>
    <w:rsid w:val="00B56701"/>
    <w:rsid w:val="00B63C6A"/>
    <w:rsid w:val="00B73098"/>
    <w:rsid w:val="00B77977"/>
    <w:rsid w:val="00B87DF4"/>
    <w:rsid w:val="00B9080D"/>
    <w:rsid w:val="00BA3132"/>
    <w:rsid w:val="00BA335C"/>
    <w:rsid w:val="00BD2B50"/>
    <w:rsid w:val="00BD6CA5"/>
    <w:rsid w:val="00BF2D43"/>
    <w:rsid w:val="00C1264F"/>
    <w:rsid w:val="00C3506A"/>
    <w:rsid w:val="00C35E2E"/>
    <w:rsid w:val="00C57D39"/>
    <w:rsid w:val="00C96EE5"/>
    <w:rsid w:val="00C9705C"/>
    <w:rsid w:val="00C972F7"/>
    <w:rsid w:val="00CA7C81"/>
    <w:rsid w:val="00CB04D8"/>
    <w:rsid w:val="00D05BBF"/>
    <w:rsid w:val="00D17349"/>
    <w:rsid w:val="00D370B0"/>
    <w:rsid w:val="00D42AFC"/>
    <w:rsid w:val="00D44D0C"/>
    <w:rsid w:val="00D46617"/>
    <w:rsid w:val="00D55FBB"/>
    <w:rsid w:val="00D632BE"/>
    <w:rsid w:val="00D76DD8"/>
    <w:rsid w:val="00D83405"/>
    <w:rsid w:val="00DD1920"/>
    <w:rsid w:val="00DE1985"/>
    <w:rsid w:val="00DF07F9"/>
    <w:rsid w:val="00E075B9"/>
    <w:rsid w:val="00E135BB"/>
    <w:rsid w:val="00E14F0F"/>
    <w:rsid w:val="00E329E7"/>
    <w:rsid w:val="00E44737"/>
    <w:rsid w:val="00E47908"/>
    <w:rsid w:val="00E559CF"/>
    <w:rsid w:val="00E65C87"/>
    <w:rsid w:val="00E66A9B"/>
    <w:rsid w:val="00E73410"/>
    <w:rsid w:val="00E73603"/>
    <w:rsid w:val="00E80E6B"/>
    <w:rsid w:val="00E8298C"/>
    <w:rsid w:val="00E83986"/>
    <w:rsid w:val="00E976B0"/>
    <w:rsid w:val="00EA16ED"/>
    <w:rsid w:val="00EA172D"/>
    <w:rsid w:val="00EA1DE5"/>
    <w:rsid w:val="00EA457B"/>
    <w:rsid w:val="00EC4601"/>
    <w:rsid w:val="00ED55BF"/>
    <w:rsid w:val="00EE2365"/>
    <w:rsid w:val="00EE4A21"/>
    <w:rsid w:val="00EF6C03"/>
    <w:rsid w:val="00F01B02"/>
    <w:rsid w:val="00F26CA6"/>
    <w:rsid w:val="00F31620"/>
    <w:rsid w:val="00F41F98"/>
    <w:rsid w:val="00F44084"/>
    <w:rsid w:val="00F53F65"/>
    <w:rsid w:val="00F62663"/>
    <w:rsid w:val="00F630EC"/>
    <w:rsid w:val="00F754FA"/>
    <w:rsid w:val="00F75D4B"/>
    <w:rsid w:val="00F846D8"/>
    <w:rsid w:val="00F903CF"/>
    <w:rsid w:val="00F9068D"/>
    <w:rsid w:val="00F95BFB"/>
    <w:rsid w:val="00F960F7"/>
    <w:rsid w:val="00FA3129"/>
    <w:rsid w:val="00FC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E28B5"/>
  <w15:docId w15:val="{45A908D4-E92C-B543-946E-ACEBF590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keepNext/>
      <w:suppressAutoHyphens/>
      <w:spacing w:before="240" w:line="240" w:lineRule="atLeast"/>
      <w:jc w:val="center"/>
    </w:pPr>
    <w:rPr>
      <w:rFonts w:ascii="TimesNewRomanPSStd-Bold" w:hAnsi="TimesNewRomanPSStd-Bold" w:cs="TimesNewRomanPSStd-Bold"/>
      <w:b/>
      <w:bCs/>
      <w:sz w:val="20"/>
      <w:szCs w:val="20"/>
    </w:rPr>
  </w:style>
  <w:style w:type="paragraph" w:customStyle="1" w:styleId="Textflush">
    <w:name w:val="Text_flush"/>
    <w:basedOn w:val="NoParagraphStyle"/>
    <w:uiPriority w:val="99"/>
    <w:pPr>
      <w:suppressAutoHyphens/>
      <w:spacing w:before="200" w:line="240" w:lineRule="atLeast"/>
      <w:jc w:val="both"/>
    </w:pPr>
    <w:rPr>
      <w:rFonts w:ascii="TimesNewRomanPSStd-Regular" w:hAnsi="TimesNewRomanPSStd-Regular" w:cs="TimesNewRomanPSStd-Regular"/>
      <w:sz w:val="20"/>
      <w:szCs w:val="20"/>
    </w:rPr>
  </w:style>
  <w:style w:type="paragraph" w:customStyle="1" w:styleId="Tablefootnotef">
    <w:name w:val="Tablefootnote_f"/>
    <w:basedOn w:val="NoParagraphStyle"/>
    <w:uiPriority w:val="99"/>
    <w:pPr>
      <w:pBdr>
        <w:top w:val="single" w:sz="4" w:space="12" w:color="000000"/>
      </w:pBdr>
      <w:suppressAutoHyphens/>
      <w:spacing w:before="240" w:line="240" w:lineRule="atLeast"/>
      <w:ind w:left="360" w:hanging="360"/>
      <w:jc w:val="both"/>
    </w:pPr>
    <w:rPr>
      <w:rFonts w:ascii="TimesNewRomanPSStd-Regular" w:hAnsi="TimesNewRomanPSStd-Regular" w:cs="TimesNewRomanPSStd-Regular"/>
      <w:sz w:val="20"/>
      <w:szCs w:val="20"/>
    </w:rPr>
  </w:style>
  <w:style w:type="paragraph" w:customStyle="1" w:styleId="Tablefootnotem">
    <w:name w:val="Tablefootnote_m"/>
    <w:basedOn w:val="NoParagraphStyle"/>
    <w:uiPriority w:val="99"/>
    <w:pPr>
      <w:suppressAutoHyphens/>
      <w:spacing w:line="240" w:lineRule="atLeast"/>
      <w:ind w:left="360" w:hanging="360"/>
      <w:jc w:val="both"/>
    </w:pPr>
    <w:rPr>
      <w:rFonts w:ascii="TimesNewRomanPSStd-Regular" w:hAnsi="TimesNewRomanPSStd-Regular" w:cs="TimesNewRomanPSStd-Regular"/>
      <w:sz w:val="20"/>
      <w:szCs w:val="20"/>
    </w:rPr>
  </w:style>
  <w:style w:type="paragraph" w:customStyle="1" w:styleId="RedHiringTextProspectus">
    <w:name w:val="Red Hiring Text (Prospectus)"/>
    <w:basedOn w:val="NoParagraphStyle"/>
    <w:uiPriority w:val="99"/>
    <w:pPr>
      <w:suppressAutoHyphens/>
      <w:spacing w:before="160" w:line="200" w:lineRule="atLeast"/>
      <w:jc w:val="both"/>
    </w:pPr>
    <w:rPr>
      <w:rFonts w:ascii="TimesNewRomanPSStd-Regular" w:hAnsi="TimesNewRomanPSStd-Regular" w:cs="TimesNewRomanPSStd-Regular"/>
      <w:color w:val="D12229"/>
      <w:spacing w:val="-1"/>
      <w:sz w:val="18"/>
      <w:szCs w:val="18"/>
    </w:rPr>
  </w:style>
  <w:style w:type="paragraph" w:customStyle="1" w:styleId="TitleCRedbold">
    <w:name w:val="Title CRed bold"/>
    <w:basedOn w:val="Textflush"/>
    <w:uiPriority w:val="99"/>
    <w:pPr>
      <w:spacing w:after="200"/>
      <w:jc w:val="center"/>
    </w:pPr>
    <w:rPr>
      <w:rFonts w:ascii="TimesNewRomanPSStd-Bold" w:hAnsi="TimesNewRomanPSStd-Bold" w:cs="TimesNewRomanPSStd-Bold"/>
      <w:b/>
      <w:bCs/>
      <w:color w:val="D12229"/>
    </w:rPr>
  </w:style>
  <w:style w:type="paragraph" w:customStyle="1" w:styleId="SumBoxH1">
    <w:name w:val="Sum_Box_H1"/>
    <w:basedOn w:val="NoParagraphStyle"/>
    <w:uiPriority w:val="99"/>
    <w:pPr>
      <w:keepNext/>
      <w:suppressAutoHyphens/>
      <w:spacing w:before="240" w:line="240" w:lineRule="atLeast"/>
      <w:jc w:val="center"/>
    </w:pPr>
    <w:rPr>
      <w:rFonts w:ascii="TimesNewRomanPSStd-Bold" w:hAnsi="TimesNewRomanPSStd-Bold" w:cs="TimesNewRomanPSStd-Bold"/>
      <w:b/>
      <w:bCs/>
      <w:caps/>
      <w:sz w:val="20"/>
      <w:szCs w:val="20"/>
    </w:rPr>
  </w:style>
  <w:style w:type="paragraph" w:customStyle="1" w:styleId="H2">
    <w:name w:val="H2"/>
    <w:basedOn w:val="NoParagraphStyle"/>
    <w:uiPriority w:val="99"/>
    <w:pPr>
      <w:keepNext/>
      <w:suppressAutoHyphens/>
      <w:spacing w:before="240" w:line="240" w:lineRule="atLeast"/>
    </w:pPr>
    <w:rPr>
      <w:rFonts w:ascii="TimesNewRomanPSStd-Bold" w:hAnsi="TimesNewRomanPSStd-Bold" w:cs="TimesNewRomanPSStd-Bold"/>
      <w:b/>
      <w:bCs/>
      <w:sz w:val="20"/>
      <w:szCs w:val="20"/>
    </w:rPr>
  </w:style>
  <w:style w:type="paragraph" w:customStyle="1" w:styleId="BLm">
    <w:name w:val="BL_m"/>
    <w:basedOn w:val="NoParagraphStyle"/>
    <w:uiPriority w:val="99"/>
    <w:pPr>
      <w:suppressAutoHyphens/>
      <w:spacing w:before="200" w:line="240" w:lineRule="atLeast"/>
      <w:ind w:left="720" w:hanging="360"/>
      <w:jc w:val="both"/>
    </w:pPr>
    <w:rPr>
      <w:rFonts w:ascii="TimesNewRomanPSStd-Regular" w:hAnsi="TimesNewRomanPSStd-Regular" w:cs="TimesNewRomanPSStd-Regular"/>
      <w:sz w:val="20"/>
      <w:szCs w:val="20"/>
    </w:rPr>
  </w:style>
  <w:style w:type="paragraph" w:customStyle="1" w:styleId="SumBoxEnd">
    <w:name w:val="Sum_Box_End"/>
    <w:basedOn w:val="NoParagraphStyle"/>
    <w:uiPriority w:val="99"/>
    <w:pPr>
      <w:suppressAutoHyphens/>
      <w:spacing w:before="200" w:line="240" w:lineRule="atLeast"/>
      <w:jc w:val="both"/>
    </w:pPr>
    <w:rPr>
      <w:rFonts w:ascii="TimesNewRomanPSStd-Regular" w:hAnsi="TimesNewRomanPSStd-Regular" w:cs="TimesNewRomanPSStd-Regular"/>
      <w:sz w:val="20"/>
      <w:szCs w:val="20"/>
    </w:rPr>
  </w:style>
  <w:style w:type="paragraph" w:customStyle="1" w:styleId="TCH">
    <w:name w:val="TCH"/>
    <w:basedOn w:val="NoParagraphStyle"/>
    <w:uiPriority w:val="99"/>
    <w:pPr>
      <w:pBdr>
        <w:bottom w:val="single" w:sz="4" w:space="3" w:color="auto"/>
      </w:pBdr>
      <w:suppressAutoHyphens/>
      <w:spacing w:line="220" w:lineRule="atLeast"/>
      <w:ind w:left="60" w:right="60"/>
      <w:jc w:val="center"/>
    </w:pPr>
    <w:rPr>
      <w:rFonts w:ascii="TimesNewRomanPSStd-Bold" w:hAnsi="TimesNewRomanPSStd-Bold" w:cs="TimesNewRomanPSStd-Bold"/>
      <w:b/>
      <w:bCs/>
      <w:sz w:val="18"/>
      <w:szCs w:val="18"/>
      <w:lang w:val="en-GB"/>
    </w:rPr>
  </w:style>
  <w:style w:type="paragraph" w:customStyle="1" w:styleId="Tbody">
    <w:name w:val="Tbody"/>
    <w:basedOn w:val="NoParagraphStyle"/>
    <w:uiPriority w:val="99"/>
    <w:pPr>
      <w:suppressAutoHyphens/>
      <w:spacing w:line="240" w:lineRule="atLeast"/>
      <w:ind w:left="200" w:hanging="200"/>
    </w:pPr>
    <w:rPr>
      <w:rFonts w:ascii="TimesNewRomanPSStd-Regular" w:hAnsi="TimesNewRomanPSStd-Regular" w:cs="TimesNewRomanPSStd-Regular"/>
      <w:sz w:val="20"/>
      <w:szCs w:val="20"/>
      <w:lang w:val="en-GB"/>
    </w:rPr>
  </w:style>
  <w:style w:type="paragraph" w:customStyle="1" w:styleId="Tbodyrightalign">
    <w:name w:val="Tbody_rightalign"/>
    <w:basedOn w:val="Tbody"/>
    <w:uiPriority w:val="99"/>
    <w:pPr>
      <w:ind w:left="0" w:right="60" w:firstLine="0"/>
      <w:jc w:val="right"/>
    </w:pPr>
  </w:style>
  <w:style w:type="paragraph" w:customStyle="1" w:styleId="Tbodybracket">
    <w:name w:val="Tbody_bracket"/>
    <w:basedOn w:val="Tbodyrightalign"/>
    <w:uiPriority w:val="99"/>
    <w:pPr>
      <w:ind w:right="0"/>
    </w:pPr>
  </w:style>
  <w:style w:type="paragraph" w:customStyle="1" w:styleId="Tbodycenteralign">
    <w:name w:val="Tbody_centeralign"/>
    <w:basedOn w:val="Tbody"/>
    <w:uiPriority w:val="99"/>
    <w:pPr>
      <w:ind w:left="0" w:right="60" w:firstLine="0"/>
      <w:jc w:val="center"/>
    </w:pPr>
  </w:style>
  <w:style w:type="paragraph" w:customStyle="1" w:styleId="TCHleft">
    <w:name w:val="TCH_left"/>
    <w:basedOn w:val="TCH"/>
    <w:uiPriority w:val="99"/>
    <w:pPr>
      <w:ind w:left="0"/>
      <w:jc w:val="left"/>
    </w:pPr>
  </w:style>
  <w:style w:type="paragraph" w:customStyle="1" w:styleId="Texttable">
    <w:name w:val="Texttable"/>
    <w:basedOn w:val="NoParagraphStyle"/>
    <w:uiPriority w:val="99"/>
    <w:pPr>
      <w:suppressAutoHyphens/>
      <w:spacing w:line="240" w:lineRule="atLeast"/>
    </w:pPr>
    <w:rPr>
      <w:rFonts w:ascii="TimesNewRomanPSStd-Regular" w:hAnsi="TimesNewRomanPSStd-Regular" w:cs="TimesNewRomanPSStd-Regular"/>
      <w:sz w:val="20"/>
      <w:szCs w:val="20"/>
      <w:lang w:val="en-GB"/>
    </w:rPr>
  </w:style>
  <w:style w:type="paragraph" w:customStyle="1" w:styleId="Texttablewrap">
    <w:name w:val="Texttable_wrap"/>
    <w:basedOn w:val="Texttable"/>
    <w:uiPriority w:val="99"/>
    <w:pPr>
      <w:ind w:left="200" w:hanging="200"/>
    </w:pPr>
  </w:style>
  <w:style w:type="paragraph" w:customStyle="1" w:styleId="Tbodynowrap">
    <w:name w:val="Tbody_nowrap"/>
    <w:basedOn w:val="Tbody"/>
    <w:uiPriority w:val="99"/>
    <w:pPr>
      <w:ind w:left="0" w:firstLine="0"/>
    </w:pPr>
  </w:style>
  <w:style w:type="paragraph" w:customStyle="1" w:styleId="Tbodyrule1">
    <w:name w:val="Tbody_rule1"/>
    <w:basedOn w:val="Tbodyrightalign"/>
    <w:uiPriority w:val="99"/>
    <w:pPr>
      <w:pBdr>
        <w:bottom w:val="single" w:sz="4" w:space="2" w:color="auto"/>
      </w:pBdr>
    </w:pPr>
  </w:style>
  <w:style w:type="paragraph" w:customStyle="1" w:styleId="Tbodyrule2">
    <w:name w:val="Tbody_rule2"/>
    <w:basedOn w:val="NoParagraphStyle"/>
    <w:uiPriority w:val="99"/>
    <w:pPr>
      <w:pBdr>
        <w:bottom w:val="double" w:sz="12" w:space="2" w:color="auto"/>
      </w:pBdr>
      <w:spacing w:line="200" w:lineRule="atLeast"/>
      <w:ind w:right="60"/>
      <w:jc w:val="right"/>
    </w:pPr>
    <w:rPr>
      <w:rFonts w:ascii="TimesNewRomanPSStd-Regular" w:hAnsi="TimesNewRomanPSStd-Regular" w:cs="TimesNewRomanPSStd-Regular"/>
      <w:sz w:val="20"/>
      <w:szCs w:val="20"/>
      <w:lang w:val="en-GB"/>
    </w:rPr>
  </w:style>
  <w:style w:type="paragraph" w:customStyle="1" w:styleId="Tbodyind1">
    <w:name w:val="Tbody ind_1"/>
    <w:basedOn w:val="Tbody"/>
    <w:uiPriority w:val="99"/>
    <w:pPr>
      <w:ind w:left="400"/>
    </w:pPr>
  </w:style>
  <w:style w:type="paragraph" w:customStyle="1" w:styleId="Tbodyrule1brack">
    <w:name w:val="Tbody_rule1(brack)"/>
    <w:basedOn w:val="Tbodybracket"/>
    <w:uiPriority w:val="99"/>
    <w:pPr>
      <w:pBdr>
        <w:bottom w:val="single" w:sz="4" w:space="2" w:color="auto"/>
      </w:pBdr>
    </w:pPr>
  </w:style>
  <w:style w:type="paragraph" w:customStyle="1" w:styleId="Tbodyind2">
    <w:name w:val="Tbody ind_2"/>
    <w:basedOn w:val="Tbody"/>
    <w:uiPriority w:val="99"/>
    <w:pPr>
      <w:ind w:left="600"/>
    </w:pPr>
  </w:style>
  <w:style w:type="character" w:customStyle="1" w:styleId="Bold">
    <w:name w:val="Bold"/>
    <w:uiPriority w:val="99"/>
    <w:rPr>
      <w:b/>
      <w:bCs/>
    </w:rPr>
  </w:style>
  <w:style w:type="character" w:customStyle="1" w:styleId="ebox">
    <w:name w:val="ebox"/>
    <w:uiPriority w:val="99"/>
    <w:rPr>
      <w:rFonts w:ascii="Wingdings2" w:hAnsi="Wingdings2" w:cs="Wingdings2"/>
      <w:sz w:val="20"/>
      <w:szCs w:val="20"/>
      <w:lang w:val="en-GB"/>
    </w:rPr>
  </w:style>
  <w:style w:type="character" w:customStyle="1" w:styleId="BoldCaps">
    <w:name w:val="Bold + Caps"/>
    <w:uiPriority w:val="99"/>
    <w:rPr>
      <w:b/>
      <w:bCs/>
      <w:caps/>
    </w:rPr>
  </w:style>
  <w:style w:type="character" w:customStyle="1" w:styleId="superscript">
    <w:name w:val="superscript"/>
    <w:uiPriority w:val="99"/>
    <w:rPr>
      <w:vertAlign w:val="superscript"/>
    </w:rPr>
  </w:style>
  <w:style w:type="character" w:customStyle="1" w:styleId="Italic">
    <w:name w:val="Italic"/>
    <w:uiPriority w:val="99"/>
    <w:rPr>
      <w:i/>
      <w:iCs/>
    </w:rPr>
  </w:style>
  <w:style w:type="character" w:customStyle="1" w:styleId="BoldItalic">
    <w:name w:val="Bold Italic"/>
    <w:uiPriority w:val="99"/>
    <w:rPr>
      <w:b/>
      <w:bCs/>
      <w:i/>
      <w:iCs/>
    </w:rPr>
  </w:style>
  <w:style w:type="character" w:customStyle="1" w:styleId="nobreak">
    <w:name w:val="nobreak"/>
    <w:uiPriority w:val="99"/>
  </w:style>
  <w:style w:type="character" w:customStyle="1" w:styleId="bullet">
    <w:name w:val="bullet"/>
    <w:uiPriority w:val="99"/>
    <w:rPr>
      <w:sz w:val="20"/>
      <w:szCs w:val="20"/>
    </w:rPr>
  </w:style>
  <w:style w:type="character" w:customStyle="1" w:styleId="FontI">
    <w:name w:val="Font I"/>
    <w:uiPriority w:val="99"/>
    <w:rPr>
      <w:i/>
      <w:iCs/>
      <w:w w:val="100"/>
    </w:rPr>
  </w:style>
  <w:style w:type="character" w:customStyle="1" w:styleId="BoldSuper">
    <w:name w:val="Bold + Super"/>
    <w:uiPriority w:val="99"/>
    <w:rPr>
      <w:b/>
      <w:bCs/>
      <w:vertAlign w:val="superscript"/>
    </w:rPr>
  </w:style>
  <w:style w:type="character" w:customStyle="1" w:styleId="BoldUnderline">
    <w:name w:val="Bold + Underline"/>
    <w:uiPriority w:val="99"/>
    <w:rPr>
      <w:b/>
      <w:bCs/>
      <w:u w:val="none"/>
    </w:rPr>
  </w:style>
  <w:style w:type="character" w:customStyle="1" w:styleId="BoldSuperUnderline">
    <w:name w:val="Bold + Super + Underline"/>
    <w:uiPriority w:val="99"/>
    <w:rPr>
      <w:b/>
      <w:bCs/>
      <w:u w:val="none"/>
      <w:vertAlign w:val="superscript"/>
    </w:rPr>
  </w:style>
  <w:style w:type="character" w:customStyle="1" w:styleId="Caps">
    <w:name w:val="Caps"/>
    <w:uiPriority w:val="99"/>
    <w:rPr>
      <w:caps/>
    </w:rPr>
  </w:style>
  <w:style w:type="paragraph" w:customStyle="1" w:styleId="Notetextflush">
    <w:name w:val="Note_textflush"/>
    <w:basedOn w:val="NoParagraphStyle"/>
    <w:uiPriority w:val="99"/>
    <w:pPr>
      <w:suppressAutoHyphens/>
      <w:spacing w:before="200" w:line="240" w:lineRule="atLeast"/>
      <w:ind w:left="480"/>
      <w:jc w:val="both"/>
    </w:pPr>
    <w:rPr>
      <w:rFonts w:ascii="TimesNewRomanPSStd-Regular" w:hAnsi="TimesNewRomanPSStd-Regular" w:cs="TimesNewRomanPSStd-Regular"/>
      <w:sz w:val="20"/>
      <w:szCs w:val="20"/>
    </w:rPr>
  </w:style>
  <w:style w:type="paragraph" w:customStyle="1" w:styleId="BasicParagraph">
    <w:name w:val="[Basic Paragraph]"/>
    <w:basedOn w:val="NoParagraphStyle"/>
    <w:uiPriority w:val="99"/>
    <w:pPr>
      <w:spacing w:line="240" w:lineRule="atLeast"/>
    </w:pPr>
    <w:rPr>
      <w:rFonts w:ascii="TimesNewRomanPSStd-Regular" w:hAnsi="TimesNewRomanPSStd-Regular" w:cs="TimesNewRomanPSStd-Regular"/>
      <w:sz w:val="20"/>
      <w:szCs w:val="20"/>
    </w:rPr>
  </w:style>
  <w:style w:type="paragraph" w:customStyle="1" w:styleId="NLm">
    <w:name w:val="NL_m"/>
    <w:basedOn w:val="NoParagraphStyle"/>
    <w:uiPriority w:val="99"/>
    <w:pPr>
      <w:suppressAutoHyphens/>
      <w:spacing w:before="200" w:line="240" w:lineRule="atLeast"/>
      <w:ind w:left="720" w:hanging="360"/>
      <w:jc w:val="both"/>
    </w:pPr>
    <w:rPr>
      <w:rFonts w:ascii="TimesNewRomanPSStd-Regular" w:hAnsi="TimesNewRomanPSStd-Regular" w:cs="TimesNewRomanPSStd-Regular"/>
      <w:sz w:val="20"/>
      <w:szCs w:val="20"/>
    </w:rPr>
  </w:style>
  <w:style w:type="paragraph" w:customStyle="1" w:styleId="Tbodyind3">
    <w:name w:val="Tbody ind_3"/>
    <w:basedOn w:val="Tbody"/>
    <w:uiPriority w:val="99"/>
    <w:pPr>
      <w:ind w:left="800"/>
    </w:pPr>
  </w:style>
  <w:style w:type="paragraph" w:customStyle="1" w:styleId="Tbodyrule2brack">
    <w:name w:val="Tbody_rule2(brack)"/>
    <w:basedOn w:val="NoParagraphStyle"/>
    <w:uiPriority w:val="99"/>
    <w:pPr>
      <w:pBdr>
        <w:bottom w:val="double" w:sz="12" w:space="2" w:color="auto"/>
      </w:pBdr>
      <w:spacing w:line="240" w:lineRule="atLeast"/>
      <w:jc w:val="right"/>
    </w:pPr>
    <w:rPr>
      <w:rFonts w:ascii="TimesNewRomanPSStd-Regular" w:hAnsi="TimesNewRomanPSStd-Regular" w:cs="TimesNewRomanPSStd-Regular"/>
      <w:sz w:val="20"/>
      <w:szCs w:val="20"/>
      <w:lang w:val="en-GB"/>
    </w:rPr>
  </w:style>
  <w:style w:type="paragraph" w:customStyle="1" w:styleId="Signaturerule">
    <w:name w:val="Signature_rule"/>
    <w:basedOn w:val="NoParagraphStyle"/>
    <w:uiPriority w:val="99"/>
    <w:pPr>
      <w:pBdr>
        <w:bottom w:val="single" w:sz="4" w:space="2" w:color="auto"/>
      </w:pBdr>
      <w:spacing w:line="240" w:lineRule="atLeast"/>
    </w:pPr>
    <w:rPr>
      <w:rFonts w:ascii="TimesNewRomanPSStd-Regular" w:hAnsi="TimesNewRomanPSStd-Regular" w:cs="TimesNewRomanPSStd-Regular"/>
      <w:sz w:val="20"/>
      <w:szCs w:val="20"/>
      <w:lang w:val="en-GB"/>
    </w:rPr>
  </w:style>
  <w:style w:type="character" w:customStyle="1" w:styleId="Underline">
    <w:name w:val="Underline"/>
    <w:uiPriority w:val="99"/>
    <w:rPr>
      <w:u w:val="thick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GTDocID">
    <w:name w:val="GT DocID"/>
    <w:basedOn w:val="Normal"/>
    <w:link w:val="GTDocIDChar"/>
    <w:qFormat/>
    <w:pPr>
      <w:spacing w:after="200" w:line="276" w:lineRule="auto"/>
    </w:pPr>
    <w:rPr>
      <w:rFonts w:ascii="Arial" w:hAnsi="Arial" w:cstheme="minorBidi"/>
      <w:i/>
      <w:sz w:val="16"/>
      <w:szCs w:val="22"/>
    </w:rPr>
  </w:style>
  <w:style w:type="character" w:customStyle="1" w:styleId="GTDocIDChar">
    <w:name w:val="GT DocID Char"/>
    <w:basedOn w:val="DefaultParagraphFont"/>
    <w:link w:val="GTDocID"/>
    <w:rPr>
      <w:rFonts w:ascii="Arial" w:hAnsi="Arial"/>
      <w:i/>
      <w:sz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lead">
    <w:name w:val="lead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p1">
    <w:name w:val="p1"/>
    <w:basedOn w:val="Normal"/>
    <w:rPr>
      <w:rFonts w:ascii="Calibri" w:hAnsi="Calibri"/>
      <w:color w:val="222222"/>
      <w:sz w:val="22"/>
      <w:szCs w:val="22"/>
    </w:rPr>
  </w:style>
  <w:style w:type="character" w:customStyle="1" w:styleId="s2">
    <w:name w:val="s2"/>
    <w:basedOn w:val="DefaultParagraphFont"/>
    <w:rPr>
      <w:color w:val="1155CC"/>
      <w:u w:val="single"/>
    </w:rPr>
  </w:style>
  <w:style w:type="character" w:customStyle="1" w:styleId="s3">
    <w:name w:val="s3"/>
    <w:basedOn w:val="DefaultParagraphFont"/>
    <w:rPr>
      <w:rFonts w:ascii="Times New Roman" w:hAnsi="Times New Roman" w:cs="Times New Roman" w:hint="default"/>
      <w:sz w:val="14"/>
      <w:szCs w:val="14"/>
    </w:rPr>
  </w:style>
  <w:style w:type="character" w:customStyle="1" w:styleId="s1">
    <w:name w:val="s1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2">
    <w:name w:val="p2"/>
    <w:basedOn w:val="Normal"/>
    <w:rsid w:val="00F75D4B"/>
    <w:rPr>
      <w:rFonts w:ascii="Arial" w:hAnsi="Arial" w:cs="Arial"/>
      <w:color w:val="222222"/>
      <w:sz w:val="19"/>
      <w:szCs w:val="19"/>
    </w:rPr>
  </w:style>
  <w:style w:type="paragraph" w:customStyle="1" w:styleId="p3">
    <w:name w:val="p3"/>
    <w:basedOn w:val="Normal"/>
    <w:rsid w:val="00F75D4B"/>
    <w:pPr>
      <w:ind w:left="60" w:hanging="60"/>
    </w:pPr>
    <w:rPr>
      <w:rFonts w:ascii="Calibri" w:hAnsi="Calibri"/>
      <w:color w:val="222222"/>
      <w:sz w:val="22"/>
      <w:szCs w:val="22"/>
    </w:rPr>
  </w:style>
  <w:style w:type="character" w:customStyle="1" w:styleId="il">
    <w:name w:val="il"/>
    <w:basedOn w:val="DefaultParagraphFont"/>
    <w:rsid w:val="00E73410"/>
  </w:style>
  <w:style w:type="character" w:customStyle="1" w:styleId="aqj">
    <w:name w:val="aqj"/>
    <w:basedOn w:val="DefaultParagraphFont"/>
    <w:rsid w:val="00E73410"/>
  </w:style>
  <w:style w:type="character" w:styleId="Emphasis">
    <w:name w:val="Emphasis"/>
    <w:basedOn w:val="DefaultParagraphFont"/>
    <w:uiPriority w:val="20"/>
    <w:qFormat/>
    <w:rsid w:val="005E5AF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66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4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645">
      <w:marLeft w:val="0"/>
      <w:marRight w:val="0"/>
      <w:marTop w:val="0"/>
      <w:marBottom w:val="0"/>
      <w:divBdr>
        <w:top w:val="single" w:sz="8" w:space="10" w:color="auto"/>
        <w:left w:val="single" w:sz="8" w:space="4" w:color="auto"/>
        <w:bottom w:val="single" w:sz="8" w:space="10" w:color="auto"/>
        <w:right w:val="single" w:sz="8" w:space="4" w:color="auto"/>
      </w:divBdr>
    </w:div>
    <w:div w:id="531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961">
              <w:marLeft w:val="-23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31800">
              <w:marLeft w:val="-23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8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11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510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0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87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omer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r.atomera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7BCAF3-D4FA-8D42-AC93-06713F1F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Bibaud</dc:creator>
  <cp:lastModifiedBy>Mike Bishop</cp:lastModifiedBy>
  <cp:revision>3</cp:revision>
  <cp:lastPrinted>2017-10-06T17:23:00Z</cp:lastPrinted>
  <dcterms:created xsi:type="dcterms:W3CDTF">2021-01-07T00:33:00Z</dcterms:created>
  <dcterms:modified xsi:type="dcterms:W3CDTF">2021-01-07T00:39:00Z</dcterms:modified>
</cp:coreProperties>
</file>