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6ED3B" w14:textId="15619E34" w:rsidR="00310AFF" w:rsidRPr="004C61A1" w:rsidRDefault="00A76648" w:rsidP="009D5E9B">
      <w:pPr>
        <w:pStyle w:val="NormalWeb"/>
        <w:spacing w:before="0" w:beforeAutospacing="0" w:after="0" w:afterAutospacing="0"/>
        <w:jc w:val="center"/>
        <w:rPr>
          <w:b/>
          <w:bCs/>
          <w:color w:val="17365D"/>
          <w:sz w:val="22"/>
          <w:szCs w:val="22"/>
        </w:rPr>
      </w:pPr>
      <w:r>
        <w:rPr>
          <w:b/>
          <w:bCs/>
          <w:color w:val="17365D"/>
          <w:sz w:val="22"/>
          <w:szCs w:val="22"/>
        </w:rPr>
        <w:t xml:space="preserve">Viking Extinguishes </w:t>
      </w:r>
      <w:r w:rsidR="00310AFF" w:rsidRPr="004C61A1">
        <w:rPr>
          <w:b/>
          <w:bCs/>
          <w:color w:val="17365D"/>
          <w:sz w:val="22"/>
          <w:szCs w:val="22"/>
        </w:rPr>
        <w:t xml:space="preserve">$18.9 Million </w:t>
      </w:r>
      <w:r>
        <w:rPr>
          <w:b/>
          <w:bCs/>
          <w:color w:val="17365D"/>
          <w:sz w:val="22"/>
          <w:szCs w:val="22"/>
        </w:rPr>
        <w:t>in Debt</w:t>
      </w:r>
    </w:p>
    <w:p w14:paraId="39A7C1A8" w14:textId="77777777" w:rsidR="00310AFF" w:rsidRPr="004C61A1" w:rsidRDefault="00310AFF" w:rsidP="009D5E9B">
      <w:pPr>
        <w:pStyle w:val="NormalWeb"/>
        <w:spacing w:before="0" w:beforeAutospacing="0" w:after="0" w:afterAutospacing="0"/>
        <w:jc w:val="center"/>
        <w:rPr>
          <w:b/>
          <w:bCs/>
          <w:color w:val="17365D"/>
          <w:sz w:val="22"/>
          <w:szCs w:val="22"/>
        </w:rPr>
      </w:pPr>
    </w:p>
    <w:p w14:paraId="52E4A7C2" w14:textId="6E8468E2" w:rsidR="009D5E9B" w:rsidRPr="004C61A1" w:rsidRDefault="00A76648" w:rsidP="009D5E9B">
      <w:pPr>
        <w:pStyle w:val="NormalWeb"/>
        <w:spacing w:before="0" w:beforeAutospacing="0" w:after="0" w:afterAutospacing="0"/>
        <w:jc w:val="center"/>
        <w:rPr>
          <w:i/>
          <w:iCs/>
          <w:color w:val="17365D"/>
          <w:sz w:val="22"/>
          <w:szCs w:val="22"/>
        </w:rPr>
      </w:pPr>
      <w:r>
        <w:rPr>
          <w:b/>
          <w:bCs/>
          <w:i/>
          <w:iCs/>
          <w:color w:val="17365D"/>
          <w:sz w:val="22"/>
          <w:szCs w:val="22"/>
        </w:rPr>
        <w:t xml:space="preserve">Closes </w:t>
      </w:r>
      <w:r w:rsidR="00E80AFE" w:rsidRPr="004C61A1">
        <w:rPr>
          <w:b/>
          <w:bCs/>
          <w:i/>
          <w:iCs/>
          <w:color w:val="17365D"/>
          <w:sz w:val="22"/>
          <w:szCs w:val="22"/>
        </w:rPr>
        <w:t xml:space="preserve">$39 Million </w:t>
      </w:r>
      <w:r w:rsidR="002400EE" w:rsidRPr="004C61A1">
        <w:rPr>
          <w:b/>
          <w:bCs/>
          <w:i/>
          <w:iCs/>
          <w:color w:val="17365D"/>
          <w:sz w:val="22"/>
          <w:szCs w:val="22"/>
        </w:rPr>
        <w:t>in</w:t>
      </w:r>
      <w:r w:rsidR="00E80AFE" w:rsidRPr="004C61A1">
        <w:rPr>
          <w:b/>
          <w:bCs/>
          <w:i/>
          <w:iCs/>
          <w:color w:val="17365D"/>
          <w:sz w:val="22"/>
          <w:szCs w:val="22"/>
        </w:rPr>
        <w:t xml:space="preserve"> </w:t>
      </w:r>
      <w:r w:rsidR="00A7799F">
        <w:rPr>
          <w:b/>
          <w:bCs/>
          <w:i/>
          <w:iCs/>
          <w:color w:val="17365D"/>
          <w:sz w:val="22"/>
          <w:szCs w:val="22"/>
        </w:rPr>
        <w:t xml:space="preserve">Equity </w:t>
      </w:r>
      <w:r w:rsidR="00E80AFE" w:rsidRPr="004C61A1">
        <w:rPr>
          <w:b/>
          <w:bCs/>
          <w:i/>
          <w:iCs/>
          <w:color w:val="17365D"/>
          <w:sz w:val="22"/>
          <w:szCs w:val="22"/>
        </w:rPr>
        <w:t xml:space="preserve">Transactions </w:t>
      </w:r>
      <w:r w:rsidR="002400EE" w:rsidRPr="004C61A1">
        <w:rPr>
          <w:b/>
          <w:bCs/>
          <w:i/>
          <w:iCs/>
          <w:color w:val="17365D"/>
          <w:sz w:val="22"/>
          <w:szCs w:val="22"/>
        </w:rPr>
        <w:t>S</w:t>
      </w:r>
      <w:r w:rsidR="00E80AFE" w:rsidRPr="004C61A1">
        <w:rPr>
          <w:b/>
          <w:bCs/>
          <w:i/>
          <w:iCs/>
          <w:color w:val="17365D"/>
          <w:sz w:val="22"/>
          <w:szCs w:val="22"/>
        </w:rPr>
        <w:t>ince Dec. 23/20</w:t>
      </w:r>
    </w:p>
    <w:p w14:paraId="20EA0324" w14:textId="77777777" w:rsidR="00AF76C9" w:rsidRPr="004C61A1" w:rsidRDefault="00AF76C9" w:rsidP="00AF76C9">
      <w:pPr>
        <w:pStyle w:val="NormalWeb"/>
        <w:spacing w:before="0" w:beforeAutospacing="0" w:after="0" w:afterAutospacing="0"/>
        <w:jc w:val="both"/>
        <w:rPr>
          <w:sz w:val="22"/>
          <w:szCs w:val="22"/>
        </w:rPr>
      </w:pPr>
      <w:r w:rsidRPr="004C61A1">
        <w:rPr>
          <w:b/>
          <w:bCs/>
          <w:sz w:val="22"/>
          <w:szCs w:val="22"/>
        </w:rPr>
        <w:t> </w:t>
      </w:r>
    </w:p>
    <w:p w14:paraId="35DD2810" w14:textId="774CA2DF" w:rsidR="002400EE" w:rsidRPr="004C61A1" w:rsidRDefault="00AF76C9" w:rsidP="00AF76C9">
      <w:pPr>
        <w:pStyle w:val="NormalWeb"/>
        <w:spacing w:before="0" w:beforeAutospacing="0" w:after="240" w:afterAutospacing="0"/>
        <w:jc w:val="both"/>
        <w:rPr>
          <w:sz w:val="22"/>
          <w:szCs w:val="22"/>
        </w:rPr>
      </w:pPr>
      <w:r w:rsidRPr="004C61A1">
        <w:rPr>
          <w:b/>
          <w:bCs/>
          <w:sz w:val="22"/>
          <w:szCs w:val="22"/>
        </w:rPr>
        <w:t xml:space="preserve">HOUSTON, TX – </w:t>
      </w:r>
      <w:r w:rsidR="00310AFF" w:rsidRPr="004C61A1">
        <w:rPr>
          <w:b/>
          <w:bCs/>
          <w:sz w:val="22"/>
          <w:szCs w:val="22"/>
        </w:rPr>
        <w:t>January</w:t>
      </w:r>
      <w:r w:rsidR="009D5E9B" w:rsidRPr="004C61A1">
        <w:rPr>
          <w:b/>
          <w:bCs/>
          <w:sz w:val="22"/>
          <w:szCs w:val="22"/>
        </w:rPr>
        <w:t xml:space="preserve"> </w:t>
      </w:r>
      <w:r w:rsidR="00310AFF" w:rsidRPr="004C61A1">
        <w:rPr>
          <w:b/>
          <w:bCs/>
          <w:sz w:val="22"/>
          <w:szCs w:val="22"/>
        </w:rPr>
        <w:t>1</w:t>
      </w:r>
      <w:r w:rsidR="00753B26" w:rsidRPr="004C61A1">
        <w:rPr>
          <w:b/>
          <w:bCs/>
          <w:sz w:val="22"/>
          <w:szCs w:val="22"/>
        </w:rPr>
        <w:t>4</w:t>
      </w:r>
      <w:r w:rsidRPr="004C61A1">
        <w:rPr>
          <w:b/>
          <w:bCs/>
          <w:sz w:val="22"/>
          <w:szCs w:val="22"/>
        </w:rPr>
        <w:t>, 202</w:t>
      </w:r>
      <w:r w:rsidR="00310AFF" w:rsidRPr="004C61A1">
        <w:rPr>
          <w:b/>
          <w:bCs/>
          <w:sz w:val="22"/>
          <w:szCs w:val="22"/>
        </w:rPr>
        <w:t>1</w:t>
      </w:r>
      <w:r w:rsidRPr="004C61A1">
        <w:rPr>
          <w:b/>
          <w:bCs/>
          <w:sz w:val="22"/>
          <w:szCs w:val="22"/>
        </w:rPr>
        <w:t xml:space="preserve"> (GlobeNewswire) – </w:t>
      </w:r>
      <w:r w:rsidR="00A76648" w:rsidRPr="004C61A1">
        <w:rPr>
          <w:b/>
          <w:bCs/>
          <w:sz w:val="22"/>
          <w:szCs w:val="22"/>
        </w:rPr>
        <w:t>Viking Energy Group, Inc.</w:t>
      </w:r>
      <w:r w:rsidR="00A76648" w:rsidRPr="004C61A1">
        <w:rPr>
          <w:sz w:val="22"/>
          <w:szCs w:val="22"/>
        </w:rPr>
        <w:t> (OTCQB: VKIN) (“</w:t>
      </w:r>
      <w:r w:rsidR="00A76648" w:rsidRPr="004C61A1">
        <w:rPr>
          <w:bCs/>
          <w:sz w:val="22"/>
          <w:szCs w:val="22"/>
          <w:u w:val="single"/>
        </w:rPr>
        <w:t>Viking</w:t>
      </w:r>
      <w:r w:rsidR="00A76648" w:rsidRPr="004C61A1">
        <w:rPr>
          <w:sz w:val="22"/>
          <w:szCs w:val="22"/>
        </w:rPr>
        <w:t>”</w:t>
      </w:r>
      <w:r w:rsidR="00A76648">
        <w:rPr>
          <w:sz w:val="22"/>
          <w:szCs w:val="22"/>
        </w:rPr>
        <w:t xml:space="preserve"> or the “Company”</w:t>
      </w:r>
      <w:r w:rsidR="00A76648" w:rsidRPr="004C61A1">
        <w:rPr>
          <w:sz w:val="22"/>
          <w:szCs w:val="22"/>
        </w:rPr>
        <w:t>)</w:t>
      </w:r>
      <w:r w:rsidR="00A76648">
        <w:rPr>
          <w:sz w:val="22"/>
          <w:szCs w:val="22"/>
        </w:rPr>
        <w:t xml:space="preserve"> </w:t>
      </w:r>
      <w:r w:rsidR="00310AFF" w:rsidRPr="004C61A1">
        <w:rPr>
          <w:sz w:val="22"/>
          <w:szCs w:val="22"/>
        </w:rPr>
        <w:t xml:space="preserve">is pleased to announce the completion of another deal with </w:t>
      </w:r>
      <w:r w:rsidR="00A76648" w:rsidRPr="004C61A1">
        <w:rPr>
          <w:b/>
          <w:bCs/>
          <w:sz w:val="22"/>
          <w:szCs w:val="22"/>
        </w:rPr>
        <w:t>Camber Energy, Inc. </w:t>
      </w:r>
      <w:r w:rsidR="00A76648" w:rsidRPr="004C61A1">
        <w:rPr>
          <w:sz w:val="22"/>
          <w:szCs w:val="22"/>
        </w:rPr>
        <w:t>(</w:t>
      </w:r>
      <w:r w:rsidR="00A76648" w:rsidRPr="004C61A1">
        <w:rPr>
          <w:sz w:val="22"/>
          <w:szCs w:val="22"/>
          <w:shd w:val="clear" w:color="auto" w:fill="FFFFFF"/>
        </w:rPr>
        <w:t>NYSE American</w:t>
      </w:r>
      <w:r w:rsidR="00A76648" w:rsidRPr="004C61A1">
        <w:rPr>
          <w:sz w:val="22"/>
          <w:szCs w:val="22"/>
        </w:rPr>
        <w:t>: CEI) (“</w:t>
      </w:r>
      <w:r w:rsidR="00A76648" w:rsidRPr="004C61A1">
        <w:rPr>
          <w:bCs/>
          <w:sz w:val="22"/>
          <w:szCs w:val="22"/>
          <w:u w:val="single"/>
        </w:rPr>
        <w:t>Camber</w:t>
      </w:r>
      <w:r w:rsidR="00A76648" w:rsidRPr="004C61A1">
        <w:rPr>
          <w:sz w:val="22"/>
          <w:szCs w:val="22"/>
        </w:rPr>
        <w:t>”</w:t>
      </w:r>
      <w:r w:rsidR="00A76648">
        <w:rPr>
          <w:sz w:val="22"/>
          <w:szCs w:val="22"/>
        </w:rPr>
        <w:t>)</w:t>
      </w:r>
      <w:r w:rsidR="00270AD6">
        <w:rPr>
          <w:sz w:val="22"/>
          <w:szCs w:val="22"/>
        </w:rPr>
        <w:t>,</w:t>
      </w:r>
      <w:r w:rsidR="00A76648">
        <w:rPr>
          <w:sz w:val="22"/>
          <w:szCs w:val="22"/>
        </w:rPr>
        <w:t xml:space="preserve"> </w:t>
      </w:r>
      <w:r w:rsidR="00310AFF" w:rsidRPr="004C61A1">
        <w:rPr>
          <w:sz w:val="22"/>
          <w:szCs w:val="22"/>
        </w:rPr>
        <w:t>its majority</w:t>
      </w:r>
      <w:r w:rsidR="00A76648">
        <w:rPr>
          <w:sz w:val="22"/>
          <w:szCs w:val="22"/>
        </w:rPr>
        <w:t xml:space="preserve"> shareholder</w:t>
      </w:r>
      <w:r w:rsidR="00310AFF" w:rsidRPr="004C61A1">
        <w:rPr>
          <w:sz w:val="22"/>
          <w:szCs w:val="22"/>
        </w:rPr>
        <w:t xml:space="preserve">, pursuant to which Camber purchased $18.9 million worth of common stock of Viking.  </w:t>
      </w:r>
      <w:r w:rsidR="004C61A1" w:rsidRPr="004C61A1">
        <w:rPr>
          <w:sz w:val="22"/>
          <w:szCs w:val="22"/>
        </w:rPr>
        <w:t>In exchange for the</w:t>
      </w:r>
      <w:r w:rsidR="00173FCF" w:rsidRPr="004C61A1">
        <w:rPr>
          <w:sz w:val="22"/>
          <w:szCs w:val="22"/>
        </w:rPr>
        <w:t xml:space="preserve"> </w:t>
      </w:r>
      <w:r w:rsidR="00310AFF" w:rsidRPr="004C61A1">
        <w:rPr>
          <w:sz w:val="22"/>
          <w:szCs w:val="22"/>
        </w:rPr>
        <w:t xml:space="preserve">shares of Viking, Camber </w:t>
      </w:r>
      <w:r w:rsidR="002400EE" w:rsidRPr="004C61A1">
        <w:rPr>
          <w:sz w:val="22"/>
          <w:szCs w:val="22"/>
        </w:rPr>
        <w:t>agreed to issue 1</w:t>
      </w:r>
      <w:r w:rsidR="00310AFF" w:rsidRPr="004C61A1">
        <w:rPr>
          <w:sz w:val="22"/>
          <w:szCs w:val="22"/>
        </w:rPr>
        <w:t xml:space="preserve">,890 </w:t>
      </w:r>
      <w:r w:rsidR="004C61A1" w:rsidRPr="004C61A1">
        <w:rPr>
          <w:sz w:val="22"/>
          <w:szCs w:val="22"/>
        </w:rPr>
        <w:t xml:space="preserve">restricted </w:t>
      </w:r>
      <w:r w:rsidR="00310AFF" w:rsidRPr="004C61A1">
        <w:rPr>
          <w:sz w:val="22"/>
          <w:szCs w:val="22"/>
        </w:rPr>
        <w:t xml:space="preserve">shares of Camber’s Series C Redeemable Convertible Preferred Stock to </w:t>
      </w:r>
      <w:r w:rsidR="002400EE" w:rsidRPr="004C61A1">
        <w:rPr>
          <w:sz w:val="22"/>
          <w:szCs w:val="22"/>
        </w:rPr>
        <w:t>a noteholder of Viking resulting in the extinguishment of $18.9 million of debt</w:t>
      </w:r>
      <w:r w:rsidR="00173FCF" w:rsidRPr="004C61A1">
        <w:rPr>
          <w:sz w:val="22"/>
          <w:szCs w:val="22"/>
        </w:rPr>
        <w:t xml:space="preserve"> at the Viking level.  The acquisition and debt cancellation transactions, dated as of December 31, 2020 (collectively, the “</w:t>
      </w:r>
      <w:r w:rsidR="00173FCF" w:rsidRPr="004C61A1">
        <w:rPr>
          <w:b/>
          <w:bCs/>
          <w:sz w:val="22"/>
          <w:szCs w:val="22"/>
        </w:rPr>
        <w:t>Year End Transactions</w:t>
      </w:r>
      <w:r w:rsidR="00173FCF" w:rsidRPr="004C61A1">
        <w:rPr>
          <w:sz w:val="22"/>
          <w:szCs w:val="22"/>
        </w:rPr>
        <w:t xml:space="preserve">”), are separate from the $20.1 million transaction completed between Camber and Viking </w:t>
      </w:r>
      <w:r w:rsidR="004C61A1" w:rsidRPr="004C61A1">
        <w:rPr>
          <w:sz w:val="22"/>
          <w:szCs w:val="22"/>
        </w:rPr>
        <w:t>on</w:t>
      </w:r>
      <w:r w:rsidR="00173FCF" w:rsidRPr="004C61A1">
        <w:rPr>
          <w:sz w:val="22"/>
          <w:szCs w:val="22"/>
        </w:rPr>
        <w:t xml:space="preserve"> December 23, 2020 (the “</w:t>
      </w:r>
      <w:r w:rsidR="00173FCF" w:rsidRPr="004C61A1">
        <w:rPr>
          <w:b/>
          <w:bCs/>
          <w:sz w:val="22"/>
          <w:szCs w:val="22"/>
        </w:rPr>
        <w:t>Initial Acquisition</w:t>
      </w:r>
      <w:r w:rsidR="00173FCF" w:rsidRPr="004C61A1">
        <w:rPr>
          <w:sz w:val="22"/>
          <w:szCs w:val="22"/>
        </w:rPr>
        <w:t>”).</w:t>
      </w:r>
    </w:p>
    <w:p w14:paraId="569462EA" w14:textId="7457E608" w:rsidR="004C61A1" w:rsidRPr="004C61A1" w:rsidRDefault="00D64683" w:rsidP="00AF76C9">
      <w:pPr>
        <w:pStyle w:val="NormalWeb"/>
        <w:spacing w:before="0" w:beforeAutospacing="0" w:after="240" w:afterAutospacing="0"/>
        <w:jc w:val="both"/>
        <w:rPr>
          <w:i/>
          <w:iCs/>
          <w:sz w:val="22"/>
          <w:szCs w:val="22"/>
          <w:shd w:val="clear" w:color="auto" w:fill="FFFFFF"/>
        </w:rPr>
      </w:pPr>
      <w:r w:rsidRPr="004C61A1">
        <w:rPr>
          <w:sz w:val="22"/>
          <w:szCs w:val="22"/>
          <w:shd w:val="clear" w:color="auto" w:fill="FFFFFF"/>
        </w:rPr>
        <w:t>James Doris, President &amp; CEO of the two companies commented, “</w:t>
      </w:r>
      <w:r w:rsidR="004C61A1" w:rsidRPr="004C61A1">
        <w:rPr>
          <w:i/>
          <w:iCs/>
          <w:sz w:val="22"/>
          <w:szCs w:val="22"/>
          <w:shd w:val="clear" w:color="auto" w:fill="FFFFFF"/>
        </w:rPr>
        <w:t>This transaction further strengthens the relationship between Camber and Viking and moves us one step closer toward a full combination of the two entities.  Moreover, extinguishing the $18.9 million of debt improves the equity position of both companies.  This is a great start to 2021.”</w:t>
      </w:r>
    </w:p>
    <w:p w14:paraId="7F225659" w14:textId="42BDE7D6" w:rsidR="00173FCF" w:rsidRPr="004C61A1" w:rsidRDefault="00E9788B" w:rsidP="00AF76C9">
      <w:pPr>
        <w:pStyle w:val="NormalWeb"/>
        <w:spacing w:before="0" w:beforeAutospacing="0" w:after="240" w:afterAutospacing="0"/>
        <w:jc w:val="both"/>
        <w:rPr>
          <w:sz w:val="22"/>
          <w:szCs w:val="22"/>
        </w:rPr>
      </w:pPr>
      <w:r w:rsidRPr="004C61A1">
        <w:rPr>
          <w:sz w:val="22"/>
          <w:szCs w:val="22"/>
        </w:rPr>
        <w:t xml:space="preserve">Additional details regarding the </w:t>
      </w:r>
      <w:r w:rsidR="00173FCF" w:rsidRPr="004C61A1">
        <w:rPr>
          <w:sz w:val="22"/>
          <w:szCs w:val="22"/>
        </w:rPr>
        <w:t>Year End Transactions</w:t>
      </w:r>
      <w:r w:rsidRPr="004C61A1">
        <w:rPr>
          <w:sz w:val="22"/>
          <w:szCs w:val="22"/>
        </w:rPr>
        <w:t xml:space="preserve"> were included in </w:t>
      </w:r>
      <w:r w:rsidR="00A76648">
        <w:rPr>
          <w:sz w:val="22"/>
          <w:szCs w:val="22"/>
        </w:rPr>
        <w:t xml:space="preserve">Viking’s and </w:t>
      </w:r>
      <w:r w:rsidRPr="004C61A1">
        <w:rPr>
          <w:sz w:val="22"/>
          <w:szCs w:val="22"/>
        </w:rPr>
        <w:t>Camber’s Current Repor</w:t>
      </w:r>
      <w:r w:rsidR="00857045" w:rsidRPr="004C61A1">
        <w:rPr>
          <w:sz w:val="22"/>
          <w:szCs w:val="22"/>
        </w:rPr>
        <w:t>t</w:t>
      </w:r>
      <w:r w:rsidR="00173FCF" w:rsidRPr="004C61A1">
        <w:rPr>
          <w:sz w:val="22"/>
          <w:szCs w:val="22"/>
        </w:rPr>
        <w:t>s</w:t>
      </w:r>
      <w:r w:rsidRPr="004C61A1">
        <w:rPr>
          <w:sz w:val="22"/>
          <w:szCs w:val="22"/>
        </w:rPr>
        <w:t xml:space="preserve"> on Form 8-K filed with the Securities and Exchange Commission </w:t>
      </w:r>
      <w:r w:rsidR="004C61A1" w:rsidRPr="004C61A1">
        <w:rPr>
          <w:sz w:val="22"/>
          <w:szCs w:val="22"/>
        </w:rPr>
        <w:t xml:space="preserve">(“SEC”) </w:t>
      </w:r>
      <w:r w:rsidRPr="004C61A1">
        <w:rPr>
          <w:sz w:val="22"/>
          <w:szCs w:val="22"/>
        </w:rPr>
        <w:t xml:space="preserve">on </w:t>
      </w:r>
      <w:r w:rsidR="00173FCF" w:rsidRPr="004C61A1">
        <w:rPr>
          <w:sz w:val="22"/>
          <w:szCs w:val="22"/>
        </w:rPr>
        <w:t>January 13</w:t>
      </w:r>
      <w:r w:rsidRPr="004C61A1">
        <w:rPr>
          <w:sz w:val="22"/>
          <w:szCs w:val="22"/>
        </w:rPr>
        <w:t>, 202</w:t>
      </w:r>
      <w:r w:rsidR="00173FCF" w:rsidRPr="004C61A1">
        <w:rPr>
          <w:sz w:val="22"/>
          <w:szCs w:val="22"/>
        </w:rPr>
        <w:t>1</w:t>
      </w:r>
      <w:r w:rsidRPr="004C61A1">
        <w:rPr>
          <w:sz w:val="22"/>
          <w:szCs w:val="22"/>
        </w:rPr>
        <w:t xml:space="preserve">, and </w:t>
      </w:r>
      <w:r w:rsidR="004C61A1" w:rsidRPr="004C61A1">
        <w:rPr>
          <w:sz w:val="22"/>
          <w:szCs w:val="22"/>
        </w:rPr>
        <w:t>are</w:t>
      </w:r>
      <w:r w:rsidRPr="004C61A1">
        <w:rPr>
          <w:sz w:val="22"/>
          <w:szCs w:val="22"/>
        </w:rPr>
        <w:t xml:space="preserve"> available under “</w:t>
      </w:r>
      <w:r w:rsidRPr="004C61A1">
        <w:rPr>
          <w:sz w:val="22"/>
          <w:szCs w:val="22"/>
          <w:u w:val="single"/>
        </w:rPr>
        <w:t>investors</w:t>
      </w:r>
      <w:r w:rsidRPr="004C61A1">
        <w:rPr>
          <w:sz w:val="22"/>
          <w:szCs w:val="22"/>
        </w:rPr>
        <w:t>” – “</w:t>
      </w:r>
      <w:r w:rsidRPr="004C61A1">
        <w:rPr>
          <w:sz w:val="22"/>
          <w:szCs w:val="22"/>
          <w:u w:val="single"/>
        </w:rPr>
        <w:t>SEC filings</w:t>
      </w:r>
      <w:r w:rsidRPr="004C61A1">
        <w:rPr>
          <w:sz w:val="22"/>
          <w:szCs w:val="22"/>
        </w:rPr>
        <w:t>” at</w:t>
      </w:r>
      <w:r w:rsidR="00A76648">
        <w:rPr>
          <w:sz w:val="22"/>
          <w:szCs w:val="22"/>
        </w:rPr>
        <w:t xml:space="preserve"> </w:t>
      </w:r>
      <w:hyperlink r:id="rId5" w:history="1">
        <w:r w:rsidR="00A76648" w:rsidRPr="004C61A1">
          <w:rPr>
            <w:rStyle w:val="Hyperlink"/>
            <w:sz w:val="22"/>
            <w:szCs w:val="22"/>
          </w:rPr>
          <w:t>www.vikingenergygroup.com</w:t>
        </w:r>
      </w:hyperlink>
      <w:r w:rsidR="00A76648" w:rsidRPr="00A76648">
        <w:rPr>
          <w:rStyle w:val="Hyperlink"/>
          <w:color w:val="auto"/>
          <w:sz w:val="22"/>
          <w:szCs w:val="22"/>
          <w:u w:val="none"/>
        </w:rPr>
        <w:t xml:space="preserve"> </w:t>
      </w:r>
      <w:r w:rsidR="00A76648" w:rsidRPr="004C61A1">
        <w:rPr>
          <w:rStyle w:val="Hyperlink"/>
          <w:color w:val="auto"/>
          <w:sz w:val="22"/>
          <w:szCs w:val="22"/>
          <w:u w:val="none"/>
        </w:rPr>
        <w:t>and</w:t>
      </w:r>
      <w:r w:rsidRPr="004C61A1">
        <w:rPr>
          <w:sz w:val="22"/>
          <w:szCs w:val="22"/>
        </w:rPr>
        <w:t xml:space="preserve"> </w:t>
      </w:r>
      <w:hyperlink r:id="rId6" w:history="1">
        <w:r w:rsidRPr="004C61A1">
          <w:rPr>
            <w:rStyle w:val="Hyperlink"/>
            <w:sz w:val="22"/>
            <w:szCs w:val="22"/>
          </w:rPr>
          <w:t>www.camber.energy</w:t>
        </w:r>
      </w:hyperlink>
      <w:r w:rsidRPr="004C61A1">
        <w:rPr>
          <w:sz w:val="22"/>
          <w:szCs w:val="22"/>
        </w:rPr>
        <w:t>.</w:t>
      </w:r>
      <w:r w:rsidR="0027103F" w:rsidRPr="004C61A1">
        <w:rPr>
          <w:sz w:val="22"/>
          <w:szCs w:val="22"/>
        </w:rPr>
        <w:t xml:space="preserve"> </w:t>
      </w:r>
      <w:r w:rsidR="00173FCF" w:rsidRPr="004C61A1">
        <w:rPr>
          <w:sz w:val="22"/>
          <w:szCs w:val="22"/>
        </w:rPr>
        <w:t xml:space="preserve">  </w:t>
      </w:r>
      <w:r w:rsidR="004C61A1" w:rsidRPr="004C61A1">
        <w:rPr>
          <w:sz w:val="22"/>
          <w:szCs w:val="22"/>
        </w:rPr>
        <w:t xml:space="preserve">Additional details regarding the Initial Acquisition were included in </w:t>
      </w:r>
      <w:r w:rsidR="00A76648">
        <w:rPr>
          <w:sz w:val="22"/>
          <w:szCs w:val="22"/>
        </w:rPr>
        <w:t xml:space="preserve">Viking’s and </w:t>
      </w:r>
      <w:r w:rsidR="004C61A1" w:rsidRPr="004C61A1">
        <w:rPr>
          <w:sz w:val="22"/>
          <w:szCs w:val="22"/>
        </w:rPr>
        <w:t>Camber’s Current Reports on Form 8-K filed with the SEC on December 2</w:t>
      </w:r>
      <w:r w:rsidR="00A76648">
        <w:rPr>
          <w:sz w:val="22"/>
          <w:szCs w:val="22"/>
        </w:rPr>
        <w:t>8</w:t>
      </w:r>
      <w:r w:rsidR="004C61A1" w:rsidRPr="004C61A1">
        <w:rPr>
          <w:sz w:val="22"/>
          <w:szCs w:val="22"/>
        </w:rPr>
        <w:t>, 2020 and December 2</w:t>
      </w:r>
      <w:r w:rsidR="00A76648">
        <w:rPr>
          <w:sz w:val="22"/>
          <w:szCs w:val="22"/>
        </w:rPr>
        <w:t>4</w:t>
      </w:r>
      <w:r w:rsidR="004C61A1" w:rsidRPr="004C61A1">
        <w:rPr>
          <w:sz w:val="22"/>
          <w:szCs w:val="22"/>
        </w:rPr>
        <w:t>, 2020, respectively, and are available under “</w:t>
      </w:r>
      <w:r w:rsidR="004C61A1" w:rsidRPr="004C61A1">
        <w:rPr>
          <w:sz w:val="22"/>
          <w:szCs w:val="22"/>
          <w:u w:val="single"/>
        </w:rPr>
        <w:t>investors</w:t>
      </w:r>
      <w:r w:rsidR="004C61A1" w:rsidRPr="004C61A1">
        <w:rPr>
          <w:sz w:val="22"/>
          <w:szCs w:val="22"/>
        </w:rPr>
        <w:t>” – “</w:t>
      </w:r>
      <w:r w:rsidR="004C61A1" w:rsidRPr="004C61A1">
        <w:rPr>
          <w:sz w:val="22"/>
          <w:szCs w:val="22"/>
          <w:u w:val="single"/>
        </w:rPr>
        <w:t>SEC filings</w:t>
      </w:r>
      <w:r w:rsidR="004C61A1" w:rsidRPr="004C61A1">
        <w:rPr>
          <w:sz w:val="22"/>
          <w:szCs w:val="22"/>
        </w:rPr>
        <w:t xml:space="preserve">” </w:t>
      </w:r>
      <w:r w:rsidR="00A76648" w:rsidRPr="004C61A1">
        <w:rPr>
          <w:sz w:val="22"/>
          <w:szCs w:val="22"/>
        </w:rPr>
        <w:t>at</w:t>
      </w:r>
      <w:r w:rsidR="00A76648">
        <w:rPr>
          <w:sz w:val="22"/>
          <w:szCs w:val="22"/>
        </w:rPr>
        <w:t xml:space="preserve"> </w:t>
      </w:r>
      <w:hyperlink r:id="rId7" w:history="1">
        <w:r w:rsidR="00A76648" w:rsidRPr="004C61A1">
          <w:rPr>
            <w:rStyle w:val="Hyperlink"/>
            <w:sz w:val="22"/>
            <w:szCs w:val="22"/>
          </w:rPr>
          <w:t>www.vikingenergygroup.com</w:t>
        </w:r>
      </w:hyperlink>
      <w:r w:rsidR="00A76648" w:rsidRPr="00A76648">
        <w:rPr>
          <w:rStyle w:val="Hyperlink"/>
          <w:color w:val="auto"/>
          <w:sz w:val="22"/>
          <w:szCs w:val="22"/>
          <w:u w:val="none"/>
        </w:rPr>
        <w:t xml:space="preserve"> </w:t>
      </w:r>
      <w:r w:rsidR="00A76648" w:rsidRPr="004C61A1">
        <w:rPr>
          <w:rStyle w:val="Hyperlink"/>
          <w:color w:val="auto"/>
          <w:sz w:val="22"/>
          <w:szCs w:val="22"/>
          <w:u w:val="none"/>
        </w:rPr>
        <w:t>and</w:t>
      </w:r>
      <w:r w:rsidR="00A76648" w:rsidRPr="004C61A1">
        <w:rPr>
          <w:sz w:val="22"/>
          <w:szCs w:val="22"/>
        </w:rPr>
        <w:t xml:space="preserve"> </w:t>
      </w:r>
      <w:hyperlink r:id="rId8" w:history="1">
        <w:r w:rsidR="00A76648" w:rsidRPr="004C61A1">
          <w:rPr>
            <w:rStyle w:val="Hyperlink"/>
            <w:sz w:val="22"/>
            <w:szCs w:val="22"/>
          </w:rPr>
          <w:t>www.camber.energy</w:t>
        </w:r>
      </w:hyperlink>
      <w:r w:rsidR="004C61A1" w:rsidRPr="004C61A1">
        <w:rPr>
          <w:sz w:val="22"/>
          <w:szCs w:val="22"/>
        </w:rPr>
        <w:t>.</w:t>
      </w:r>
    </w:p>
    <w:p w14:paraId="3CC78FDC" w14:textId="77777777" w:rsidR="00A76648" w:rsidRPr="004C61A1" w:rsidRDefault="00A76648" w:rsidP="00A76648">
      <w:pPr>
        <w:pStyle w:val="NormalWeb"/>
        <w:shd w:val="clear" w:color="auto" w:fill="FFFFFF"/>
        <w:spacing w:before="0" w:beforeAutospacing="0" w:after="0" w:afterAutospacing="0"/>
        <w:jc w:val="both"/>
        <w:rPr>
          <w:sz w:val="22"/>
          <w:szCs w:val="22"/>
        </w:rPr>
      </w:pPr>
      <w:r w:rsidRPr="004C61A1">
        <w:rPr>
          <w:sz w:val="22"/>
          <w:szCs w:val="22"/>
          <w:u w:val="single"/>
        </w:rPr>
        <w:t>About Viking:</w:t>
      </w:r>
    </w:p>
    <w:p w14:paraId="4EE6B52D" w14:textId="77777777" w:rsidR="00A76648" w:rsidRPr="004C61A1" w:rsidRDefault="00A76648" w:rsidP="00A76648">
      <w:pPr>
        <w:pStyle w:val="NormalWeb"/>
        <w:shd w:val="clear" w:color="auto" w:fill="FFFFFF"/>
        <w:spacing w:before="0" w:beforeAutospacing="0" w:after="0" w:afterAutospacing="0"/>
        <w:jc w:val="both"/>
        <w:rPr>
          <w:sz w:val="22"/>
          <w:szCs w:val="22"/>
        </w:rPr>
      </w:pPr>
      <w:r w:rsidRPr="004C61A1">
        <w:rPr>
          <w:sz w:val="22"/>
          <w:szCs w:val="22"/>
        </w:rPr>
        <w:t> </w:t>
      </w:r>
    </w:p>
    <w:p w14:paraId="76ADB5B9" w14:textId="03C1596A" w:rsidR="00A76648" w:rsidRDefault="00A76648" w:rsidP="00A76648">
      <w:pPr>
        <w:pStyle w:val="NormalWeb"/>
        <w:spacing w:before="0" w:beforeAutospacing="0" w:after="0" w:afterAutospacing="0"/>
        <w:jc w:val="both"/>
        <w:rPr>
          <w:sz w:val="22"/>
          <w:szCs w:val="22"/>
          <w:u w:val="single"/>
        </w:rPr>
      </w:pPr>
      <w:r w:rsidRPr="004C61A1">
        <w:rPr>
          <w:sz w:val="22"/>
          <w:szCs w:val="22"/>
        </w:rPr>
        <w:t xml:space="preserve">Viking is an independent exploration and production company focused on the acquisition and development of oil and natural gas properties in the Gulf Coast and Mid-Continent region. The company owns oil and gas leases in Texas, Louisiana, </w:t>
      </w:r>
      <w:proofErr w:type="gramStart"/>
      <w:r w:rsidRPr="004C61A1">
        <w:rPr>
          <w:sz w:val="22"/>
          <w:szCs w:val="22"/>
        </w:rPr>
        <w:t>Mississippi</w:t>
      </w:r>
      <w:proofErr w:type="gramEnd"/>
      <w:r w:rsidRPr="004C61A1">
        <w:rPr>
          <w:sz w:val="22"/>
          <w:szCs w:val="22"/>
        </w:rPr>
        <w:t xml:space="preserve"> and Kansas. Viking targets undervalued assets with realistic appreciation potential.</w:t>
      </w:r>
    </w:p>
    <w:p w14:paraId="6B8AA1C4" w14:textId="77777777" w:rsidR="00A76648" w:rsidRDefault="00A76648" w:rsidP="00E9788B">
      <w:pPr>
        <w:pStyle w:val="NormalWeb"/>
        <w:spacing w:before="0" w:beforeAutospacing="0" w:after="0" w:afterAutospacing="0"/>
        <w:jc w:val="both"/>
        <w:rPr>
          <w:sz w:val="22"/>
          <w:szCs w:val="22"/>
          <w:u w:val="single"/>
        </w:rPr>
      </w:pPr>
    </w:p>
    <w:p w14:paraId="3A107FC6" w14:textId="016A7156" w:rsidR="00E9788B" w:rsidRPr="004C61A1" w:rsidRDefault="00E9788B" w:rsidP="00E9788B">
      <w:pPr>
        <w:pStyle w:val="NormalWeb"/>
        <w:spacing w:before="0" w:beforeAutospacing="0" w:after="0" w:afterAutospacing="0"/>
        <w:jc w:val="both"/>
        <w:rPr>
          <w:sz w:val="22"/>
          <w:szCs w:val="22"/>
        </w:rPr>
      </w:pPr>
      <w:r w:rsidRPr="004C61A1">
        <w:rPr>
          <w:sz w:val="22"/>
          <w:szCs w:val="22"/>
          <w:u w:val="single"/>
        </w:rPr>
        <w:t>About Camber:</w:t>
      </w:r>
    </w:p>
    <w:p w14:paraId="2602A600" w14:textId="77777777" w:rsidR="00E9788B" w:rsidRPr="004C61A1" w:rsidRDefault="00E9788B" w:rsidP="00E9788B">
      <w:pPr>
        <w:pStyle w:val="NormalWeb"/>
        <w:spacing w:before="0" w:beforeAutospacing="0" w:after="0" w:afterAutospacing="0"/>
        <w:jc w:val="both"/>
        <w:rPr>
          <w:sz w:val="22"/>
          <w:szCs w:val="22"/>
        </w:rPr>
      </w:pPr>
      <w:r w:rsidRPr="004C61A1">
        <w:rPr>
          <w:sz w:val="22"/>
          <w:szCs w:val="22"/>
        </w:rPr>
        <w:t> </w:t>
      </w:r>
    </w:p>
    <w:p w14:paraId="27F53E9D" w14:textId="4EA70406" w:rsidR="00AF76C9" w:rsidRPr="004C61A1" w:rsidRDefault="00E9788B" w:rsidP="00E9788B">
      <w:pPr>
        <w:pStyle w:val="NormalWeb"/>
        <w:spacing w:before="0" w:beforeAutospacing="0" w:after="0" w:afterAutospacing="0"/>
        <w:jc w:val="both"/>
        <w:rPr>
          <w:sz w:val="22"/>
          <w:szCs w:val="22"/>
        </w:rPr>
      </w:pPr>
      <w:r w:rsidRPr="004C61A1">
        <w:rPr>
          <w:color w:val="000000"/>
          <w:sz w:val="22"/>
          <w:szCs w:val="22"/>
          <w:shd w:val="clear" w:color="auto" w:fill="FFFFFF"/>
        </w:rPr>
        <w:t>Based in Houston, Texas, Camber Energy (NYSE American: CEI) is a growth-oriented, independent oil and gas company engaged in the development of crude oil, natural gas and natural gas liquids in Texas and Louisiana. For more information, please visit the company's website at </w:t>
      </w:r>
      <w:r w:rsidRPr="004C61A1">
        <w:rPr>
          <w:color w:val="000000"/>
          <w:sz w:val="22"/>
          <w:szCs w:val="22"/>
          <w:u w:val="single"/>
          <w:shd w:val="clear" w:color="auto" w:fill="FFFFFF"/>
        </w:rPr>
        <w:t>www.camber.energy</w:t>
      </w:r>
      <w:r w:rsidRPr="004C61A1">
        <w:rPr>
          <w:color w:val="000000"/>
          <w:sz w:val="22"/>
          <w:szCs w:val="22"/>
        </w:rPr>
        <w:t>.</w:t>
      </w:r>
    </w:p>
    <w:p w14:paraId="0C97E3F2" w14:textId="77777777" w:rsidR="00E9788B" w:rsidRPr="004C61A1" w:rsidRDefault="00E9788B" w:rsidP="00AF76C9">
      <w:pPr>
        <w:pStyle w:val="NormalWeb"/>
        <w:spacing w:before="0" w:beforeAutospacing="0" w:after="0" w:afterAutospacing="0"/>
        <w:jc w:val="both"/>
        <w:rPr>
          <w:sz w:val="22"/>
          <w:szCs w:val="22"/>
        </w:rPr>
      </w:pPr>
    </w:p>
    <w:p w14:paraId="209B6932" w14:textId="7CB0A3E7" w:rsidR="00AF76C9" w:rsidRPr="004C61A1" w:rsidRDefault="00AF76C9" w:rsidP="00AF76C9">
      <w:pPr>
        <w:pStyle w:val="NormalWeb"/>
        <w:spacing w:before="0" w:beforeAutospacing="0" w:after="0" w:afterAutospacing="0"/>
        <w:jc w:val="both"/>
        <w:rPr>
          <w:sz w:val="22"/>
          <w:szCs w:val="22"/>
        </w:rPr>
      </w:pPr>
      <w:r w:rsidRPr="004C61A1">
        <w:rPr>
          <w:b/>
          <w:bCs/>
          <w:sz w:val="22"/>
          <w:szCs w:val="22"/>
        </w:rPr>
        <w:t>Forward-Looking Statements</w:t>
      </w:r>
    </w:p>
    <w:p w14:paraId="051F5BF7" w14:textId="77777777" w:rsidR="00AF76C9" w:rsidRPr="004C61A1" w:rsidRDefault="00AF76C9" w:rsidP="00AF76C9">
      <w:pPr>
        <w:pStyle w:val="NormalWeb"/>
        <w:spacing w:before="0" w:beforeAutospacing="0" w:after="0" w:afterAutospacing="0"/>
        <w:jc w:val="both"/>
        <w:rPr>
          <w:sz w:val="22"/>
          <w:szCs w:val="22"/>
        </w:rPr>
      </w:pPr>
      <w:r w:rsidRPr="004C61A1">
        <w:rPr>
          <w:sz w:val="22"/>
          <w:szCs w:val="22"/>
        </w:rPr>
        <w:t> </w:t>
      </w:r>
    </w:p>
    <w:p w14:paraId="43128B86" w14:textId="558FC64E" w:rsidR="00F241E9" w:rsidRPr="004C61A1" w:rsidRDefault="00F241E9" w:rsidP="00AF76C9">
      <w:pPr>
        <w:pStyle w:val="NormalWeb"/>
        <w:spacing w:before="0" w:beforeAutospacing="0" w:after="0" w:afterAutospacing="0"/>
        <w:jc w:val="both"/>
        <w:rPr>
          <w:sz w:val="22"/>
          <w:szCs w:val="22"/>
          <w:shd w:val="clear" w:color="auto" w:fill="FFFFFF"/>
        </w:rPr>
      </w:pPr>
      <w:r w:rsidRPr="004C61A1">
        <w:rPr>
          <w:sz w:val="22"/>
          <w:szCs w:val="22"/>
          <w:shd w:val="clear" w:color="auto" w:fill="FFFFFF"/>
        </w:rPr>
        <w:t xml:space="preserve">This press release may contain forward-looking information within the meaning of Section 21E of the Securities Exchange Act of 1934, as amended, and Section 27A of the Securities Act of 1933, as amended. Any statements that are not historical facts contained in this press release are "forward-looking statements", which statements may be identified by words such as "expects," "plans," "projects," "will," "may," "anticipates," "believes," "should," "intends," "estimates," and other words of similar meaning. Such forward-looking statements are based on current expectations, involve known and unknown risks, a reliance on third parties for information, transactions that may </w:t>
      </w:r>
      <w:r w:rsidRPr="004C61A1">
        <w:rPr>
          <w:sz w:val="22"/>
          <w:szCs w:val="22"/>
          <w:shd w:val="clear" w:color="auto" w:fill="FFFFFF"/>
        </w:rPr>
        <w:lastRenderedPageBreak/>
        <w:t>be cancelled, and other factors that may cause our actual results, performance or achievements, or developments in our industry, to differ materially from the anticipated results, performance or achievements expressed or implied by such forward-looking statements. Factors that could cause actual results to differ materially from anticipated results include risks and uncertainties related to the fluctuation of global economic conditions or economic conditions with respect to the oil and gas industry, the COVID-19 pandemic, the performance of management, actions of government regulators, vendors, and suppliers, our cash flows and ability to obtain financing, competition, general economic conditions and other factors that are detailed in Camber’s and Viking’s respective filings with the Securities and Exchange Commission. We intend that all forward-looking statements be subject to the safe-harbor provisions.</w:t>
      </w:r>
    </w:p>
    <w:p w14:paraId="71DDEF83" w14:textId="3EA85AD1" w:rsidR="00644213" w:rsidRPr="004C61A1" w:rsidRDefault="00644213" w:rsidP="00AF76C9">
      <w:pPr>
        <w:pStyle w:val="NormalWeb"/>
        <w:spacing w:before="0" w:beforeAutospacing="0" w:after="0" w:afterAutospacing="0"/>
        <w:jc w:val="both"/>
        <w:rPr>
          <w:sz w:val="22"/>
          <w:szCs w:val="22"/>
        </w:rPr>
      </w:pPr>
    </w:p>
    <w:p w14:paraId="4DAE785F" w14:textId="77777777" w:rsidR="0057598D" w:rsidRDefault="00644213" w:rsidP="00644213">
      <w:pPr>
        <w:pStyle w:val="NormalWeb"/>
        <w:spacing w:before="0" w:beforeAutospacing="0" w:after="0" w:afterAutospacing="0"/>
        <w:rPr>
          <w:sz w:val="22"/>
          <w:szCs w:val="22"/>
        </w:rPr>
      </w:pPr>
      <w:r w:rsidRPr="004C61A1">
        <w:rPr>
          <w:rStyle w:val="Strong"/>
          <w:sz w:val="22"/>
          <w:szCs w:val="22"/>
          <w:u w:val="single"/>
          <w:bdr w:val="none" w:sz="0" w:space="0" w:color="auto" w:frame="1"/>
        </w:rPr>
        <w:t>Contact Information</w:t>
      </w:r>
      <w:r w:rsidRPr="004C61A1">
        <w:rPr>
          <w:sz w:val="22"/>
          <w:szCs w:val="22"/>
        </w:rPr>
        <w:br/>
        <w:t>Investors and Media:</w:t>
      </w:r>
      <w:r w:rsidRPr="004C61A1">
        <w:rPr>
          <w:sz w:val="22"/>
          <w:szCs w:val="22"/>
        </w:rPr>
        <w:br/>
        <w:t>Tel. 281.404.4387 (ext.3)</w:t>
      </w:r>
    </w:p>
    <w:p w14:paraId="5BB0E1A9" w14:textId="394CA729" w:rsidR="00644213" w:rsidRPr="004C61A1" w:rsidRDefault="0057598D" w:rsidP="00644213">
      <w:pPr>
        <w:pStyle w:val="NormalWeb"/>
        <w:spacing w:before="0" w:beforeAutospacing="0" w:after="0" w:afterAutospacing="0"/>
        <w:rPr>
          <w:sz w:val="20"/>
          <w:szCs w:val="20"/>
        </w:rPr>
      </w:pPr>
      <w:hyperlink r:id="rId9" w:history="1">
        <w:r>
          <w:rPr>
            <w:rStyle w:val="Hyperlink"/>
            <w:rFonts w:eastAsiaTheme="majorEastAsia"/>
            <w:sz w:val="22"/>
            <w:szCs w:val="22"/>
            <w:bdr w:val="none" w:sz="0" w:space="0" w:color="auto" w:frame="1"/>
          </w:rPr>
          <w:t xml:space="preserve">IR@vikingenergygroup.com </w:t>
        </w:r>
      </w:hyperlink>
      <w:r w:rsidR="00644213" w:rsidRPr="004C61A1">
        <w:rPr>
          <w:sz w:val="20"/>
          <w:szCs w:val="20"/>
        </w:rPr>
        <w:br/>
      </w:r>
    </w:p>
    <w:sectPr w:rsidR="00644213" w:rsidRPr="004C61A1" w:rsidSect="00F3523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DE3207"/>
    <w:multiLevelType w:val="multilevel"/>
    <w:tmpl w:val="D49027C4"/>
    <w:lvl w:ilvl="0">
      <w:start w:val="1"/>
      <w:numFmt w:val="upperRoman"/>
      <w:pStyle w:val="Heading1"/>
      <w:lvlText w:val="Article %1."/>
      <w:lvlJc w:val="left"/>
      <w:pPr>
        <w:ind w:left="423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pPr>
        <w:ind w:left="720" w:firstLine="0"/>
      </w:pPr>
    </w:lvl>
    <w:lvl w:ilvl="2">
      <w:start w:val="1"/>
      <w:numFmt w:val="lowerLetter"/>
      <w:pStyle w:val="Heading3"/>
      <w:lvlText w:val="(%3)"/>
      <w:lvlJc w:val="left"/>
      <w:pPr>
        <w:ind w:left="1440" w:hanging="432"/>
      </w:pPr>
    </w:lvl>
    <w:lvl w:ilvl="3">
      <w:start w:val="1"/>
      <w:numFmt w:val="lowerRoman"/>
      <w:pStyle w:val="Heading4"/>
      <w:lvlText w:val="(%4)"/>
      <w:lvlJc w:val="right"/>
      <w:pPr>
        <w:ind w:left="1584" w:hanging="144"/>
      </w:pPr>
    </w:lvl>
    <w:lvl w:ilvl="4">
      <w:start w:val="1"/>
      <w:numFmt w:val="decimal"/>
      <w:pStyle w:val="Heading5"/>
      <w:lvlText w:val="%5)"/>
      <w:lvlJc w:val="left"/>
      <w:pPr>
        <w:ind w:left="1728" w:hanging="432"/>
      </w:pPr>
    </w:lvl>
    <w:lvl w:ilvl="5">
      <w:start w:val="1"/>
      <w:numFmt w:val="lowerLetter"/>
      <w:lvlText w:val="%6)"/>
      <w:lvlJc w:val="left"/>
      <w:pPr>
        <w:ind w:left="1872" w:hanging="432"/>
      </w:pPr>
    </w:lvl>
    <w:lvl w:ilvl="6">
      <w:start w:val="1"/>
      <w:numFmt w:val="lowerRoman"/>
      <w:lvlText w:val="%7)"/>
      <w:lvlJc w:val="right"/>
      <w:pPr>
        <w:ind w:left="2016" w:hanging="288"/>
      </w:pPr>
    </w:lvl>
    <w:lvl w:ilvl="7">
      <w:start w:val="1"/>
      <w:numFmt w:val="lowerLetter"/>
      <w:lvlText w:val="%8."/>
      <w:lvlJc w:val="left"/>
      <w:pPr>
        <w:ind w:left="2160" w:hanging="432"/>
      </w:pPr>
    </w:lvl>
    <w:lvl w:ilvl="8">
      <w:start w:val="1"/>
      <w:numFmt w:val="lowerRoman"/>
      <w:lvlText w:val="%9."/>
      <w:lvlJc w:val="right"/>
      <w:pPr>
        <w:ind w:left="2304" w:hanging="14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M7K0MDczNbawtLBQ0lEKTi0uzszPAykwrAUAELr48CwAAAA="/>
  </w:docVars>
  <w:rsids>
    <w:rsidRoot w:val="00E21AD8"/>
    <w:rsid w:val="000163DE"/>
    <w:rsid w:val="0002468A"/>
    <w:rsid w:val="000249DD"/>
    <w:rsid w:val="0003756F"/>
    <w:rsid w:val="00037E40"/>
    <w:rsid w:val="00061ACE"/>
    <w:rsid w:val="00067AB7"/>
    <w:rsid w:val="000721B3"/>
    <w:rsid w:val="00072F5E"/>
    <w:rsid w:val="00075BC5"/>
    <w:rsid w:val="0008698D"/>
    <w:rsid w:val="000922D5"/>
    <w:rsid w:val="00094868"/>
    <w:rsid w:val="00094C3D"/>
    <w:rsid w:val="00096CA7"/>
    <w:rsid w:val="00097894"/>
    <w:rsid w:val="000A2A10"/>
    <w:rsid w:val="000B5198"/>
    <w:rsid w:val="000B711F"/>
    <w:rsid w:val="000B71B0"/>
    <w:rsid w:val="000C1AC7"/>
    <w:rsid w:val="000D1C20"/>
    <w:rsid w:val="000E21FE"/>
    <w:rsid w:val="000E468F"/>
    <w:rsid w:val="00105B33"/>
    <w:rsid w:val="00114736"/>
    <w:rsid w:val="00116916"/>
    <w:rsid w:val="00132607"/>
    <w:rsid w:val="001332AA"/>
    <w:rsid w:val="00143687"/>
    <w:rsid w:val="00146609"/>
    <w:rsid w:val="001509CE"/>
    <w:rsid w:val="00155A3A"/>
    <w:rsid w:val="00155FB1"/>
    <w:rsid w:val="00157FC2"/>
    <w:rsid w:val="00160BAC"/>
    <w:rsid w:val="00171C3A"/>
    <w:rsid w:val="00173FCF"/>
    <w:rsid w:val="001742C5"/>
    <w:rsid w:val="001826E1"/>
    <w:rsid w:val="00184D7E"/>
    <w:rsid w:val="00184DF0"/>
    <w:rsid w:val="001858A5"/>
    <w:rsid w:val="00185C29"/>
    <w:rsid w:val="001927EE"/>
    <w:rsid w:val="001A185B"/>
    <w:rsid w:val="001A5FE5"/>
    <w:rsid w:val="001A62B9"/>
    <w:rsid w:val="001B17CD"/>
    <w:rsid w:val="001B3CEE"/>
    <w:rsid w:val="001C7238"/>
    <w:rsid w:val="001D47CA"/>
    <w:rsid w:val="001E13F8"/>
    <w:rsid w:val="001E2A02"/>
    <w:rsid w:val="001E3184"/>
    <w:rsid w:val="001F0666"/>
    <w:rsid w:val="001F3D3F"/>
    <w:rsid w:val="001F5A67"/>
    <w:rsid w:val="00202C3B"/>
    <w:rsid w:val="00211FA3"/>
    <w:rsid w:val="00212362"/>
    <w:rsid w:val="0022211B"/>
    <w:rsid w:val="0022385A"/>
    <w:rsid w:val="002245A7"/>
    <w:rsid w:val="0023162F"/>
    <w:rsid w:val="002352D5"/>
    <w:rsid w:val="002357E8"/>
    <w:rsid w:val="002400EE"/>
    <w:rsid w:val="002416D5"/>
    <w:rsid w:val="00242218"/>
    <w:rsid w:val="00243500"/>
    <w:rsid w:val="00246148"/>
    <w:rsid w:val="00250365"/>
    <w:rsid w:val="002621F1"/>
    <w:rsid w:val="0027044C"/>
    <w:rsid w:val="00270AD6"/>
    <w:rsid w:val="0027103F"/>
    <w:rsid w:val="0027594B"/>
    <w:rsid w:val="00284DE0"/>
    <w:rsid w:val="002858B3"/>
    <w:rsid w:val="00290507"/>
    <w:rsid w:val="00291FB2"/>
    <w:rsid w:val="002939B4"/>
    <w:rsid w:val="00293B3E"/>
    <w:rsid w:val="00293D15"/>
    <w:rsid w:val="002A356A"/>
    <w:rsid w:val="002A5162"/>
    <w:rsid w:val="002B4685"/>
    <w:rsid w:val="002B6C2A"/>
    <w:rsid w:val="002C4B53"/>
    <w:rsid w:val="002C5C39"/>
    <w:rsid w:val="002D0216"/>
    <w:rsid w:val="002D0331"/>
    <w:rsid w:val="002D1303"/>
    <w:rsid w:val="002D3425"/>
    <w:rsid w:val="002D4B7B"/>
    <w:rsid w:val="002E0961"/>
    <w:rsid w:val="002E6F4C"/>
    <w:rsid w:val="0030062D"/>
    <w:rsid w:val="00306B67"/>
    <w:rsid w:val="00310AFF"/>
    <w:rsid w:val="00311773"/>
    <w:rsid w:val="003228DD"/>
    <w:rsid w:val="0032404C"/>
    <w:rsid w:val="00331079"/>
    <w:rsid w:val="003339B3"/>
    <w:rsid w:val="00336521"/>
    <w:rsid w:val="00341FBE"/>
    <w:rsid w:val="003427AB"/>
    <w:rsid w:val="003472BD"/>
    <w:rsid w:val="00347826"/>
    <w:rsid w:val="00351CD9"/>
    <w:rsid w:val="00356ACD"/>
    <w:rsid w:val="0036717E"/>
    <w:rsid w:val="003717DE"/>
    <w:rsid w:val="003727F5"/>
    <w:rsid w:val="00383757"/>
    <w:rsid w:val="0038743C"/>
    <w:rsid w:val="0038775A"/>
    <w:rsid w:val="00390552"/>
    <w:rsid w:val="0039095C"/>
    <w:rsid w:val="003941A3"/>
    <w:rsid w:val="003959E6"/>
    <w:rsid w:val="0039625D"/>
    <w:rsid w:val="003B53DB"/>
    <w:rsid w:val="003C189C"/>
    <w:rsid w:val="003C27F9"/>
    <w:rsid w:val="003C49E0"/>
    <w:rsid w:val="003C6A52"/>
    <w:rsid w:val="003C7084"/>
    <w:rsid w:val="003D2018"/>
    <w:rsid w:val="003D270F"/>
    <w:rsid w:val="003D315D"/>
    <w:rsid w:val="003E07BA"/>
    <w:rsid w:val="003E1A8F"/>
    <w:rsid w:val="003E2A2B"/>
    <w:rsid w:val="003E48A7"/>
    <w:rsid w:val="003E5483"/>
    <w:rsid w:val="00407B94"/>
    <w:rsid w:val="0041367D"/>
    <w:rsid w:val="00414B05"/>
    <w:rsid w:val="0041594B"/>
    <w:rsid w:val="00421842"/>
    <w:rsid w:val="00424CC2"/>
    <w:rsid w:val="0043152E"/>
    <w:rsid w:val="0043323B"/>
    <w:rsid w:val="0045548D"/>
    <w:rsid w:val="00462A85"/>
    <w:rsid w:val="004679B7"/>
    <w:rsid w:val="00477F31"/>
    <w:rsid w:val="00482136"/>
    <w:rsid w:val="00484547"/>
    <w:rsid w:val="004A0C2C"/>
    <w:rsid w:val="004A127A"/>
    <w:rsid w:val="004B0CC5"/>
    <w:rsid w:val="004C0FD4"/>
    <w:rsid w:val="004C61A1"/>
    <w:rsid w:val="004C74F1"/>
    <w:rsid w:val="004D27CB"/>
    <w:rsid w:val="004D2C2B"/>
    <w:rsid w:val="004D56AE"/>
    <w:rsid w:val="004E5D22"/>
    <w:rsid w:val="004F1874"/>
    <w:rsid w:val="0050105B"/>
    <w:rsid w:val="0050479B"/>
    <w:rsid w:val="00506C09"/>
    <w:rsid w:val="00513094"/>
    <w:rsid w:val="0052155B"/>
    <w:rsid w:val="0052425C"/>
    <w:rsid w:val="005275EB"/>
    <w:rsid w:val="00527BEC"/>
    <w:rsid w:val="00527CD8"/>
    <w:rsid w:val="00530DCB"/>
    <w:rsid w:val="005329BD"/>
    <w:rsid w:val="00537B6A"/>
    <w:rsid w:val="0054067F"/>
    <w:rsid w:val="00540EFE"/>
    <w:rsid w:val="00543B5B"/>
    <w:rsid w:val="005573DE"/>
    <w:rsid w:val="0056594E"/>
    <w:rsid w:val="0057454C"/>
    <w:rsid w:val="0057598D"/>
    <w:rsid w:val="00575AF2"/>
    <w:rsid w:val="005814CB"/>
    <w:rsid w:val="00581F3D"/>
    <w:rsid w:val="0059395A"/>
    <w:rsid w:val="005969B0"/>
    <w:rsid w:val="005A021E"/>
    <w:rsid w:val="005A56C8"/>
    <w:rsid w:val="005B198F"/>
    <w:rsid w:val="005B4253"/>
    <w:rsid w:val="005B4845"/>
    <w:rsid w:val="005B65EB"/>
    <w:rsid w:val="005B6A98"/>
    <w:rsid w:val="005C32BB"/>
    <w:rsid w:val="005C3CF5"/>
    <w:rsid w:val="005C4B34"/>
    <w:rsid w:val="005C7BBC"/>
    <w:rsid w:val="005C7F26"/>
    <w:rsid w:val="005D3287"/>
    <w:rsid w:val="005D3EDA"/>
    <w:rsid w:val="005D7CAD"/>
    <w:rsid w:val="005E066D"/>
    <w:rsid w:val="005F2544"/>
    <w:rsid w:val="005F4B6B"/>
    <w:rsid w:val="005F7E90"/>
    <w:rsid w:val="0060144B"/>
    <w:rsid w:val="006018B3"/>
    <w:rsid w:val="0060668C"/>
    <w:rsid w:val="00610451"/>
    <w:rsid w:val="00611452"/>
    <w:rsid w:val="00616C82"/>
    <w:rsid w:val="00623A54"/>
    <w:rsid w:val="00626A51"/>
    <w:rsid w:val="00634E67"/>
    <w:rsid w:val="00637192"/>
    <w:rsid w:val="006375D5"/>
    <w:rsid w:val="006379F0"/>
    <w:rsid w:val="00644213"/>
    <w:rsid w:val="00645409"/>
    <w:rsid w:val="00653E17"/>
    <w:rsid w:val="00656747"/>
    <w:rsid w:val="006707A6"/>
    <w:rsid w:val="006739E1"/>
    <w:rsid w:val="00673FC8"/>
    <w:rsid w:val="0069031B"/>
    <w:rsid w:val="006A358C"/>
    <w:rsid w:val="006A7E04"/>
    <w:rsid w:val="006B759A"/>
    <w:rsid w:val="006C00CE"/>
    <w:rsid w:val="006C10E8"/>
    <w:rsid w:val="006C5911"/>
    <w:rsid w:val="006D610F"/>
    <w:rsid w:val="006F363B"/>
    <w:rsid w:val="006F54BF"/>
    <w:rsid w:val="006F770A"/>
    <w:rsid w:val="006F7BC1"/>
    <w:rsid w:val="007013BB"/>
    <w:rsid w:val="00715D4F"/>
    <w:rsid w:val="00716A86"/>
    <w:rsid w:val="007214EF"/>
    <w:rsid w:val="00721A26"/>
    <w:rsid w:val="0072256A"/>
    <w:rsid w:val="007235D7"/>
    <w:rsid w:val="00726001"/>
    <w:rsid w:val="00726761"/>
    <w:rsid w:val="00734872"/>
    <w:rsid w:val="0073544A"/>
    <w:rsid w:val="00736CAC"/>
    <w:rsid w:val="00742F9F"/>
    <w:rsid w:val="00753B26"/>
    <w:rsid w:val="007607D3"/>
    <w:rsid w:val="00774775"/>
    <w:rsid w:val="0077552B"/>
    <w:rsid w:val="00776BA0"/>
    <w:rsid w:val="0078312E"/>
    <w:rsid w:val="00792F35"/>
    <w:rsid w:val="007961FA"/>
    <w:rsid w:val="0079658A"/>
    <w:rsid w:val="00797721"/>
    <w:rsid w:val="007A5AA9"/>
    <w:rsid w:val="007A7359"/>
    <w:rsid w:val="007C108E"/>
    <w:rsid w:val="007C1BEC"/>
    <w:rsid w:val="007D6069"/>
    <w:rsid w:val="007D761F"/>
    <w:rsid w:val="007E035F"/>
    <w:rsid w:val="007E1266"/>
    <w:rsid w:val="007F2742"/>
    <w:rsid w:val="007F5D21"/>
    <w:rsid w:val="00801A43"/>
    <w:rsid w:val="008064F9"/>
    <w:rsid w:val="00806A9D"/>
    <w:rsid w:val="00817746"/>
    <w:rsid w:val="0082197C"/>
    <w:rsid w:val="00821F33"/>
    <w:rsid w:val="00825176"/>
    <w:rsid w:val="00825E16"/>
    <w:rsid w:val="008303F1"/>
    <w:rsid w:val="00834533"/>
    <w:rsid w:val="00835D3D"/>
    <w:rsid w:val="00840425"/>
    <w:rsid w:val="00843CA9"/>
    <w:rsid w:val="008469B9"/>
    <w:rsid w:val="008545F1"/>
    <w:rsid w:val="00857045"/>
    <w:rsid w:val="00857DA3"/>
    <w:rsid w:val="00866897"/>
    <w:rsid w:val="00867587"/>
    <w:rsid w:val="0087061B"/>
    <w:rsid w:val="00871EDC"/>
    <w:rsid w:val="00876EA0"/>
    <w:rsid w:val="00884509"/>
    <w:rsid w:val="008864B0"/>
    <w:rsid w:val="008877FF"/>
    <w:rsid w:val="00892E53"/>
    <w:rsid w:val="0089531F"/>
    <w:rsid w:val="008A30DB"/>
    <w:rsid w:val="008A54F2"/>
    <w:rsid w:val="008B065B"/>
    <w:rsid w:val="008B122B"/>
    <w:rsid w:val="008B18BE"/>
    <w:rsid w:val="008B40D7"/>
    <w:rsid w:val="008C7FE2"/>
    <w:rsid w:val="008D54CB"/>
    <w:rsid w:val="008E041F"/>
    <w:rsid w:val="008E608A"/>
    <w:rsid w:val="008F3DF7"/>
    <w:rsid w:val="0090693F"/>
    <w:rsid w:val="00906DF6"/>
    <w:rsid w:val="009078C2"/>
    <w:rsid w:val="00907ADA"/>
    <w:rsid w:val="009115BB"/>
    <w:rsid w:val="0092133D"/>
    <w:rsid w:val="00923847"/>
    <w:rsid w:val="00924A63"/>
    <w:rsid w:val="00926D33"/>
    <w:rsid w:val="009354D1"/>
    <w:rsid w:val="00936122"/>
    <w:rsid w:val="0093655B"/>
    <w:rsid w:val="00951E30"/>
    <w:rsid w:val="00953429"/>
    <w:rsid w:val="0095786E"/>
    <w:rsid w:val="00973ECB"/>
    <w:rsid w:val="00991A18"/>
    <w:rsid w:val="00994CBD"/>
    <w:rsid w:val="009A0CD3"/>
    <w:rsid w:val="009A3535"/>
    <w:rsid w:val="009A4869"/>
    <w:rsid w:val="009A554F"/>
    <w:rsid w:val="009C01F7"/>
    <w:rsid w:val="009C1232"/>
    <w:rsid w:val="009D5E9B"/>
    <w:rsid w:val="009E7DB6"/>
    <w:rsid w:val="009F0014"/>
    <w:rsid w:val="009F77CE"/>
    <w:rsid w:val="00A048C5"/>
    <w:rsid w:val="00A05D26"/>
    <w:rsid w:val="00A06B6C"/>
    <w:rsid w:val="00A11A6D"/>
    <w:rsid w:val="00A178C7"/>
    <w:rsid w:val="00A20FA9"/>
    <w:rsid w:val="00A2262C"/>
    <w:rsid w:val="00A234B4"/>
    <w:rsid w:val="00A3234F"/>
    <w:rsid w:val="00A3294B"/>
    <w:rsid w:val="00A34AE3"/>
    <w:rsid w:val="00A36EAC"/>
    <w:rsid w:val="00A41A98"/>
    <w:rsid w:val="00A4385D"/>
    <w:rsid w:val="00A45E5B"/>
    <w:rsid w:val="00A60E97"/>
    <w:rsid w:val="00A61DDE"/>
    <w:rsid w:val="00A6213A"/>
    <w:rsid w:val="00A65314"/>
    <w:rsid w:val="00A74047"/>
    <w:rsid w:val="00A76648"/>
    <w:rsid w:val="00A7799F"/>
    <w:rsid w:val="00A83115"/>
    <w:rsid w:val="00A8727E"/>
    <w:rsid w:val="00A90301"/>
    <w:rsid w:val="00A90E8B"/>
    <w:rsid w:val="00A9758F"/>
    <w:rsid w:val="00A97AAB"/>
    <w:rsid w:val="00AA353F"/>
    <w:rsid w:val="00AA69D0"/>
    <w:rsid w:val="00AA6C21"/>
    <w:rsid w:val="00AA6E87"/>
    <w:rsid w:val="00AC1B66"/>
    <w:rsid w:val="00AC23F9"/>
    <w:rsid w:val="00AC42A7"/>
    <w:rsid w:val="00AD2202"/>
    <w:rsid w:val="00AD336A"/>
    <w:rsid w:val="00AD63B6"/>
    <w:rsid w:val="00AD787F"/>
    <w:rsid w:val="00AE3453"/>
    <w:rsid w:val="00AE5227"/>
    <w:rsid w:val="00AE52FF"/>
    <w:rsid w:val="00AE6425"/>
    <w:rsid w:val="00AF76C9"/>
    <w:rsid w:val="00AF7D78"/>
    <w:rsid w:val="00B0190A"/>
    <w:rsid w:val="00B16213"/>
    <w:rsid w:val="00B2261B"/>
    <w:rsid w:val="00B22CA4"/>
    <w:rsid w:val="00B25681"/>
    <w:rsid w:val="00B257DD"/>
    <w:rsid w:val="00B25AEB"/>
    <w:rsid w:val="00B30B08"/>
    <w:rsid w:val="00B345BB"/>
    <w:rsid w:val="00B41FCC"/>
    <w:rsid w:val="00B42F10"/>
    <w:rsid w:val="00B44715"/>
    <w:rsid w:val="00B46740"/>
    <w:rsid w:val="00B56D6F"/>
    <w:rsid w:val="00B64799"/>
    <w:rsid w:val="00B66593"/>
    <w:rsid w:val="00B7162F"/>
    <w:rsid w:val="00B90370"/>
    <w:rsid w:val="00BB03C1"/>
    <w:rsid w:val="00BC1EC7"/>
    <w:rsid w:val="00BD02D0"/>
    <w:rsid w:val="00BD17B8"/>
    <w:rsid w:val="00BE292A"/>
    <w:rsid w:val="00BE315D"/>
    <w:rsid w:val="00BF67B0"/>
    <w:rsid w:val="00C05668"/>
    <w:rsid w:val="00C116C6"/>
    <w:rsid w:val="00C13EAA"/>
    <w:rsid w:val="00C330AA"/>
    <w:rsid w:val="00C35638"/>
    <w:rsid w:val="00C362B2"/>
    <w:rsid w:val="00C36F92"/>
    <w:rsid w:val="00C40103"/>
    <w:rsid w:val="00C42FC7"/>
    <w:rsid w:val="00C43631"/>
    <w:rsid w:val="00C4423C"/>
    <w:rsid w:val="00C45A0C"/>
    <w:rsid w:val="00C46B4B"/>
    <w:rsid w:val="00C529F5"/>
    <w:rsid w:val="00C575FA"/>
    <w:rsid w:val="00C62518"/>
    <w:rsid w:val="00C640D8"/>
    <w:rsid w:val="00C67975"/>
    <w:rsid w:val="00C75E6C"/>
    <w:rsid w:val="00C87A03"/>
    <w:rsid w:val="00C9086C"/>
    <w:rsid w:val="00C92E78"/>
    <w:rsid w:val="00CA03D8"/>
    <w:rsid w:val="00CA0E12"/>
    <w:rsid w:val="00CA5C40"/>
    <w:rsid w:val="00CA6668"/>
    <w:rsid w:val="00CA7DF9"/>
    <w:rsid w:val="00CC12B3"/>
    <w:rsid w:val="00CC15B8"/>
    <w:rsid w:val="00CC41A8"/>
    <w:rsid w:val="00CC5136"/>
    <w:rsid w:val="00CC7588"/>
    <w:rsid w:val="00CD7F5A"/>
    <w:rsid w:val="00CE115E"/>
    <w:rsid w:val="00CE1EF6"/>
    <w:rsid w:val="00CE34ED"/>
    <w:rsid w:val="00CE5876"/>
    <w:rsid w:val="00CF0A40"/>
    <w:rsid w:val="00D01510"/>
    <w:rsid w:val="00D031BA"/>
    <w:rsid w:val="00D06194"/>
    <w:rsid w:val="00D1212B"/>
    <w:rsid w:val="00D1577A"/>
    <w:rsid w:val="00D16D2B"/>
    <w:rsid w:val="00D17B10"/>
    <w:rsid w:val="00D30726"/>
    <w:rsid w:val="00D31D9D"/>
    <w:rsid w:val="00D364F7"/>
    <w:rsid w:val="00D44C18"/>
    <w:rsid w:val="00D505C2"/>
    <w:rsid w:val="00D5073E"/>
    <w:rsid w:val="00D56CC6"/>
    <w:rsid w:val="00D6232F"/>
    <w:rsid w:val="00D62527"/>
    <w:rsid w:val="00D6289D"/>
    <w:rsid w:val="00D64683"/>
    <w:rsid w:val="00D65583"/>
    <w:rsid w:val="00D66563"/>
    <w:rsid w:val="00D66887"/>
    <w:rsid w:val="00D6766E"/>
    <w:rsid w:val="00D73EBC"/>
    <w:rsid w:val="00D84560"/>
    <w:rsid w:val="00D86357"/>
    <w:rsid w:val="00D8641C"/>
    <w:rsid w:val="00DA227E"/>
    <w:rsid w:val="00DA2FE6"/>
    <w:rsid w:val="00DB62C1"/>
    <w:rsid w:val="00DC1A6F"/>
    <w:rsid w:val="00DD00D4"/>
    <w:rsid w:val="00DD0D8F"/>
    <w:rsid w:val="00DE7FBA"/>
    <w:rsid w:val="00DF5460"/>
    <w:rsid w:val="00E017D8"/>
    <w:rsid w:val="00E02953"/>
    <w:rsid w:val="00E064DA"/>
    <w:rsid w:val="00E07620"/>
    <w:rsid w:val="00E07AC1"/>
    <w:rsid w:val="00E1174E"/>
    <w:rsid w:val="00E202C3"/>
    <w:rsid w:val="00E21AD8"/>
    <w:rsid w:val="00E24B9C"/>
    <w:rsid w:val="00E37517"/>
    <w:rsid w:val="00E409C1"/>
    <w:rsid w:val="00E46EA6"/>
    <w:rsid w:val="00E51EC4"/>
    <w:rsid w:val="00E55531"/>
    <w:rsid w:val="00E620C2"/>
    <w:rsid w:val="00E65500"/>
    <w:rsid w:val="00E65996"/>
    <w:rsid w:val="00E76D40"/>
    <w:rsid w:val="00E80AFE"/>
    <w:rsid w:val="00E83A0D"/>
    <w:rsid w:val="00E865F5"/>
    <w:rsid w:val="00E9002E"/>
    <w:rsid w:val="00E90D81"/>
    <w:rsid w:val="00E911D2"/>
    <w:rsid w:val="00E9788B"/>
    <w:rsid w:val="00EB3B7F"/>
    <w:rsid w:val="00EB6B86"/>
    <w:rsid w:val="00EB7200"/>
    <w:rsid w:val="00EC2244"/>
    <w:rsid w:val="00EC4119"/>
    <w:rsid w:val="00EC4570"/>
    <w:rsid w:val="00ED6F53"/>
    <w:rsid w:val="00EE1456"/>
    <w:rsid w:val="00EE1B63"/>
    <w:rsid w:val="00EE5E91"/>
    <w:rsid w:val="00EF33C9"/>
    <w:rsid w:val="00F04F35"/>
    <w:rsid w:val="00F06D9E"/>
    <w:rsid w:val="00F11510"/>
    <w:rsid w:val="00F203A5"/>
    <w:rsid w:val="00F218D7"/>
    <w:rsid w:val="00F23C1C"/>
    <w:rsid w:val="00F241E9"/>
    <w:rsid w:val="00F268B2"/>
    <w:rsid w:val="00F32E61"/>
    <w:rsid w:val="00F33BEC"/>
    <w:rsid w:val="00F34DAB"/>
    <w:rsid w:val="00F35230"/>
    <w:rsid w:val="00F40B66"/>
    <w:rsid w:val="00F45A7E"/>
    <w:rsid w:val="00F51690"/>
    <w:rsid w:val="00F54EE1"/>
    <w:rsid w:val="00F62F5D"/>
    <w:rsid w:val="00F63BA5"/>
    <w:rsid w:val="00F73096"/>
    <w:rsid w:val="00F746CF"/>
    <w:rsid w:val="00F852AE"/>
    <w:rsid w:val="00F92E25"/>
    <w:rsid w:val="00F93AA7"/>
    <w:rsid w:val="00FA1257"/>
    <w:rsid w:val="00FA2182"/>
    <w:rsid w:val="00FA4DC5"/>
    <w:rsid w:val="00FA760D"/>
    <w:rsid w:val="00FB417D"/>
    <w:rsid w:val="00FC562A"/>
    <w:rsid w:val="00FC791E"/>
    <w:rsid w:val="00FD1AD3"/>
    <w:rsid w:val="00FD4662"/>
    <w:rsid w:val="00FD73FE"/>
    <w:rsid w:val="00FE295B"/>
    <w:rsid w:val="00FE3081"/>
    <w:rsid w:val="00FE364C"/>
    <w:rsid w:val="00FE36BC"/>
    <w:rsid w:val="00FE39BB"/>
    <w:rsid w:val="00FE5BEC"/>
    <w:rsid w:val="00FF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C22E25"/>
  <w15:chartTrackingRefBased/>
  <w15:docId w15:val="{692BA710-B8AC-4750-9A8F-F5FB776E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30062D"/>
    <w:pPr>
      <w:keepNext/>
      <w:keepLines/>
      <w:numPr>
        <w:numId w:val="7"/>
      </w:numPr>
      <w:spacing w:before="100" w:beforeAutospacing="1" w:after="100" w:afterAutospacing="1"/>
      <w:jc w:val="center"/>
      <w:outlineLvl w:val="0"/>
    </w:pPr>
    <w:rPr>
      <w:rFonts w:ascii="Times New Roman Bold" w:eastAsiaTheme="majorEastAsia" w:hAnsi="Times New Roman Bold" w:cstheme="majorBidi"/>
      <w:b/>
      <w:bCs/>
      <w:caps/>
      <w:szCs w:val="28"/>
    </w:rPr>
  </w:style>
  <w:style w:type="paragraph" w:styleId="Heading2">
    <w:name w:val="heading 2"/>
    <w:basedOn w:val="Normal"/>
    <w:next w:val="Normal"/>
    <w:link w:val="Heading2Char"/>
    <w:unhideWhenUsed/>
    <w:qFormat/>
    <w:rsid w:val="0030062D"/>
    <w:pPr>
      <w:keepNext/>
      <w:keepLines/>
      <w:numPr>
        <w:ilvl w:val="1"/>
        <w:numId w:val="7"/>
      </w:numPr>
      <w:spacing w:before="100" w:beforeAutospacing="1" w:after="100" w:afterAutospacing="1"/>
      <w:outlineLvl w:val="1"/>
    </w:pPr>
    <w:rPr>
      <w:rFonts w:eastAsiaTheme="majorEastAsia" w:cstheme="majorBidi"/>
      <w:b/>
      <w:bCs/>
      <w:szCs w:val="26"/>
    </w:rPr>
  </w:style>
  <w:style w:type="paragraph" w:styleId="Heading3">
    <w:name w:val="heading 3"/>
    <w:basedOn w:val="Normal"/>
    <w:next w:val="Normal"/>
    <w:link w:val="Heading3Char"/>
    <w:unhideWhenUsed/>
    <w:qFormat/>
    <w:rsid w:val="0030062D"/>
    <w:pPr>
      <w:keepNext/>
      <w:keepLines/>
      <w:numPr>
        <w:ilvl w:val="2"/>
        <w:numId w:val="7"/>
      </w:numPr>
      <w:spacing w:before="200"/>
      <w:outlineLvl w:val="2"/>
    </w:pPr>
    <w:rPr>
      <w:rFonts w:eastAsiaTheme="majorEastAsia" w:cstheme="majorBidi"/>
      <w:b/>
      <w:bCs/>
    </w:rPr>
  </w:style>
  <w:style w:type="paragraph" w:styleId="Heading4">
    <w:name w:val="heading 4"/>
    <w:basedOn w:val="Normal"/>
    <w:next w:val="Normal"/>
    <w:link w:val="Heading4Char"/>
    <w:uiPriority w:val="99"/>
    <w:unhideWhenUsed/>
    <w:qFormat/>
    <w:rsid w:val="0030062D"/>
    <w:pPr>
      <w:keepNext/>
      <w:keepLines/>
      <w:numPr>
        <w:ilvl w:val="3"/>
        <w:numId w:val="1"/>
      </w:numPr>
      <w:spacing w:before="100" w:beforeAutospacing="1" w:after="100" w:afterAutospacing="1"/>
      <w:ind w:left="2160" w:firstLine="0"/>
      <w:jc w:val="both"/>
      <w:outlineLvl w:val="3"/>
    </w:pPr>
    <w:rPr>
      <w:rFonts w:eastAsiaTheme="majorEastAsia" w:cstheme="majorBidi"/>
      <w:bCs/>
      <w:iCs/>
    </w:rPr>
  </w:style>
  <w:style w:type="paragraph" w:styleId="Heading5">
    <w:name w:val="heading 5"/>
    <w:basedOn w:val="Normal"/>
    <w:next w:val="Normal"/>
    <w:link w:val="Heading5Char"/>
    <w:unhideWhenUsed/>
    <w:qFormat/>
    <w:rsid w:val="0030062D"/>
    <w:pPr>
      <w:keepNext/>
      <w:keepLines/>
      <w:numPr>
        <w:ilvl w:val="4"/>
        <w:numId w:val="7"/>
      </w:numPr>
      <w:spacing w:before="100" w:beforeAutospacing="1" w:after="100" w:afterAutospacing="1"/>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57DD"/>
    <w:rPr>
      <w:rFonts w:ascii="Times New Roman Bold" w:eastAsiaTheme="majorEastAsia" w:hAnsi="Times New Roman Bold" w:cstheme="majorBidi"/>
      <w:b/>
      <w:bCs/>
      <w:caps/>
      <w:sz w:val="24"/>
      <w:szCs w:val="28"/>
    </w:rPr>
  </w:style>
  <w:style w:type="character" w:customStyle="1" w:styleId="Heading5Char">
    <w:name w:val="Heading 5 Char"/>
    <w:basedOn w:val="DefaultParagraphFont"/>
    <w:link w:val="Heading5"/>
    <w:rsid w:val="00B257DD"/>
    <w:rPr>
      <w:rFonts w:eastAsiaTheme="majorEastAsia" w:cstheme="majorBidi"/>
      <w:sz w:val="24"/>
      <w:szCs w:val="24"/>
    </w:rPr>
  </w:style>
  <w:style w:type="character" w:customStyle="1" w:styleId="Heading2Char">
    <w:name w:val="Heading 2 Char"/>
    <w:basedOn w:val="DefaultParagraphFont"/>
    <w:link w:val="Heading2"/>
    <w:rsid w:val="00B257DD"/>
    <w:rPr>
      <w:rFonts w:eastAsiaTheme="majorEastAsia" w:cstheme="majorBidi"/>
      <w:b/>
      <w:bCs/>
      <w:sz w:val="24"/>
      <w:szCs w:val="26"/>
    </w:rPr>
  </w:style>
  <w:style w:type="character" w:customStyle="1" w:styleId="Heading3Char">
    <w:name w:val="Heading 3 Char"/>
    <w:basedOn w:val="DefaultParagraphFont"/>
    <w:link w:val="Heading3"/>
    <w:rsid w:val="00B257DD"/>
    <w:rPr>
      <w:rFonts w:eastAsiaTheme="majorEastAsia" w:cstheme="majorBidi"/>
      <w:b/>
      <w:bCs/>
      <w:sz w:val="24"/>
      <w:szCs w:val="24"/>
    </w:rPr>
  </w:style>
  <w:style w:type="character" w:customStyle="1" w:styleId="Heading4Char">
    <w:name w:val="Heading 4 Char"/>
    <w:basedOn w:val="DefaultParagraphFont"/>
    <w:link w:val="Heading4"/>
    <w:uiPriority w:val="99"/>
    <w:rsid w:val="0030062D"/>
    <w:rPr>
      <w:rFonts w:eastAsiaTheme="majorEastAsia" w:cstheme="majorBidi"/>
      <w:bCs/>
      <w:iCs/>
      <w:sz w:val="24"/>
      <w:szCs w:val="24"/>
    </w:rPr>
  </w:style>
  <w:style w:type="paragraph" w:styleId="NormalWeb">
    <w:name w:val="Normal (Web)"/>
    <w:basedOn w:val="Normal"/>
    <w:uiPriority w:val="99"/>
    <w:unhideWhenUsed/>
    <w:rsid w:val="00E21AD8"/>
    <w:pPr>
      <w:spacing w:before="100" w:beforeAutospacing="1" w:after="100" w:afterAutospacing="1"/>
    </w:pPr>
  </w:style>
  <w:style w:type="character" w:styleId="Hyperlink">
    <w:name w:val="Hyperlink"/>
    <w:basedOn w:val="DefaultParagraphFont"/>
    <w:uiPriority w:val="99"/>
    <w:unhideWhenUsed/>
    <w:rsid w:val="00155FB1"/>
    <w:rPr>
      <w:color w:val="0000FF" w:themeColor="hyperlink"/>
      <w:u w:val="single"/>
    </w:rPr>
  </w:style>
  <w:style w:type="character" w:styleId="UnresolvedMention">
    <w:name w:val="Unresolved Mention"/>
    <w:basedOn w:val="DefaultParagraphFont"/>
    <w:uiPriority w:val="99"/>
    <w:semiHidden/>
    <w:unhideWhenUsed/>
    <w:rsid w:val="00155FB1"/>
    <w:rPr>
      <w:color w:val="605E5C"/>
      <w:shd w:val="clear" w:color="auto" w:fill="E1DFDD"/>
    </w:rPr>
  </w:style>
  <w:style w:type="paragraph" w:styleId="BalloonText">
    <w:name w:val="Balloon Text"/>
    <w:basedOn w:val="Normal"/>
    <w:link w:val="BalloonTextChar"/>
    <w:uiPriority w:val="99"/>
    <w:rsid w:val="009C1232"/>
    <w:rPr>
      <w:rFonts w:ascii="Segoe UI" w:hAnsi="Segoe UI" w:cs="Segoe UI"/>
      <w:sz w:val="18"/>
      <w:szCs w:val="18"/>
    </w:rPr>
  </w:style>
  <w:style w:type="character" w:customStyle="1" w:styleId="BalloonTextChar">
    <w:name w:val="Balloon Text Char"/>
    <w:basedOn w:val="DefaultParagraphFont"/>
    <w:link w:val="BalloonText"/>
    <w:uiPriority w:val="99"/>
    <w:rsid w:val="009C1232"/>
    <w:rPr>
      <w:rFonts w:ascii="Segoe UI" w:hAnsi="Segoe UI" w:cs="Segoe UI"/>
      <w:sz w:val="18"/>
      <w:szCs w:val="18"/>
    </w:rPr>
  </w:style>
  <w:style w:type="character" w:styleId="CommentReference">
    <w:name w:val="annotation reference"/>
    <w:basedOn w:val="DefaultParagraphFont"/>
    <w:semiHidden/>
    <w:unhideWhenUsed/>
    <w:rsid w:val="00AF76C9"/>
    <w:rPr>
      <w:sz w:val="16"/>
      <w:szCs w:val="16"/>
    </w:rPr>
  </w:style>
  <w:style w:type="paragraph" w:styleId="CommentText">
    <w:name w:val="annotation text"/>
    <w:basedOn w:val="Normal"/>
    <w:link w:val="CommentTextChar"/>
    <w:semiHidden/>
    <w:unhideWhenUsed/>
    <w:rsid w:val="00AF76C9"/>
    <w:rPr>
      <w:sz w:val="20"/>
      <w:szCs w:val="20"/>
    </w:rPr>
  </w:style>
  <w:style w:type="character" w:customStyle="1" w:styleId="CommentTextChar">
    <w:name w:val="Comment Text Char"/>
    <w:basedOn w:val="DefaultParagraphFont"/>
    <w:link w:val="CommentText"/>
    <w:semiHidden/>
    <w:rsid w:val="00AF76C9"/>
  </w:style>
  <w:style w:type="paragraph" w:styleId="CommentSubject">
    <w:name w:val="annotation subject"/>
    <w:basedOn w:val="CommentText"/>
    <w:next w:val="CommentText"/>
    <w:link w:val="CommentSubjectChar"/>
    <w:semiHidden/>
    <w:unhideWhenUsed/>
    <w:rsid w:val="00AF76C9"/>
    <w:rPr>
      <w:b/>
      <w:bCs/>
    </w:rPr>
  </w:style>
  <w:style w:type="character" w:customStyle="1" w:styleId="CommentSubjectChar">
    <w:name w:val="Comment Subject Char"/>
    <w:basedOn w:val="CommentTextChar"/>
    <w:link w:val="CommentSubject"/>
    <w:semiHidden/>
    <w:rsid w:val="00AF76C9"/>
    <w:rPr>
      <w:b/>
      <w:bCs/>
    </w:rPr>
  </w:style>
  <w:style w:type="character" w:styleId="Strong">
    <w:name w:val="Strong"/>
    <w:basedOn w:val="DefaultParagraphFont"/>
    <w:uiPriority w:val="22"/>
    <w:qFormat/>
    <w:rsid w:val="006442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993905">
      <w:bodyDiv w:val="1"/>
      <w:marLeft w:val="0"/>
      <w:marRight w:val="0"/>
      <w:marTop w:val="0"/>
      <w:marBottom w:val="0"/>
      <w:divBdr>
        <w:top w:val="none" w:sz="0" w:space="0" w:color="auto"/>
        <w:left w:val="none" w:sz="0" w:space="0" w:color="auto"/>
        <w:bottom w:val="none" w:sz="0" w:space="0" w:color="auto"/>
        <w:right w:val="none" w:sz="0" w:space="0" w:color="auto"/>
      </w:divBdr>
      <w:divsChild>
        <w:div w:id="1634365595">
          <w:marLeft w:val="0"/>
          <w:marRight w:val="0"/>
          <w:marTop w:val="0"/>
          <w:marBottom w:val="120"/>
          <w:divBdr>
            <w:top w:val="none" w:sz="0" w:space="0" w:color="auto"/>
            <w:left w:val="none" w:sz="0" w:space="0" w:color="auto"/>
            <w:bottom w:val="single" w:sz="8" w:space="0" w:color="000000"/>
            <w:right w:val="none" w:sz="0" w:space="0" w:color="auto"/>
          </w:divBdr>
        </w:div>
        <w:div w:id="1062290685">
          <w:marLeft w:val="0"/>
          <w:marRight w:val="0"/>
          <w:marTop w:val="0"/>
          <w:marBottom w:val="120"/>
          <w:divBdr>
            <w:top w:val="none" w:sz="0" w:space="0" w:color="auto"/>
            <w:left w:val="none" w:sz="0" w:space="0" w:color="auto"/>
            <w:bottom w:val="single" w:sz="8" w:space="0" w:color="000000"/>
            <w:right w:val="none" w:sz="0" w:space="0" w:color="auto"/>
          </w:divBdr>
        </w:div>
        <w:div w:id="269092651">
          <w:marLeft w:val="0"/>
          <w:marRight w:val="0"/>
          <w:marTop w:val="0"/>
          <w:marBottom w:val="120"/>
          <w:divBdr>
            <w:top w:val="none" w:sz="0" w:space="0" w:color="auto"/>
            <w:left w:val="none" w:sz="0" w:space="0" w:color="auto"/>
            <w:bottom w:val="single" w:sz="8" w:space="0" w:color="000000"/>
            <w:right w:val="none" w:sz="0" w:space="0" w:color="auto"/>
          </w:divBdr>
        </w:div>
        <w:div w:id="857355277">
          <w:marLeft w:val="0"/>
          <w:marRight w:val="0"/>
          <w:marTop w:val="0"/>
          <w:marBottom w:val="120"/>
          <w:divBdr>
            <w:top w:val="none" w:sz="0" w:space="0" w:color="auto"/>
            <w:left w:val="none" w:sz="0" w:space="0" w:color="auto"/>
            <w:bottom w:val="single" w:sz="8" w:space="0" w:color="000000"/>
            <w:right w:val="none" w:sz="0" w:space="0" w:color="auto"/>
          </w:divBdr>
        </w:div>
        <w:div w:id="1026979051">
          <w:marLeft w:val="0"/>
          <w:marRight w:val="0"/>
          <w:marTop w:val="0"/>
          <w:marBottom w:val="120"/>
          <w:divBdr>
            <w:top w:val="none" w:sz="0" w:space="0" w:color="auto"/>
            <w:left w:val="none" w:sz="0" w:space="0" w:color="auto"/>
            <w:bottom w:val="single" w:sz="8" w:space="0" w:color="000000"/>
            <w:right w:val="none" w:sz="0" w:space="0" w:color="auto"/>
          </w:divBdr>
        </w:div>
      </w:divsChild>
    </w:div>
    <w:div w:id="1683167515">
      <w:bodyDiv w:val="1"/>
      <w:marLeft w:val="0"/>
      <w:marRight w:val="0"/>
      <w:marTop w:val="0"/>
      <w:marBottom w:val="0"/>
      <w:divBdr>
        <w:top w:val="none" w:sz="0" w:space="0" w:color="auto"/>
        <w:left w:val="none" w:sz="0" w:space="0" w:color="auto"/>
        <w:bottom w:val="none" w:sz="0" w:space="0" w:color="auto"/>
        <w:right w:val="none" w:sz="0" w:space="0" w:color="auto"/>
      </w:divBdr>
      <w:divsChild>
        <w:div w:id="946155149">
          <w:marLeft w:val="0"/>
          <w:marRight w:val="0"/>
          <w:marTop w:val="0"/>
          <w:marBottom w:val="0"/>
          <w:divBdr>
            <w:top w:val="none" w:sz="0" w:space="0" w:color="auto"/>
            <w:left w:val="none" w:sz="0" w:space="0" w:color="auto"/>
            <w:bottom w:val="none" w:sz="0" w:space="0" w:color="auto"/>
            <w:right w:val="none" w:sz="0" w:space="0" w:color="auto"/>
          </w:divBdr>
          <w:divsChild>
            <w:div w:id="1510872647">
              <w:marLeft w:val="0"/>
              <w:marRight w:val="0"/>
              <w:marTop w:val="0"/>
              <w:marBottom w:val="0"/>
              <w:divBdr>
                <w:top w:val="single" w:sz="18" w:space="0" w:color="000000"/>
                <w:left w:val="none" w:sz="0" w:space="0" w:color="auto"/>
                <w:bottom w:val="single" w:sz="8" w:space="0" w:color="000000"/>
                <w:right w:val="none" w:sz="0" w:space="0" w:color="auto"/>
              </w:divBdr>
            </w:div>
          </w:divsChild>
        </w:div>
        <w:div w:id="105080743">
          <w:marLeft w:val="0"/>
          <w:marRight w:val="0"/>
          <w:marTop w:val="0"/>
          <w:marBottom w:val="120"/>
          <w:divBdr>
            <w:top w:val="none" w:sz="0" w:space="0" w:color="auto"/>
            <w:left w:val="none" w:sz="0" w:space="0" w:color="auto"/>
            <w:bottom w:val="single" w:sz="8" w:space="0" w:color="000000"/>
            <w:right w:val="none" w:sz="0" w:space="0" w:color="auto"/>
          </w:divBdr>
        </w:div>
        <w:div w:id="30884468">
          <w:marLeft w:val="0"/>
          <w:marRight w:val="0"/>
          <w:marTop w:val="0"/>
          <w:marBottom w:val="120"/>
          <w:divBdr>
            <w:top w:val="none" w:sz="0" w:space="0" w:color="auto"/>
            <w:left w:val="none" w:sz="0" w:space="0" w:color="auto"/>
            <w:bottom w:val="single" w:sz="8" w:space="0" w:color="000000"/>
            <w:right w:val="none" w:sz="0" w:space="0" w:color="auto"/>
          </w:divBdr>
        </w:div>
        <w:div w:id="764154839">
          <w:marLeft w:val="0"/>
          <w:marRight w:val="0"/>
          <w:marTop w:val="0"/>
          <w:marBottom w:val="120"/>
          <w:divBdr>
            <w:top w:val="none" w:sz="0" w:space="0" w:color="auto"/>
            <w:left w:val="none" w:sz="0" w:space="0" w:color="auto"/>
            <w:bottom w:val="single" w:sz="8" w:space="0" w:color="000000"/>
            <w:right w:val="none" w:sz="0" w:space="0" w:color="auto"/>
          </w:divBdr>
        </w:div>
        <w:div w:id="1046563153">
          <w:marLeft w:val="0"/>
          <w:marRight w:val="0"/>
          <w:marTop w:val="0"/>
          <w:marBottom w:val="120"/>
          <w:divBdr>
            <w:top w:val="none" w:sz="0" w:space="0" w:color="auto"/>
            <w:left w:val="none" w:sz="0" w:space="0" w:color="auto"/>
            <w:bottom w:val="single" w:sz="8" w:space="0" w:color="000000"/>
            <w:right w:val="none" w:sz="0" w:space="0" w:color="auto"/>
          </w:divBdr>
        </w:div>
        <w:div w:id="509951294">
          <w:marLeft w:val="0"/>
          <w:marRight w:val="0"/>
          <w:marTop w:val="0"/>
          <w:marBottom w:val="0"/>
          <w:divBdr>
            <w:top w:val="none" w:sz="0" w:space="0" w:color="auto"/>
            <w:left w:val="none" w:sz="0" w:space="0" w:color="auto"/>
            <w:bottom w:val="none" w:sz="0" w:space="0" w:color="auto"/>
            <w:right w:val="none" w:sz="0" w:space="0" w:color="auto"/>
          </w:divBdr>
          <w:divsChild>
            <w:div w:id="1250506803">
              <w:marLeft w:val="0"/>
              <w:marRight w:val="0"/>
              <w:marTop w:val="0"/>
              <w:marBottom w:val="0"/>
              <w:divBdr>
                <w:top w:val="none" w:sz="0" w:space="0" w:color="auto"/>
                <w:left w:val="none" w:sz="0" w:space="0" w:color="auto"/>
                <w:bottom w:val="single" w:sz="8" w:space="0" w:color="5B005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ber.energy" TargetMode="External"/><Relationship Id="rId3" Type="http://schemas.openxmlformats.org/officeDocument/2006/relationships/settings" Target="settings.xml"/><Relationship Id="rId7" Type="http://schemas.openxmlformats.org/officeDocument/2006/relationships/hyperlink" Target="http://www.vikingenergy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mber.energy" TargetMode="External"/><Relationship Id="rId11" Type="http://schemas.openxmlformats.org/officeDocument/2006/relationships/theme" Target="theme/theme1.xml"/><Relationship Id="rId5" Type="http://schemas.openxmlformats.org/officeDocument/2006/relationships/hyperlink" Target="http://www.vikingenergygroup.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R@vikingenergygroup.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Gillies4</dc:creator>
  <cp:keywords/>
  <dc:description/>
  <cp:lastModifiedBy>James Doris</cp:lastModifiedBy>
  <cp:revision>7</cp:revision>
  <dcterms:created xsi:type="dcterms:W3CDTF">2021-01-14T02:02:00Z</dcterms:created>
  <dcterms:modified xsi:type="dcterms:W3CDTF">2021-01-14T02:10:00Z</dcterms:modified>
</cp:coreProperties>
</file>