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94F40" w14:textId="77777777" w:rsidR="00265002" w:rsidRDefault="0022244D" w:rsidP="0022244D">
      <w:pPr>
        <w:jc w:val="center"/>
        <w:rPr>
          <w:b/>
          <w:bCs/>
          <w:sz w:val="28"/>
          <w:szCs w:val="28"/>
        </w:rPr>
      </w:pPr>
      <w:r w:rsidRPr="00D36113">
        <w:rPr>
          <w:b/>
          <w:bCs/>
          <w:sz w:val="28"/>
          <w:szCs w:val="28"/>
        </w:rPr>
        <w:t>Gladstone Land Announces Monthly Cash</w:t>
      </w:r>
      <w:r w:rsidR="00265002">
        <w:rPr>
          <w:b/>
          <w:bCs/>
          <w:sz w:val="28"/>
          <w:szCs w:val="28"/>
        </w:rPr>
        <w:t xml:space="preserve"> </w:t>
      </w:r>
      <w:r w:rsidRPr="00D36113">
        <w:rPr>
          <w:b/>
          <w:bCs/>
          <w:sz w:val="28"/>
          <w:szCs w:val="28"/>
        </w:rPr>
        <w:t>Distributions</w:t>
      </w:r>
      <w:r>
        <w:rPr>
          <w:b/>
          <w:bCs/>
          <w:sz w:val="28"/>
          <w:szCs w:val="28"/>
        </w:rPr>
        <w:t xml:space="preserve"> </w:t>
      </w:r>
    </w:p>
    <w:p w14:paraId="54FD70CF" w14:textId="14B940D8" w:rsidR="0022244D" w:rsidRPr="00D36113" w:rsidRDefault="0022244D" w:rsidP="0022244D">
      <w:pPr>
        <w:jc w:val="center"/>
        <w:rPr>
          <w:b/>
          <w:bCs/>
          <w:sz w:val="28"/>
          <w:szCs w:val="28"/>
        </w:rPr>
      </w:pPr>
      <w:r w:rsidRPr="00D36113">
        <w:rPr>
          <w:b/>
          <w:bCs/>
          <w:sz w:val="28"/>
          <w:szCs w:val="28"/>
        </w:rPr>
        <w:t>for</w:t>
      </w:r>
      <w:r>
        <w:rPr>
          <w:b/>
          <w:bCs/>
          <w:sz w:val="28"/>
          <w:szCs w:val="22"/>
        </w:rPr>
        <w:t xml:space="preserve"> </w:t>
      </w:r>
      <w:r w:rsidR="00C50A89" w:rsidRPr="00C50A89">
        <w:rPr>
          <w:b/>
          <w:bCs/>
          <w:sz w:val="28"/>
          <w:szCs w:val="22"/>
        </w:rPr>
        <w:t xml:space="preserve">its Series D Preferred </w:t>
      </w:r>
      <w:r w:rsidR="00C50A89">
        <w:rPr>
          <w:b/>
          <w:bCs/>
          <w:sz w:val="28"/>
          <w:szCs w:val="22"/>
        </w:rPr>
        <w:t>S</w:t>
      </w:r>
      <w:r w:rsidR="00C50A89" w:rsidRPr="00C50A89">
        <w:rPr>
          <w:b/>
          <w:bCs/>
          <w:sz w:val="28"/>
          <w:szCs w:val="22"/>
        </w:rPr>
        <w:t xml:space="preserve">tock </w:t>
      </w:r>
      <w:r w:rsidR="00C50A89">
        <w:rPr>
          <w:b/>
          <w:bCs/>
          <w:sz w:val="28"/>
          <w:szCs w:val="22"/>
        </w:rPr>
        <w:t xml:space="preserve">for </w:t>
      </w:r>
      <w:r>
        <w:rPr>
          <w:b/>
          <w:bCs/>
          <w:sz w:val="28"/>
          <w:szCs w:val="22"/>
        </w:rPr>
        <w:t xml:space="preserve">February and March </w:t>
      </w:r>
      <w:r w:rsidR="00EC69B2">
        <w:rPr>
          <w:b/>
          <w:bCs/>
          <w:sz w:val="28"/>
          <w:szCs w:val="22"/>
        </w:rPr>
        <w:t>2021</w:t>
      </w:r>
    </w:p>
    <w:p w14:paraId="19DDA512" w14:textId="0ADFDD38" w:rsidR="0022244D" w:rsidRPr="00D36113" w:rsidRDefault="0022244D" w:rsidP="0022244D">
      <w:pPr>
        <w:pStyle w:val="NormalWeb"/>
        <w:rPr>
          <w:rFonts w:ascii="Times New Roman" w:hAnsi="Times New Roman" w:cs="Times New Roman"/>
        </w:rPr>
      </w:pPr>
      <w:r w:rsidRPr="00D3611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6EA2804E" wp14:editId="6B211F61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57912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579A9" id="Line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3.85pt" to="456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m+8vwEAAGoDAAAOAAAAZHJzL2Uyb0RvYy54bWysU01vGyEQvVfKf0Dc611bStOsvM7BaXJx&#10;W0tJf8AY2F1UYBBg7/rfZ8AfTdtb1T0ghpl5vHmPXT5M1rCDClGja/l8VnOmnECpXd/yH69PHz9z&#10;FhM4CQadavlRRf6wuvmwHH2jFjigkSowAnGxGX3Lh5R8U1VRDMpCnKFXjpIdBguJwtBXMsBI6NZU&#10;i7r+VI0YpA8oVIx0+nhK8lXB7zol0veuiyox03LilsoayrrLa7VaQtMH8IMWZxrwDywsaEeXXqEe&#10;IQHbB/0XlNUiYMQuzQTaCrtOC1VmoGnm9R/TvAzgVZmFxIn+KlP8f7Di22EbmJbkHWcOLFm00U6x&#10;RVZm9LGhgrXbhjybmNyL36D4GZnD9QCuV4Xh69FT2zx3VL+15CB6wt+NX1FSDewTFpmmLtgMSQKw&#10;qbhxvLqhpsQEHd7e3c/JYs7EJVdBc2n0IaZnhZblTcsNcS7AcNjElIlAcynJ9zh80sYUs41jI7G9&#10;r2/r0hHRaJmzuS6Gfrc2gR0gv5fylbEo874s4N7JgjYokF/O+wTanPZ0u3FnNbIAJyl3KI/bcFGJ&#10;DC00z48vv5j3cen+9Yus3gAAAP//AwBQSwMEFAAGAAgAAAAhAH8kRorYAAAABAEAAA8AAABkcnMv&#10;ZG93bnJldi54bWxMj0FPg0AQhe8m/ofNmHizSxu1FFkabeKlN7FRj1N2BCI7S9gthX/v6EWPL2/y&#10;vW/y7eQ6NdIQWs8GlosEFHHlbcu1gcPr800KKkRki51nMjBTgG1xeZFjZv2ZX2gsY60EwiFDA02M&#10;faZ1qBpyGBa+J5bu0w8Oo8Sh1nbAs8Bdp1dJcq8dtiwLDfa0a6j6Kk9OKHfv6dMe08M8d+XH5nb3&#10;th/ZGXN9NT0+gIo0xb9j+NEXdSjE6ehPbIPqDMgj0cB6DUrKzXIl+fibdZHr//LFNwAAAP//AwBQ&#10;SwECLQAUAAYACAAAACEAtoM4kv4AAADhAQAAEwAAAAAAAAAAAAAAAAAAAAAAW0NvbnRlbnRfVHlw&#10;ZXNdLnhtbFBLAQItABQABgAIAAAAIQA4/SH/1gAAAJQBAAALAAAAAAAAAAAAAAAAAC8BAABfcmVs&#10;cy8ucmVsc1BLAQItABQABgAIAAAAIQBEZm+8vwEAAGoDAAAOAAAAAAAAAAAAAAAAAC4CAABkcnMv&#10;ZTJvRG9jLnhtbFBLAQItABQABgAIAAAAIQB/JEaK2AAAAAQBAAAPAAAAAAAAAAAAAAAAABkEAABk&#10;cnMvZG93bnJldi54bWxQSwUGAAAAAAQABADzAAAAHgUAAAAA&#10;" strokeweight="1.5pt"/>
            </w:pict>
          </mc:Fallback>
        </mc:AlternateContent>
      </w:r>
      <w:r w:rsidRPr="00D36113">
        <w:rPr>
          <w:rFonts w:ascii="Times New Roman" w:hAnsi="Times New Roman" w:cs="Times New Roman"/>
        </w:rPr>
        <w:t xml:space="preserve">MCLEAN, VA, </w:t>
      </w:r>
      <w:r>
        <w:rPr>
          <w:rFonts w:ascii="Times New Roman" w:hAnsi="Times New Roman" w:cs="Times New Roman"/>
        </w:rPr>
        <w:t xml:space="preserve">January </w:t>
      </w:r>
      <w:r w:rsidR="002429E2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, </w:t>
      </w:r>
      <w:r w:rsidR="00B06F40"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 xml:space="preserve"> </w:t>
      </w:r>
      <w:r w:rsidRPr="00D36113">
        <w:rPr>
          <w:rFonts w:ascii="Times New Roman" w:hAnsi="Times New Roman" w:cs="Times New Roman"/>
        </w:rPr>
        <w:t xml:space="preserve">– </w:t>
      </w:r>
      <w:hyperlink r:id="rId6" w:history="1">
        <w:r w:rsidRPr="00D36113">
          <w:rPr>
            <w:rStyle w:val="Hyperlink"/>
            <w:rFonts w:ascii="Times New Roman" w:hAnsi="Times New Roman" w:cs="Times New Roman"/>
          </w:rPr>
          <w:t>Gladstone Land Corporation</w:t>
        </w:r>
      </w:hyperlink>
      <w:r w:rsidRPr="00D36113">
        <w:rPr>
          <w:rFonts w:ascii="Times New Roman" w:hAnsi="Times New Roman" w:cs="Times New Roman"/>
        </w:rPr>
        <w:t xml:space="preserve"> (N</w:t>
      </w:r>
      <w:r>
        <w:rPr>
          <w:rFonts w:ascii="Times New Roman" w:hAnsi="Times New Roman" w:cs="Times New Roman"/>
        </w:rPr>
        <w:t>asdaq</w:t>
      </w:r>
      <w:r w:rsidRPr="00D36113">
        <w:rPr>
          <w:rFonts w:ascii="Times New Roman" w:hAnsi="Times New Roman" w:cs="Times New Roman"/>
        </w:rPr>
        <w:t xml:space="preserve">: LAND) (“Gladstone Land” or the “Company”) announced today that its board of directors declared the following cash distributions for </w:t>
      </w:r>
      <w:r w:rsidR="00C50A89">
        <w:rPr>
          <w:rFonts w:ascii="Times New Roman" w:hAnsi="Times New Roman" w:cs="Times New Roman"/>
        </w:rPr>
        <w:t xml:space="preserve">its </w:t>
      </w:r>
      <w:r w:rsidR="009F4173">
        <w:rPr>
          <w:rFonts w:ascii="Times New Roman" w:hAnsi="Times New Roman" w:cs="Times New Roman"/>
        </w:rPr>
        <w:t xml:space="preserve">recently issued </w:t>
      </w:r>
      <w:r w:rsidR="00156DB7" w:rsidRPr="00156DB7">
        <w:rPr>
          <w:rFonts w:ascii="Times New Roman" w:hAnsi="Times New Roman" w:cs="Times New Roman"/>
        </w:rPr>
        <w:t xml:space="preserve">5.00% Series D Cumulative Term Preferred Stock </w:t>
      </w:r>
      <w:r w:rsidR="00156DB7">
        <w:rPr>
          <w:rFonts w:ascii="Times New Roman" w:hAnsi="Times New Roman" w:cs="Times New Roman"/>
        </w:rPr>
        <w:t>(“</w:t>
      </w:r>
      <w:r w:rsidR="00C50A89">
        <w:rPr>
          <w:rFonts w:ascii="Times New Roman" w:hAnsi="Times New Roman" w:cs="Times New Roman"/>
        </w:rPr>
        <w:t xml:space="preserve">Series D Preferred </w:t>
      </w:r>
      <w:r w:rsidR="00156DB7">
        <w:rPr>
          <w:rFonts w:ascii="Times New Roman" w:hAnsi="Times New Roman" w:cs="Times New Roman"/>
        </w:rPr>
        <w:t>S</w:t>
      </w:r>
      <w:r w:rsidR="00C50A89">
        <w:rPr>
          <w:rFonts w:ascii="Times New Roman" w:hAnsi="Times New Roman" w:cs="Times New Roman"/>
        </w:rPr>
        <w:t>tock</w:t>
      </w:r>
      <w:r w:rsidR="00156DB7">
        <w:rPr>
          <w:rFonts w:ascii="Times New Roman" w:hAnsi="Times New Roman" w:cs="Times New Roman"/>
        </w:rPr>
        <w:t>”)</w:t>
      </w:r>
      <w:r w:rsidR="00C50A89">
        <w:rPr>
          <w:rFonts w:ascii="Times New Roman" w:hAnsi="Times New Roman" w:cs="Times New Roman"/>
        </w:rPr>
        <w:t xml:space="preserve"> for </w:t>
      </w:r>
      <w:r w:rsidRPr="00D36113">
        <w:rPr>
          <w:rFonts w:ascii="Times New Roman" w:hAnsi="Times New Roman" w:cs="Times New Roman"/>
        </w:rPr>
        <w:t>each of</w:t>
      </w:r>
      <w:r>
        <w:rPr>
          <w:rFonts w:ascii="Times New Roman" w:hAnsi="Times New Roman" w:cs="Times New Roman"/>
        </w:rPr>
        <w:t xml:space="preserve"> February and March </w:t>
      </w:r>
      <w:r w:rsidR="00EC69B2">
        <w:rPr>
          <w:rFonts w:ascii="Times New Roman" w:hAnsi="Times New Roman" w:cs="Times New Roman"/>
        </w:rPr>
        <w:t>2021</w:t>
      </w:r>
      <w:r w:rsidRPr="00D36113">
        <w:rPr>
          <w:rFonts w:ascii="Times New Roman" w:hAnsi="Times New Roman" w:cs="Times New Roman"/>
        </w:rPr>
        <w:t xml:space="preserve">. </w:t>
      </w:r>
    </w:p>
    <w:p w14:paraId="28A5A54F" w14:textId="44507E65" w:rsidR="0022244D" w:rsidRPr="00D36113" w:rsidRDefault="0022244D" w:rsidP="0022244D">
      <w:pPr>
        <w:pStyle w:val="NormalWeb"/>
        <w:ind w:right="216"/>
        <w:rPr>
          <w:rFonts w:ascii="Times New Roman" w:hAnsi="Times New Roman" w:cs="Times New Roman"/>
          <w:lang w:eastAsia="ko-KR"/>
        </w:rPr>
      </w:pPr>
      <w:r w:rsidRPr="00D36113">
        <w:rPr>
          <w:rFonts w:ascii="Times New Roman" w:hAnsi="Times New Roman" w:cs="Times New Roman"/>
          <w:b/>
          <w:i/>
        </w:rPr>
        <w:t xml:space="preserve">Series </w:t>
      </w:r>
      <w:r w:rsidR="00156DB7">
        <w:rPr>
          <w:rFonts w:ascii="Times New Roman" w:hAnsi="Times New Roman" w:cs="Times New Roman"/>
          <w:b/>
          <w:i/>
        </w:rPr>
        <w:t>D</w:t>
      </w:r>
      <w:r w:rsidRPr="00D36113">
        <w:rPr>
          <w:rFonts w:ascii="Times New Roman" w:hAnsi="Times New Roman" w:cs="Times New Roman"/>
          <w:b/>
          <w:i/>
        </w:rPr>
        <w:t xml:space="preserve"> Preferred </w:t>
      </w:r>
      <w:r w:rsidRPr="00D36113">
        <w:rPr>
          <w:rFonts w:ascii="Times New Roman" w:hAnsi="Times New Roman" w:cs="Times New Roman"/>
          <w:b/>
          <w:i/>
          <w:lang w:eastAsia="ko-KR"/>
        </w:rPr>
        <w:t>Stock</w:t>
      </w:r>
      <w:r w:rsidR="00B06F40" w:rsidRPr="00D36113">
        <w:rPr>
          <w:rFonts w:ascii="Times New Roman" w:hAnsi="Times New Roman" w:cs="Times New Roman"/>
          <w:lang w:eastAsia="ko-KR"/>
        </w:rPr>
        <w:t xml:space="preserve">: </w:t>
      </w:r>
      <w:r w:rsidR="00EA75BC" w:rsidRPr="00EA75BC">
        <w:rPr>
          <w:rFonts w:ascii="Times New Roman" w:hAnsi="Times New Roman" w:cs="Times New Roman"/>
        </w:rPr>
        <w:t>We have applied to list the Series D Preferred Stock on the Nasdaq Global Market under the symbol “LANDM.” C</w:t>
      </w:r>
      <w:r w:rsidR="00156DB7">
        <w:rPr>
          <w:rFonts w:ascii="Times New Roman" w:hAnsi="Times New Roman" w:cs="Times New Roman"/>
        </w:rPr>
        <w:t>ash</w:t>
      </w:r>
      <w:r w:rsidR="00156DB7">
        <w:rPr>
          <w:rFonts w:ascii="Times New Roman" w:hAnsi="Times New Roman" w:cs="Times New Roman"/>
          <w:lang w:eastAsia="ko-KR"/>
        </w:rPr>
        <w:t xml:space="preserve"> distributions</w:t>
      </w:r>
      <w:r w:rsidRPr="00D36113">
        <w:rPr>
          <w:rFonts w:ascii="Times New Roman" w:hAnsi="Times New Roman" w:cs="Times New Roman"/>
        </w:rPr>
        <w:t xml:space="preserve"> </w:t>
      </w:r>
      <w:r w:rsidRPr="00D36113">
        <w:rPr>
          <w:rFonts w:ascii="Times New Roman" w:hAnsi="Times New Roman" w:cs="Times New Roman"/>
          <w:spacing w:val="-3"/>
        </w:rPr>
        <w:t xml:space="preserve">per share of Series </w:t>
      </w:r>
      <w:r w:rsidR="00156DB7">
        <w:rPr>
          <w:rFonts w:ascii="Times New Roman" w:hAnsi="Times New Roman" w:cs="Times New Roman"/>
          <w:spacing w:val="-3"/>
        </w:rPr>
        <w:t>D</w:t>
      </w:r>
      <w:r w:rsidRPr="00D36113">
        <w:rPr>
          <w:rFonts w:ascii="Times New Roman" w:hAnsi="Times New Roman" w:cs="Times New Roman"/>
          <w:spacing w:val="-3"/>
        </w:rPr>
        <w:t xml:space="preserve"> Preferred Stock </w:t>
      </w:r>
      <w:r w:rsidRPr="00D36113">
        <w:rPr>
          <w:rFonts w:ascii="Times New Roman" w:hAnsi="Times New Roman" w:cs="Times New Roman"/>
        </w:rPr>
        <w:t>for each of</w:t>
      </w:r>
      <w:r w:rsidR="00EC69B2">
        <w:rPr>
          <w:rFonts w:ascii="Times New Roman" w:hAnsi="Times New Roman" w:cs="Times New Roman"/>
        </w:rPr>
        <w:t xml:space="preserve"> February and March 202</w:t>
      </w:r>
      <w:r w:rsidR="009F4173">
        <w:rPr>
          <w:rFonts w:ascii="Times New Roman" w:hAnsi="Times New Roman" w:cs="Times New Roman"/>
        </w:rPr>
        <w:t>1, are</w:t>
      </w:r>
      <w:r w:rsidRPr="00D36113">
        <w:rPr>
          <w:rFonts w:ascii="Times New Roman" w:hAnsi="Times New Roman" w:cs="Times New Roman"/>
        </w:rPr>
        <w:t xml:space="preserve"> payable per the table below:</w:t>
      </w:r>
    </w:p>
    <w:p w14:paraId="75C38969" w14:textId="1F0A306E" w:rsidR="0022244D" w:rsidRPr="00D36113" w:rsidRDefault="0022244D" w:rsidP="0022244D">
      <w:pPr>
        <w:jc w:val="center"/>
        <w:rPr>
          <w:b/>
        </w:rPr>
      </w:pPr>
      <w:r w:rsidRPr="00D36113">
        <w:rPr>
          <w:b/>
        </w:rPr>
        <w:t xml:space="preserve">Summary of Series </w:t>
      </w:r>
      <w:r w:rsidR="00156DB7">
        <w:rPr>
          <w:b/>
        </w:rPr>
        <w:t>D</w:t>
      </w:r>
      <w:r w:rsidRPr="00D36113">
        <w:rPr>
          <w:b/>
        </w:rPr>
        <w:t xml:space="preserve"> Preferred Stock Cash Distributions</w:t>
      </w:r>
    </w:p>
    <w:p w14:paraId="697B6672" w14:textId="77777777" w:rsidR="0022244D" w:rsidRPr="00D36113" w:rsidRDefault="0022244D" w:rsidP="0022244D">
      <w:pPr>
        <w:jc w:val="center"/>
        <w:rPr>
          <w:sz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2308"/>
        <w:gridCol w:w="1399"/>
      </w:tblGrid>
      <w:tr w:rsidR="0022244D" w:rsidRPr="00D36113" w14:paraId="5345B1F6" w14:textId="77777777" w:rsidTr="00991B27">
        <w:trPr>
          <w:jc w:val="center"/>
        </w:trPr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E16136F" w14:textId="77777777" w:rsidR="0022244D" w:rsidRPr="00D36113" w:rsidRDefault="0022244D" w:rsidP="00991B27">
            <w:pPr>
              <w:jc w:val="center"/>
              <w:rPr>
                <w:b/>
                <w:bCs/>
                <w:snapToGrid w:val="0"/>
              </w:rPr>
            </w:pPr>
            <w:r w:rsidRPr="00D36113">
              <w:rPr>
                <w:b/>
                <w:bCs/>
                <w:snapToGrid w:val="0"/>
              </w:rPr>
              <w:t>Record Date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FF45201" w14:textId="77777777" w:rsidR="0022244D" w:rsidRPr="00D36113" w:rsidRDefault="0022244D" w:rsidP="00991B27">
            <w:pPr>
              <w:jc w:val="center"/>
              <w:rPr>
                <w:b/>
                <w:bCs/>
                <w:snapToGrid w:val="0"/>
              </w:rPr>
            </w:pPr>
            <w:r w:rsidRPr="00D36113">
              <w:rPr>
                <w:b/>
                <w:bCs/>
                <w:snapToGrid w:val="0"/>
              </w:rPr>
              <w:t>Payment Date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AFAD18D" w14:textId="77777777" w:rsidR="0022244D" w:rsidRPr="00D36113" w:rsidRDefault="0022244D" w:rsidP="00991B27">
            <w:pPr>
              <w:jc w:val="center"/>
              <w:rPr>
                <w:b/>
                <w:bCs/>
                <w:snapToGrid w:val="0"/>
              </w:rPr>
            </w:pPr>
            <w:r w:rsidRPr="00D36113">
              <w:rPr>
                <w:b/>
                <w:bCs/>
                <w:snapToGrid w:val="0"/>
              </w:rPr>
              <w:t>Amount</w:t>
            </w:r>
          </w:p>
        </w:tc>
      </w:tr>
      <w:tr w:rsidR="0022244D" w:rsidRPr="00D36113" w14:paraId="305F1C75" w14:textId="77777777" w:rsidTr="00991B27">
        <w:trPr>
          <w:trHeight w:val="188"/>
          <w:jc w:val="center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65F6D95D" w14:textId="7CBC5071" w:rsidR="0022244D" w:rsidRPr="00D36113" w:rsidRDefault="0022244D" w:rsidP="00991B27">
            <w:pPr>
              <w:spacing w:line="276" w:lineRule="auto"/>
              <w:jc w:val="center"/>
              <w:rPr>
                <w:bCs/>
                <w:snapToGrid w:val="0"/>
              </w:rPr>
            </w:pPr>
            <w:r w:rsidRPr="00956A77">
              <w:t>February</w:t>
            </w:r>
            <w:r>
              <w:t xml:space="preserve"> </w:t>
            </w:r>
            <w:r w:rsidR="00156DB7">
              <w:t>17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</w:tcPr>
          <w:p w14:paraId="49FDC24A" w14:textId="52842DDA" w:rsidR="0022244D" w:rsidRPr="00D36113" w:rsidRDefault="00156DB7" w:rsidP="00991B27">
            <w:pPr>
              <w:spacing w:line="276" w:lineRule="auto"/>
              <w:jc w:val="center"/>
              <w:rPr>
                <w:bCs/>
                <w:snapToGrid w:val="0"/>
              </w:rPr>
            </w:pPr>
            <w:r w:rsidRPr="00956A77">
              <w:t>February</w:t>
            </w:r>
            <w:r>
              <w:t xml:space="preserve"> 28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14:paraId="2713743D" w14:textId="44345186" w:rsidR="0022244D" w:rsidRPr="00D36113" w:rsidRDefault="0022244D" w:rsidP="00991B27">
            <w:pPr>
              <w:ind w:left="-112" w:right="-107"/>
              <w:jc w:val="center"/>
              <w:rPr>
                <w:bCs/>
                <w:snapToGrid w:val="0"/>
              </w:rPr>
            </w:pPr>
            <w:r w:rsidRPr="00D36113">
              <w:rPr>
                <w:bCs/>
              </w:rPr>
              <w:t xml:space="preserve">   0.</w:t>
            </w:r>
            <w:r w:rsidR="00156DB7">
              <w:rPr>
                <w:spacing w:val="-3"/>
              </w:rPr>
              <w:t>142361</w:t>
            </w:r>
          </w:p>
        </w:tc>
      </w:tr>
      <w:tr w:rsidR="0022244D" w:rsidRPr="00D36113" w14:paraId="3A2ECF65" w14:textId="77777777" w:rsidTr="00991B27">
        <w:trPr>
          <w:trHeight w:val="188"/>
          <w:jc w:val="center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4BD3753E" w14:textId="2BA32935" w:rsidR="0022244D" w:rsidRPr="00D36113" w:rsidRDefault="0022244D" w:rsidP="00991B27">
            <w:pPr>
              <w:spacing w:line="276" w:lineRule="auto"/>
              <w:jc w:val="center"/>
              <w:rPr>
                <w:bCs/>
                <w:snapToGrid w:val="0"/>
              </w:rPr>
            </w:pPr>
            <w:r w:rsidRPr="00956A77">
              <w:t>March</w:t>
            </w:r>
            <w:r>
              <w:t xml:space="preserve"> </w:t>
            </w:r>
            <w:r w:rsidR="00156DB7">
              <w:t>25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</w:tcPr>
          <w:p w14:paraId="0A45A2F8" w14:textId="0EAA6CE5" w:rsidR="0022244D" w:rsidRPr="00D36113" w:rsidRDefault="0022244D" w:rsidP="00991B27">
            <w:pPr>
              <w:spacing w:line="276" w:lineRule="auto"/>
              <w:jc w:val="center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April </w:t>
            </w:r>
            <w:r w:rsidR="00B06F40">
              <w:rPr>
                <w:bCs/>
                <w:snapToGrid w:val="0"/>
              </w:rPr>
              <w:t>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89B699" w14:textId="262855E7" w:rsidR="0022244D" w:rsidRPr="00D36113" w:rsidRDefault="0022244D" w:rsidP="00991B27">
            <w:pPr>
              <w:ind w:left="-112" w:right="-107"/>
              <w:jc w:val="center"/>
              <w:rPr>
                <w:bCs/>
                <w:snapToGrid w:val="0"/>
              </w:rPr>
            </w:pPr>
            <w:r w:rsidRPr="00D36113">
              <w:rPr>
                <w:bCs/>
              </w:rPr>
              <w:t xml:space="preserve">   0.</w:t>
            </w:r>
            <w:r w:rsidR="00156DB7" w:rsidRPr="00156DB7">
              <w:rPr>
                <w:bCs/>
              </w:rPr>
              <w:t>104167</w:t>
            </w:r>
          </w:p>
        </w:tc>
      </w:tr>
      <w:tr w:rsidR="0022244D" w:rsidRPr="00D36113" w14:paraId="7AB3FB18" w14:textId="77777777" w:rsidTr="00991B27">
        <w:trPr>
          <w:trHeight w:val="188"/>
          <w:jc w:val="center"/>
        </w:trPr>
        <w:tc>
          <w:tcPr>
            <w:tcW w:w="4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717EE" w14:textId="77777777" w:rsidR="0022244D" w:rsidRPr="00D36113" w:rsidRDefault="0022244D" w:rsidP="00991B27">
            <w:pPr>
              <w:tabs>
                <w:tab w:val="right" w:pos="5675"/>
              </w:tabs>
              <w:rPr>
                <w:b/>
                <w:bCs/>
                <w:snapToGrid w:val="0"/>
              </w:rPr>
            </w:pPr>
            <w:r w:rsidRPr="00D36113">
              <w:rPr>
                <w:b/>
                <w:bCs/>
                <w:snapToGrid w:val="0"/>
              </w:rPr>
              <w:tab/>
              <w:t>Total for the Quarter: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46BDCED1" w14:textId="002E5833" w:rsidR="0022244D" w:rsidRPr="00D36113" w:rsidRDefault="0022244D" w:rsidP="00991B27">
            <w:pPr>
              <w:ind w:left="-112" w:right="-107"/>
              <w:jc w:val="center"/>
              <w:rPr>
                <w:rFonts w:eastAsiaTheme="minorEastAsia"/>
                <w:b/>
                <w:bCs/>
                <w:snapToGrid w:val="0"/>
                <w:lang w:eastAsia="ko-KR"/>
              </w:rPr>
            </w:pPr>
            <w:r w:rsidRPr="00D36113">
              <w:rPr>
                <w:b/>
                <w:bCs/>
                <w:snapToGrid w:val="0"/>
              </w:rPr>
              <w:t>$ 0.</w:t>
            </w:r>
            <w:r w:rsidR="00156DB7">
              <w:rPr>
                <w:b/>
                <w:bCs/>
                <w:snapToGrid w:val="0"/>
              </w:rPr>
              <w:t>246528</w:t>
            </w:r>
          </w:p>
        </w:tc>
      </w:tr>
    </w:tbl>
    <w:p w14:paraId="5C196240" w14:textId="77777777" w:rsidR="0022244D" w:rsidRPr="00D36113" w:rsidRDefault="0022244D" w:rsidP="0022244D">
      <w:pPr>
        <w:rPr>
          <w:bCs/>
        </w:rPr>
      </w:pPr>
    </w:p>
    <w:p w14:paraId="54DB25C3" w14:textId="7065DE55" w:rsidR="0022244D" w:rsidRDefault="0022244D" w:rsidP="0022244D">
      <w:pPr>
        <w:keepNext/>
        <w:rPr>
          <w:b/>
          <w:lang w:eastAsia="ko-KR"/>
        </w:rPr>
      </w:pPr>
      <w:r w:rsidRPr="00D36113">
        <w:rPr>
          <w:b/>
          <w:lang w:eastAsia="ko-KR"/>
        </w:rPr>
        <w:t>About Gladstone Land:</w:t>
      </w:r>
    </w:p>
    <w:p w14:paraId="0F0F47D0" w14:textId="77777777" w:rsidR="00F71C7D" w:rsidRPr="00D36113" w:rsidRDefault="00F71C7D" w:rsidP="0022244D">
      <w:pPr>
        <w:keepNext/>
        <w:rPr>
          <w:b/>
          <w:lang w:eastAsia="ko-KR"/>
        </w:rPr>
      </w:pPr>
    </w:p>
    <w:p w14:paraId="764494FC" w14:textId="4CEF4A2A" w:rsidR="0022244D" w:rsidRPr="00D36113" w:rsidRDefault="0022244D" w:rsidP="0022244D">
      <w:pPr>
        <w:keepNext/>
        <w:tabs>
          <w:tab w:val="left" w:pos="2124"/>
        </w:tabs>
        <w:rPr>
          <w:color w:val="FF0000"/>
          <w:lang w:eastAsia="ko-KR"/>
        </w:rPr>
      </w:pPr>
      <w:r w:rsidRPr="00D36113">
        <w:t xml:space="preserve">Gladstone Land is a publicly-traded real estate </w:t>
      </w:r>
      <w:r w:rsidRPr="00D36113">
        <w:rPr>
          <w:lang w:eastAsia="ko-KR"/>
        </w:rPr>
        <w:t>investment trust</w:t>
      </w:r>
      <w:r w:rsidRPr="00D36113">
        <w:t xml:space="preserve"> that invests in farmland located in major agricultural markets in the U.S., which it leases to farmers.  The Company currently owns </w:t>
      </w:r>
      <w:r w:rsidR="00EC69B2">
        <w:t>137</w:t>
      </w:r>
      <w:r w:rsidRPr="00D36113">
        <w:rPr>
          <w:lang w:eastAsia="ko-KR"/>
        </w:rPr>
        <w:t xml:space="preserve"> farms, comprised of </w:t>
      </w:r>
      <w:r w:rsidRPr="008C0791">
        <w:rPr>
          <w:lang w:eastAsia="ko-KR"/>
        </w:rPr>
        <w:t xml:space="preserve">approximately </w:t>
      </w:r>
      <w:r w:rsidR="00EC69B2">
        <w:rPr>
          <w:lang w:eastAsia="ko-KR"/>
        </w:rPr>
        <w:t>101</w:t>
      </w:r>
      <w:r w:rsidRPr="008C0791">
        <w:rPr>
          <w:lang w:eastAsia="ko-KR"/>
        </w:rPr>
        <w:t xml:space="preserve">,000 </w:t>
      </w:r>
      <w:r w:rsidRPr="00D36113">
        <w:rPr>
          <w:lang w:eastAsia="ko-KR"/>
        </w:rPr>
        <w:t xml:space="preserve">acres in </w:t>
      </w:r>
      <w:r w:rsidR="00EC69B2">
        <w:rPr>
          <w:lang w:eastAsia="ko-KR"/>
        </w:rPr>
        <w:t>13</w:t>
      </w:r>
      <w:r w:rsidRPr="00D36113">
        <w:rPr>
          <w:lang w:eastAsia="ko-KR"/>
        </w:rPr>
        <w:t xml:space="preserve"> different states across the U.S., valued</w:t>
      </w:r>
      <w:r w:rsidRPr="00D36113">
        <w:t xml:space="preserve"> at approximately $</w:t>
      </w:r>
      <w:r w:rsidR="00EC69B2">
        <w:t>1.2</w:t>
      </w:r>
      <w:r w:rsidRPr="00D36113">
        <w:t xml:space="preserve"> </w:t>
      </w:r>
      <w:r w:rsidR="00EC69B2">
        <w:t>b</w:t>
      </w:r>
      <w:r w:rsidRPr="00D36113">
        <w:t xml:space="preserve">illion.  Additional information can be found at </w:t>
      </w:r>
      <w:r w:rsidRPr="00D36113">
        <w:rPr>
          <w:color w:val="0000FF"/>
          <w:u w:val="single"/>
          <w:lang w:eastAsia="ko-KR"/>
        </w:rPr>
        <w:t>www.GladstoneFarms.com</w:t>
      </w:r>
      <w:r w:rsidRPr="00D36113">
        <w:rPr>
          <w:lang w:eastAsia="ko-KR"/>
        </w:rPr>
        <w:t>.</w:t>
      </w:r>
    </w:p>
    <w:p w14:paraId="40147E02" w14:textId="77777777" w:rsidR="0022244D" w:rsidRPr="00D36113" w:rsidRDefault="0022244D" w:rsidP="0022244D"/>
    <w:p w14:paraId="6D32F34F" w14:textId="3BE5011B" w:rsidR="0022244D" w:rsidRPr="00D36113" w:rsidRDefault="0022244D" w:rsidP="0022244D">
      <w:pPr>
        <w:rPr>
          <w:lang w:eastAsia="ko-KR"/>
        </w:rPr>
      </w:pPr>
      <w:r w:rsidRPr="00D36113">
        <w:rPr>
          <w:lang w:eastAsia="ko-KR"/>
        </w:rPr>
        <w:t xml:space="preserve">For stockholder information on Gladstone Land, call (703) 287-5893.  For Investor Relations inquiries related to any of the monthly dividend-paying Gladstone funds, please visit </w:t>
      </w:r>
      <w:hyperlink r:id="rId7" w:history="1">
        <w:r w:rsidR="00EC69B2" w:rsidRPr="00B209CB">
          <w:rPr>
            <w:rStyle w:val="Hyperlink"/>
            <w:lang w:eastAsia="ko-KR"/>
          </w:rPr>
          <w:t>www.GladstoneCompanies.com</w:t>
        </w:r>
      </w:hyperlink>
      <w:r w:rsidRPr="00D36113">
        <w:rPr>
          <w:lang w:eastAsia="ko-KR"/>
        </w:rPr>
        <w:t>.</w:t>
      </w:r>
    </w:p>
    <w:p w14:paraId="56ACFCB5" w14:textId="77777777" w:rsidR="0022244D" w:rsidRPr="00D36113" w:rsidRDefault="0022244D" w:rsidP="0022244D">
      <w:pPr>
        <w:rPr>
          <w:rFonts w:eastAsiaTheme="minorEastAsia"/>
          <w:lang w:eastAsia="ko-KR"/>
        </w:rPr>
      </w:pPr>
    </w:p>
    <w:p w14:paraId="456791E2" w14:textId="77777777" w:rsidR="0022244D" w:rsidRPr="00D36113" w:rsidRDefault="0022244D" w:rsidP="0022244D">
      <w:r w:rsidRPr="00D36113">
        <w:t xml:space="preserve">Source: </w:t>
      </w:r>
      <w:r w:rsidRPr="00D36113">
        <w:rPr>
          <w:rFonts w:eastAsiaTheme="minorEastAsia"/>
          <w:lang w:eastAsia="ko-KR"/>
        </w:rPr>
        <w:t xml:space="preserve"> </w:t>
      </w:r>
      <w:r w:rsidRPr="00D36113">
        <w:t>Gladstone Land Corporation</w:t>
      </w:r>
    </w:p>
    <w:p w14:paraId="315454AF" w14:textId="77777777" w:rsidR="0022244D" w:rsidRPr="00D36113" w:rsidRDefault="0022244D" w:rsidP="0022244D"/>
    <w:p w14:paraId="0B417F4A" w14:textId="77777777" w:rsidR="0022244D" w:rsidRPr="00C55BEE" w:rsidRDefault="0022244D" w:rsidP="0022244D">
      <w:r w:rsidRPr="00D36113">
        <w:t>For further information: Gladstone Land Corporation, +1-703-287-5893</w:t>
      </w:r>
    </w:p>
    <w:p w14:paraId="6ABCF8D2" w14:textId="77777777" w:rsidR="0022244D" w:rsidRPr="00C55BEE" w:rsidRDefault="0022244D" w:rsidP="0022244D">
      <w:pPr>
        <w:keepNext/>
      </w:pPr>
    </w:p>
    <w:p w14:paraId="22636675" w14:textId="77777777" w:rsidR="00EB2D0C" w:rsidRPr="0022244D" w:rsidRDefault="00EB2D0C" w:rsidP="0022244D"/>
    <w:sectPr w:rsidR="00EB2D0C" w:rsidRPr="0022244D" w:rsidSect="002D2AF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F88801" w14:textId="77777777" w:rsidR="00EE4C6A" w:rsidRDefault="00EE4C6A" w:rsidP="00EB2D0C">
      <w:r>
        <w:separator/>
      </w:r>
    </w:p>
  </w:endnote>
  <w:endnote w:type="continuationSeparator" w:id="0">
    <w:p w14:paraId="309CB36B" w14:textId="77777777" w:rsidR="00EE4C6A" w:rsidRDefault="00EE4C6A" w:rsidP="00EB2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18CF06" w14:textId="77777777" w:rsidR="00EE4C6A" w:rsidRDefault="00EE4C6A" w:rsidP="00EB2D0C">
      <w:r>
        <w:separator/>
      </w:r>
    </w:p>
  </w:footnote>
  <w:footnote w:type="continuationSeparator" w:id="0">
    <w:p w14:paraId="47EAC0B1" w14:textId="77777777" w:rsidR="00EE4C6A" w:rsidRDefault="00EE4C6A" w:rsidP="00EB2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55287" w14:textId="77777777" w:rsidR="006C7168" w:rsidRDefault="006C7168">
    <w:pPr>
      <w:pStyle w:val="Header"/>
    </w:pPr>
    <w:r>
      <w:rPr>
        <w:noProof/>
      </w:rPr>
      <w:drawing>
        <wp:inline distT="0" distB="0" distL="0" distR="0" wp14:anchorId="57862C81" wp14:editId="51662648">
          <wp:extent cx="5943600" cy="49784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ND LOGO 201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EBC99A" w14:textId="77777777" w:rsidR="00AF1D5E" w:rsidRDefault="00AF1D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D0C"/>
    <w:rsid w:val="00001FDE"/>
    <w:rsid w:val="00003469"/>
    <w:rsid w:val="000048AF"/>
    <w:rsid w:val="00014AB0"/>
    <w:rsid w:val="000221A7"/>
    <w:rsid w:val="00036A5A"/>
    <w:rsid w:val="00036A7D"/>
    <w:rsid w:val="00044C5F"/>
    <w:rsid w:val="000566C7"/>
    <w:rsid w:val="000610F2"/>
    <w:rsid w:val="00065726"/>
    <w:rsid w:val="00075B8E"/>
    <w:rsid w:val="00087125"/>
    <w:rsid w:val="00097345"/>
    <w:rsid w:val="000B18FB"/>
    <w:rsid w:val="000B5799"/>
    <w:rsid w:val="000D6C40"/>
    <w:rsid w:val="000D75AB"/>
    <w:rsid w:val="000F6E1B"/>
    <w:rsid w:val="000F7066"/>
    <w:rsid w:val="001070E1"/>
    <w:rsid w:val="0011798B"/>
    <w:rsid w:val="0013424C"/>
    <w:rsid w:val="00145B05"/>
    <w:rsid w:val="00145D2A"/>
    <w:rsid w:val="00152532"/>
    <w:rsid w:val="00156AE4"/>
    <w:rsid w:val="00156DB7"/>
    <w:rsid w:val="00164A5C"/>
    <w:rsid w:val="0017185D"/>
    <w:rsid w:val="0017566A"/>
    <w:rsid w:val="00176A6D"/>
    <w:rsid w:val="001840AE"/>
    <w:rsid w:val="001A0272"/>
    <w:rsid w:val="001A5B3A"/>
    <w:rsid w:val="001B1546"/>
    <w:rsid w:val="001B7EBA"/>
    <w:rsid w:val="001D003C"/>
    <w:rsid w:val="001F1A9E"/>
    <w:rsid w:val="001F463F"/>
    <w:rsid w:val="002008C3"/>
    <w:rsid w:val="00200C48"/>
    <w:rsid w:val="00201C21"/>
    <w:rsid w:val="002047C9"/>
    <w:rsid w:val="00207106"/>
    <w:rsid w:val="00210B58"/>
    <w:rsid w:val="00213957"/>
    <w:rsid w:val="0022244D"/>
    <w:rsid w:val="00224520"/>
    <w:rsid w:val="00235047"/>
    <w:rsid w:val="002429E2"/>
    <w:rsid w:val="00245817"/>
    <w:rsid w:val="0024618B"/>
    <w:rsid w:val="0025179F"/>
    <w:rsid w:val="002564A7"/>
    <w:rsid w:val="00263CA5"/>
    <w:rsid w:val="00265002"/>
    <w:rsid w:val="00270D99"/>
    <w:rsid w:val="00280169"/>
    <w:rsid w:val="00280185"/>
    <w:rsid w:val="00296978"/>
    <w:rsid w:val="002972BF"/>
    <w:rsid w:val="00297DD4"/>
    <w:rsid w:val="002A09DA"/>
    <w:rsid w:val="002A58EE"/>
    <w:rsid w:val="002D0023"/>
    <w:rsid w:val="002D1414"/>
    <w:rsid w:val="002D2AF6"/>
    <w:rsid w:val="002D49A6"/>
    <w:rsid w:val="002D4C2E"/>
    <w:rsid w:val="002D6AB0"/>
    <w:rsid w:val="002E5E99"/>
    <w:rsid w:val="002E7B2C"/>
    <w:rsid w:val="002F281D"/>
    <w:rsid w:val="002F4865"/>
    <w:rsid w:val="002F5470"/>
    <w:rsid w:val="002F6BC1"/>
    <w:rsid w:val="0030179C"/>
    <w:rsid w:val="00307CE0"/>
    <w:rsid w:val="003114CC"/>
    <w:rsid w:val="00313784"/>
    <w:rsid w:val="0032203B"/>
    <w:rsid w:val="00326B2B"/>
    <w:rsid w:val="00326D9E"/>
    <w:rsid w:val="00333B98"/>
    <w:rsid w:val="00335F73"/>
    <w:rsid w:val="003411B2"/>
    <w:rsid w:val="00355EB4"/>
    <w:rsid w:val="00362731"/>
    <w:rsid w:val="0036367F"/>
    <w:rsid w:val="00363D5F"/>
    <w:rsid w:val="00380696"/>
    <w:rsid w:val="00391DE9"/>
    <w:rsid w:val="0039669F"/>
    <w:rsid w:val="003B32A5"/>
    <w:rsid w:val="003C1114"/>
    <w:rsid w:val="003C3192"/>
    <w:rsid w:val="003D7AC1"/>
    <w:rsid w:val="003E3091"/>
    <w:rsid w:val="003F633D"/>
    <w:rsid w:val="00407610"/>
    <w:rsid w:val="00415364"/>
    <w:rsid w:val="00416BBA"/>
    <w:rsid w:val="00417EE2"/>
    <w:rsid w:val="00435520"/>
    <w:rsid w:val="0045441C"/>
    <w:rsid w:val="00454A53"/>
    <w:rsid w:val="00454D30"/>
    <w:rsid w:val="0046206E"/>
    <w:rsid w:val="00462287"/>
    <w:rsid w:val="004645AE"/>
    <w:rsid w:val="00464A67"/>
    <w:rsid w:val="004758A9"/>
    <w:rsid w:val="00482118"/>
    <w:rsid w:val="00486B4A"/>
    <w:rsid w:val="00492C43"/>
    <w:rsid w:val="004965D9"/>
    <w:rsid w:val="004A7390"/>
    <w:rsid w:val="004B415A"/>
    <w:rsid w:val="004B4F0C"/>
    <w:rsid w:val="004C125E"/>
    <w:rsid w:val="004D6388"/>
    <w:rsid w:val="004E4773"/>
    <w:rsid w:val="004F0C19"/>
    <w:rsid w:val="004F472F"/>
    <w:rsid w:val="005006B6"/>
    <w:rsid w:val="0050399F"/>
    <w:rsid w:val="00513F9A"/>
    <w:rsid w:val="005245E6"/>
    <w:rsid w:val="00535C23"/>
    <w:rsid w:val="00543232"/>
    <w:rsid w:val="0055545C"/>
    <w:rsid w:val="00562B5E"/>
    <w:rsid w:val="00573A28"/>
    <w:rsid w:val="00585D4D"/>
    <w:rsid w:val="00586156"/>
    <w:rsid w:val="00591D3C"/>
    <w:rsid w:val="00595235"/>
    <w:rsid w:val="005A266F"/>
    <w:rsid w:val="005A3E52"/>
    <w:rsid w:val="005B16AF"/>
    <w:rsid w:val="005E2929"/>
    <w:rsid w:val="005E4278"/>
    <w:rsid w:val="00606F8B"/>
    <w:rsid w:val="00613932"/>
    <w:rsid w:val="006210CC"/>
    <w:rsid w:val="00644216"/>
    <w:rsid w:val="00645DC2"/>
    <w:rsid w:val="0065176B"/>
    <w:rsid w:val="006520F8"/>
    <w:rsid w:val="00653EB5"/>
    <w:rsid w:val="006545FE"/>
    <w:rsid w:val="00661A92"/>
    <w:rsid w:val="00664E3F"/>
    <w:rsid w:val="006801E0"/>
    <w:rsid w:val="00690DA8"/>
    <w:rsid w:val="006A1660"/>
    <w:rsid w:val="006B0F28"/>
    <w:rsid w:val="006C47AA"/>
    <w:rsid w:val="006C7168"/>
    <w:rsid w:val="006C7E45"/>
    <w:rsid w:val="006D3C52"/>
    <w:rsid w:val="006D5F16"/>
    <w:rsid w:val="006D6AEF"/>
    <w:rsid w:val="006E4BDE"/>
    <w:rsid w:val="006F0B13"/>
    <w:rsid w:val="006F55B5"/>
    <w:rsid w:val="006F637A"/>
    <w:rsid w:val="00701B19"/>
    <w:rsid w:val="007023A6"/>
    <w:rsid w:val="00702430"/>
    <w:rsid w:val="00705C2D"/>
    <w:rsid w:val="007064BF"/>
    <w:rsid w:val="00706D3F"/>
    <w:rsid w:val="007074B8"/>
    <w:rsid w:val="00717CD5"/>
    <w:rsid w:val="007309BF"/>
    <w:rsid w:val="00740998"/>
    <w:rsid w:val="00741E1A"/>
    <w:rsid w:val="007461CC"/>
    <w:rsid w:val="00747923"/>
    <w:rsid w:val="007504FF"/>
    <w:rsid w:val="0075113D"/>
    <w:rsid w:val="00760711"/>
    <w:rsid w:val="00760AD5"/>
    <w:rsid w:val="00770C07"/>
    <w:rsid w:val="00777B18"/>
    <w:rsid w:val="00780754"/>
    <w:rsid w:val="007848F0"/>
    <w:rsid w:val="00786C7D"/>
    <w:rsid w:val="00790DC7"/>
    <w:rsid w:val="00790E10"/>
    <w:rsid w:val="007B0C02"/>
    <w:rsid w:val="007B216E"/>
    <w:rsid w:val="007B7278"/>
    <w:rsid w:val="007C5488"/>
    <w:rsid w:val="007D70CF"/>
    <w:rsid w:val="007E1F7D"/>
    <w:rsid w:val="007E5DEB"/>
    <w:rsid w:val="007F764A"/>
    <w:rsid w:val="00802398"/>
    <w:rsid w:val="00806C2D"/>
    <w:rsid w:val="0081626B"/>
    <w:rsid w:val="008251EF"/>
    <w:rsid w:val="00835CAC"/>
    <w:rsid w:val="008379E6"/>
    <w:rsid w:val="008524E5"/>
    <w:rsid w:val="0086296B"/>
    <w:rsid w:val="00862F61"/>
    <w:rsid w:val="008714F9"/>
    <w:rsid w:val="00877975"/>
    <w:rsid w:val="00892967"/>
    <w:rsid w:val="008B1700"/>
    <w:rsid w:val="008B4007"/>
    <w:rsid w:val="008B6C8B"/>
    <w:rsid w:val="008C0791"/>
    <w:rsid w:val="008D3358"/>
    <w:rsid w:val="008D4941"/>
    <w:rsid w:val="008D50C2"/>
    <w:rsid w:val="008F152A"/>
    <w:rsid w:val="00902232"/>
    <w:rsid w:val="009108E5"/>
    <w:rsid w:val="0091775E"/>
    <w:rsid w:val="00921690"/>
    <w:rsid w:val="00921836"/>
    <w:rsid w:val="00925E48"/>
    <w:rsid w:val="00931740"/>
    <w:rsid w:val="00937727"/>
    <w:rsid w:val="00950C2D"/>
    <w:rsid w:val="009615DC"/>
    <w:rsid w:val="00985130"/>
    <w:rsid w:val="009930A6"/>
    <w:rsid w:val="009957D9"/>
    <w:rsid w:val="0099710C"/>
    <w:rsid w:val="009A14BA"/>
    <w:rsid w:val="009A5A1C"/>
    <w:rsid w:val="009C2DFA"/>
    <w:rsid w:val="009C3B5B"/>
    <w:rsid w:val="009D13D7"/>
    <w:rsid w:val="009D2411"/>
    <w:rsid w:val="009F230A"/>
    <w:rsid w:val="009F4173"/>
    <w:rsid w:val="009F7DB5"/>
    <w:rsid w:val="00A04642"/>
    <w:rsid w:val="00A10A98"/>
    <w:rsid w:val="00A22004"/>
    <w:rsid w:val="00A22B6E"/>
    <w:rsid w:val="00A2747E"/>
    <w:rsid w:val="00A37E04"/>
    <w:rsid w:val="00A404B6"/>
    <w:rsid w:val="00A40816"/>
    <w:rsid w:val="00A5334C"/>
    <w:rsid w:val="00A62F62"/>
    <w:rsid w:val="00A71C31"/>
    <w:rsid w:val="00A76BC1"/>
    <w:rsid w:val="00A84545"/>
    <w:rsid w:val="00AA7933"/>
    <w:rsid w:val="00AE2194"/>
    <w:rsid w:val="00AE222A"/>
    <w:rsid w:val="00AF1B23"/>
    <w:rsid w:val="00AF1D5E"/>
    <w:rsid w:val="00B04DDF"/>
    <w:rsid w:val="00B06F40"/>
    <w:rsid w:val="00B12CB4"/>
    <w:rsid w:val="00B13F47"/>
    <w:rsid w:val="00B22BB1"/>
    <w:rsid w:val="00B459B8"/>
    <w:rsid w:val="00B50546"/>
    <w:rsid w:val="00B547AB"/>
    <w:rsid w:val="00B54F35"/>
    <w:rsid w:val="00B61B58"/>
    <w:rsid w:val="00B6482F"/>
    <w:rsid w:val="00B81778"/>
    <w:rsid w:val="00B93C68"/>
    <w:rsid w:val="00B957FA"/>
    <w:rsid w:val="00B97F0C"/>
    <w:rsid w:val="00BA383C"/>
    <w:rsid w:val="00BA38C0"/>
    <w:rsid w:val="00BA597B"/>
    <w:rsid w:val="00BC4FDB"/>
    <w:rsid w:val="00BD3FDB"/>
    <w:rsid w:val="00BE0912"/>
    <w:rsid w:val="00BE5E5F"/>
    <w:rsid w:val="00BF18B5"/>
    <w:rsid w:val="00BF3D67"/>
    <w:rsid w:val="00C107A5"/>
    <w:rsid w:val="00C16F93"/>
    <w:rsid w:val="00C34BD8"/>
    <w:rsid w:val="00C50A89"/>
    <w:rsid w:val="00C54CBA"/>
    <w:rsid w:val="00C55BEE"/>
    <w:rsid w:val="00C65E31"/>
    <w:rsid w:val="00C661E6"/>
    <w:rsid w:val="00C740DA"/>
    <w:rsid w:val="00C746A6"/>
    <w:rsid w:val="00C77ACC"/>
    <w:rsid w:val="00C81897"/>
    <w:rsid w:val="00C822DE"/>
    <w:rsid w:val="00C95CD7"/>
    <w:rsid w:val="00CA052F"/>
    <w:rsid w:val="00CA1E17"/>
    <w:rsid w:val="00CA2C17"/>
    <w:rsid w:val="00CC3E1A"/>
    <w:rsid w:val="00CE2BFE"/>
    <w:rsid w:val="00CF5871"/>
    <w:rsid w:val="00D336D3"/>
    <w:rsid w:val="00D36113"/>
    <w:rsid w:val="00D378E9"/>
    <w:rsid w:val="00D53FD7"/>
    <w:rsid w:val="00D61111"/>
    <w:rsid w:val="00D6365B"/>
    <w:rsid w:val="00D76A11"/>
    <w:rsid w:val="00D76EDD"/>
    <w:rsid w:val="00D86F4C"/>
    <w:rsid w:val="00DA0D66"/>
    <w:rsid w:val="00DA36C9"/>
    <w:rsid w:val="00DC0DAD"/>
    <w:rsid w:val="00DC4C1E"/>
    <w:rsid w:val="00DD1CCC"/>
    <w:rsid w:val="00DD24A7"/>
    <w:rsid w:val="00DD5CF2"/>
    <w:rsid w:val="00DD6102"/>
    <w:rsid w:val="00DE6082"/>
    <w:rsid w:val="00E10219"/>
    <w:rsid w:val="00E22ABD"/>
    <w:rsid w:val="00E60B6A"/>
    <w:rsid w:val="00E6250A"/>
    <w:rsid w:val="00E63EE4"/>
    <w:rsid w:val="00E7213A"/>
    <w:rsid w:val="00E73F23"/>
    <w:rsid w:val="00E77E92"/>
    <w:rsid w:val="00E832F7"/>
    <w:rsid w:val="00E856E8"/>
    <w:rsid w:val="00EA75BC"/>
    <w:rsid w:val="00EA760A"/>
    <w:rsid w:val="00EB00F1"/>
    <w:rsid w:val="00EB2D0C"/>
    <w:rsid w:val="00EC3651"/>
    <w:rsid w:val="00EC69B2"/>
    <w:rsid w:val="00ED57D2"/>
    <w:rsid w:val="00EE4C6A"/>
    <w:rsid w:val="00F06BCF"/>
    <w:rsid w:val="00F074E8"/>
    <w:rsid w:val="00F15482"/>
    <w:rsid w:val="00F3687D"/>
    <w:rsid w:val="00F40BF5"/>
    <w:rsid w:val="00F52518"/>
    <w:rsid w:val="00F6211C"/>
    <w:rsid w:val="00F63AFA"/>
    <w:rsid w:val="00F66D5F"/>
    <w:rsid w:val="00F71C7D"/>
    <w:rsid w:val="00F730F2"/>
    <w:rsid w:val="00F74340"/>
    <w:rsid w:val="00F76110"/>
    <w:rsid w:val="00F91F84"/>
    <w:rsid w:val="00FA2004"/>
    <w:rsid w:val="00FA3342"/>
    <w:rsid w:val="00FA4731"/>
    <w:rsid w:val="00FB1B31"/>
    <w:rsid w:val="00FB4F8B"/>
    <w:rsid w:val="00FE0017"/>
    <w:rsid w:val="00FF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A490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2D0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B2D0C"/>
  </w:style>
  <w:style w:type="paragraph" w:styleId="Footer">
    <w:name w:val="footer"/>
    <w:basedOn w:val="Normal"/>
    <w:link w:val="FooterChar"/>
    <w:uiPriority w:val="99"/>
    <w:unhideWhenUsed/>
    <w:rsid w:val="00EB2D0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B2D0C"/>
  </w:style>
  <w:style w:type="paragraph" w:styleId="BalloonText">
    <w:name w:val="Balloon Text"/>
    <w:basedOn w:val="Normal"/>
    <w:link w:val="BalloonTextChar"/>
    <w:uiPriority w:val="99"/>
    <w:semiHidden/>
    <w:unhideWhenUsed/>
    <w:rsid w:val="00EB2D0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D0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EB2D0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basedOn w:val="DefaultParagraphFont"/>
    <w:uiPriority w:val="99"/>
    <w:rsid w:val="00EB2D0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114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4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14C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4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4C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xn-chron">
    <w:name w:val="xn-chron"/>
    <w:basedOn w:val="DefaultParagraphFont"/>
    <w:rsid w:val="00D6365B"/>
  </w:style>
  <w:style w:type="table" w:styleId="TableGrid">
    <w:name w:val="Table Grid"/>
    <w:basedOn w:val="TableNormal"/>
    <w:rsid w:val="00D76ED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99"/>
    <w:rsid w:val="00661A92"/>
    <w:pPr>
      <w:spacing w:after="0" w:line="240" w:lineRule="auto"/>
    </w:pPr>
    <w:rPr>
      <w:rFonts w:eastAsiaTheme="minorHAn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C6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0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5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2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06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8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0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gladstonecompanies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ladstoneland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2021-01-20T15:44:00Z</dcterms:created>
  <dcterms:modified xsi:type="dcterms:W3CDTF">2021-01-25T15:23:00Z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gFAAXJDLFUo5N7sDBsqmNdnMxYe0cvpZQQybb/9gJYLC1YVnEU/aJMcVNy99NgNNqc+9ijadynMHQ2lv
UtG/QJkc+bIgTw/Z4SKbiHw9XLTnyH2rDNlNs45ZylmNFJdfxhfa16BojMOIvGNvUtG/QJkc+bIg
Tw/Z4SKbiHw9XLTnyH2rDNlNs45Zyn8VfTHzZjn3T40tm7J+tiE1GC0TyO0oebBVb3llHe87Awi/
tm8Boc7DxESiVbJEv</vt:lpwstr>
  </property>
  <property fmtid="{D5CDD505-2E9C-101B-9397-08002B2CF9AE}" pid="3" name="MAIL_MSG_ID2">
    <vt:lpwstr>GSF2x9Fx2Tv8fcrc3G2JpcdKiBt0gSjS2DQ+Vdb/HNbuc1mInhnhjogfmcM
ARaPf/z+JeHrmJa86+u0ey0X9aJHHT9ia2zbrQ==</vt:lpwstr>
  </property>
  <property fmtid="{D5CDD505-2E9C-101B-9397-08002B2CF9AE}" pid="4" name="RESPONSE_SENDER_NAME">
    <vt:lpwstr>sAAAE9kkUq3pEoJd4bI49hMUzilXfPVfFNm1gUvKfs4CZhM=</vt:lpwstr>
  </property>
  <property fmtid="{D5CDD505-2E9C-101B-9397-08002B2CF9AE}" pid="5" name="EMAIL_OWNER_ADDRESS">
    <vt:lpwstr>MBAAug5tyHKiyJ+13nrofdlerB0Xf7bRHVjwW6/x+Y73a/fC4nmOLPVokJdtzHzFB65O2Afx6BxdMtU=</vt:lpwstr>
  </property>
</Properties>
</file>