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B3E" w:rsidRDefault="0010173D">
      <w:pPr>
        <w:spacing w:after="200" w:line="288" w:lineRule="auto"/>
        <w:jc w:val="center"/>
        <w:rPr>
          <w:sz w:val="20"/>
        </w:rPr>
      </w:pPr>
      <w:bookmarkStart w:id="0" w:name="Section1"/>
      <w:bookmarkStart w:id="1" w:name="_GoBack"/>
      <w:bookmarkEnd w:id="0"/>
      <w:bookmarkEnd w:id="1"/>
      <w:r>
        <w:rPr>
          <w:noProof/>
        </w:rPr>
        <w:drawing>
          <wp:inline distT="0" distB="0" distL="0" distR="0">
            <wp:extent cx="2463800" cy="762000"/>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a:xfrm>
                      <a:off x="0" y="0"/>
                      <a:ext cx="2463800" cy="762000"/>
                    </a:xfrm>
                    <a:prstGeom prst="rect">
                      <a:avLst/>
                    </a:prstGeom>
                    <a:noFill/>
                    <a:ln>
                      <a:noFill/>
                    </a:ln>
                  </pic:spPr>
                </pic:pic>
              </a:graphicData>
            </a:graphic>
          </wp:inline>
        </w:drawing>
      </w:r>
    </w:p>
    <w:p w:rsidR="00A77B3E" w:rsidRDefault="0010173D">
      <w:pPr>
        <w:spacing w:line="288" w:lineRule="auto"/>
        <w:rPr>
          <w:rFonts w:ascii="Arial" w:eastAsia="Arial" w:hAnsi="Arial" w:cs="Arial"/>
          <w:b/>
          <w:sz w:val="20"/>
        </w:rPr>
      </w:pPr>
      <w:r>
        <w:rPr>
          <w:rFonts w:ascii="Arial" w:eastAsia="Arial" w:hAnsi="Arial" w:cs="Arial"/>
          <w:b/>
          <w:sz w:val="20"/>
        </w:rPr>
        <w:t>CONTACT:</w:t>
      </w:r>
      <w:r>
        <w:rPr>
          <w:sz w:val="20"/>
        </w:rPr>
        <w:tab/>
      </w:r>
      <w:r>
        <w:rPr>
          <w:rFonts w:ascii="Arial" w:eastAsia="Arial" w:hAnsi="Arial" w:cs="Arial"/>
          <w:sz w:val="20"/>
        </w:rPr>
        <w:t>Allen Danzey</w:t>
      </w:r>
    </w:p>
    <w:p w:rsidR="00A77B3E" w:rsidRDefault="0010173D">
      <w:pPr>
        <w:spacing w:line="288" w:lineRule="auto"/>
        <w:rPr>
          <w:sz w:val="20"/>
        </w:rPr>
      </w:pPr>
      <w:r>
        <w:rPr>
          <w:sz w:val="20"/>
        </w:rPr>
        <w:tab/>
      </w:r>
      <w:r>
        <w:rPr>
          <w:sz w:val="20"/>
        </w:rPr>
        <w:tab/>
      </w:r>
      <w:r>
        <w:rPr>
          <w:rFonts w:ascii="Arial" w:eastAsia="Arial" w:hAnsi="Arial" w:cs="Arial"/>
          <w:sz w:val="20"/>
        </w:rPr>
        <w:t>Chief Financial Officer</w:t>
      </w:r>
    </w:p>
    <w:p w:rsidR="00A77B3E" w:rsidRDefault="0010173D">
      <w:pPr>
        <w:spacing w:line="288" w:lineRule="auto"/>
        <w:rPr>
          <w:sz w:val="20"/>
        </w:rPr>
      </w:pPr>
      <w:r>
        <w:rPr>
          <w:sz w:val="20"/>
        </w:rPr>
        <w:tab/>
      </w:r>
      <w:r>
        <w:rPr>
          <w:sz w:val="20"/>
        </w:rPr>
        <w:tab/>
      </w:r>
      <w:r>
        <w:rPr>
          <w:rFonts w:ascii="Arial" w:eastAsia="Arial" w:hAnsi="Arial" w:cs="Arial"/>
          <w:sz w:val="20"/>
        </w:rPr>
        <w:t>706-876-5865</w:t>
      </w:r>
    </w:p>
    <w:p w:rsidR="00A77B3E" w:rsidRDefault="0010173D">
      <w:pPr>
        <w:spacing w:line="288" w:lineRule="auto"/>
        <w:rPr>
          <w:sz w:val="20"/>
        </w:rPr>
      </w:pPr>
      <w:r>
        <w:rPr>
          <w:sz w:val="20"/>
        </w:rPr>
        <w:tab/>
      </w:r>
      <w:r>
        <w:rPr>
          <w:sz w:val="20"/>
        </w:rPr>
        <w:tab/>
      </w:r>
      <w:r>
        <w:rPr>
          <w:rFonts w:ascii="Arial" w:eastAsia="Arial" w:hAnsi="Arial" w:cs="Arial"/>
          <w:color w:val="0000FF"/>
          <w:sz w:val="20"/>
          <w:u w:val="single"/>
        </w:rPr>
        <w:t>allen.danzey@dixiegroup.com</w:t>
      </w:r>
    </w:p>
    <w:p w:rsidR="00A77B3E" w:rsidRDefault="00A77B3E">
      <w:pPr>
        <w:spacing w:line="288" w:lineRule="auto"/>
        <w:rPr>
          <w:rFonts w:ascii="Arial" w:eastAsia="Arial" w:hAnsi="Arial" w:cs="Arial"/>
          <w:sz w:val="20"/>
        </w:rPr>
      </w:pPr>
    </w:p>
    <w:p w:rsidR="00A77B3E" w:rsidRDefault="0010173D">
      <w:pPr>
        <w:spacing w:line="288" w:lineRule="auto"/>
        <w:jc w:val="center"/>
        <w:rPr>
          <w:rFonts w:ascii="Arial" w:eastAsia="Arial" w:hAnsi="Arial" w:cs="Arial"/>
          <w:b/>
        </w:rPr>
      </w:pPr>
      <w:r>
        <w:rPr>
          <w:rFonts w:ascii="Arial" w:eastAsia="Arial" w:hAnsi="Arial" w:cs="Arial"/>
          <w:b/>
        </w:rPr>
        <w:t>THE DIXIE GROUP REPORTS FINANCIAL RESULTS FOR 2020</w:t>
      </w:r>
    </w:p>
    <w:p w:rsidR="00A77B3E" w:rsidRDefault="00A77B3E">
      <w:pPr>
        <w:spacing w:line="288" w:lineRule="auto"/>
        <w:jc w:val="center"/>
        <w:rPr>
          <w:rFonts w:ascii="Arial" w:eastAsia="Arial" w:hAnsi="Arial" w:cs="Arial"/>
          <w:b/>
        </w:rPr>
      </w:pPr>
    </w:p>
    <w:p w:rsidR="00A77B3E" w:rsidRDefault="0010173D">
      <w:pPr>
        <w:spacing w:line="288" w:lineRule="auto"/>
        <w:rPr>
          <w:rFonts w:ascii="Arial" w:eastAsia="Arial" w:hAnsi="Arial" w:cs="Arial"/>
          <w:sz w:val="20"/>
        </w:rPr>
      </w:pPr>
      <w:r>
        <w:rPr>
          <w:rFonts w:ascii="Arial" w:eastAsia="Arial" w:hAnsi="Arial" w:cs="Arial"/>
          <w:b/>
          <w:sz w:val="20"/>
        </w:rPr>
        <w:t xml:space="preserve">DALTON, GEORGIA (March 4, 2021) -- </w:t>
      </w:r>
      <w:r>
        <w:rPr>
          <w:rFonts w:ascii="Arial" w:eastAsia="Arial" w:hAnsi="Arial" w:cs="Arial"/>
          <w:sz w:val="20"/>
        </w:rPr>
        <w:t xml:space="preserve">The Dixie Group, Inc. (NASDAQ: DXYN) today reported financial results for the year ended December 26, 2020. </w:t>
      </w:r>
    </w:p>
    <w:p w:rsidR="00A77B3E" w:rsidRDefault="00A77B3E">
      <w:pPr>
        <w:spacing w:line="288" w:lineRule="auto"/>
        <w:rPr>
          <w:rFonts w:ascii="Arial" w:eastAsia="Arial" w:hAnsi="Arial" w:cs="Arial"/>
          <w:sz w:val="20"/>
        </w:rPr>
      </w:pPr>
    </w:p>
    <w:p w:rsidR="00A77B3E" w:rsidRDefault="0010173D">
      <w:pPr>
        <w:spacing w:line="288" w:lineRule="auto"/>
        <w:jc w:val="both"/>
        <w:rPr>
          <w:rFonts w:ascii="Arial" w:eastAsia="Arial" w:hAnsi="Arial" w:cs="Arial"/>
          <w:sz w:val="20"/>
        </w:rPr>
      </w:pPr>
      <w:r>
        <w:rPr>
          <w:rFonts w:ascii="Arial" w:eastAsia="Arial" w:hAnsi="Arial" w:cs="Arial"/>
          <w:sz w:val="20"/>
        </w:rPr>
        <w:t>Despite the unprecedented challenges faced in the COVID-19 pandemic affected year of 2020, we were able to improve our operations, and further str</w:t>
      </w:r>
      <w:r>
        <w:rPr>
          <w:rFonts w:ascii="Arial" w:eastAsia="Arial" w:hAnsi="Arial" w:cs="Arial"/>
          <w:sz w:val="20"/>
        </w:rPr>
        <w:t>engthen our balance sheet to better position our Company as we entered 2021 with momentum and optimism.</w:t>
      </w:r>
    </w:p>
    <w:p w:rsidR="00A77B3E" w:rsidRDefault="00A77B3E">
      <w:pPr>
        <w:spacing w:line="288" w:lineRule="auto"/>
        <w:rPr>
          <w:rFonts w:ascii="Arial" w:eastAsia="Arial" w:hAnsi="Arial" w:cs="Arial"/>
          <w:sz w:val="20"/>
        </w:rPr>
      </w:pPr>
    </w:p>
    <w:p w:rsidR="00A77B3E" w:rsidRDefault="0010173D">
      <w:pPr>
        <w:numPr>
          <w:ilvl w:val="0"/>
          <w:numId w:val="6"/>
        </w:numPr>
        <w:spacing w:line="288" w:lineRule="auto"/>
        <w:jc w:val="both"/>
        <w:rPr>
          <w:rFonts w:ascii="Arial" w:eastAsia="Arial" w:hAnsi="Arial" w:cs="Arial"/>
          <w:b/>
          <w:sz w:val="20"/>
        </w:rPr>
      </w:pPr>
      <w:r>
        <w:rPr>
          <w:rFonts w:ascii="Arial" w:eastAsia="Arial" w:hAnsi="Arial" w:cs="Arial"/>
          <w:b/>
          <w:sz w:val="20"/>
        </w:rPr>
        <w:t>We reduced debt by $10 million in 2020 bringing our total debt reduction to $60 million over the last thirty months.</w:t>
      </w:r>
    </w:p>
    <w:p w:rsidR="00A77B3E" w:rsidRDefault="0010173D">
      <w:pPr>
        <w:numPr>
          <w:ilvl w:val="0"/>
          <w:numId w:val="6"/>
        </w:numPr>
        <w:spacing w:line="288" w:lineRule="auto"/>
        <w:jc w:val="both"/>
        <w:rPr>
          <w:rFonts w:ascii="Arial" w:eastAsia="Arial" w:hAnsi="Arial" w:cs="Arial"/>
          <w:b/>
          <w:sz w:val="20"/>
        </w:rPr>
      </w:pPr>
      <w:r>
        <w:rPr>
          <w:rFonts w:ascii="Arial" w:eastAsia="Arial" w:hAnsi="Arial" w:cs="Arial"/>
          <w:b/>
          <w:sz w:val="20"/>
        </w:rPr>
        <w:t xml:space="preserve">We entered into a new $75 million </w:t>
      </w:r>
      <w:r>
        <w:rPr>
          <w:rFonts w:ascii="Arial" w:eastAsia="Arial" w:hAnsi="Arial" w:cs="Arial"/>
          <w:b/>
          <w:sz w:val="20"/>
        </w:rPr>
        <w:t>line of credit and two long term loans totaling $25 million. These transactions, along with cost reductions and operating efficiencies in 2020, allowed us to end the year with borrowing availability of $43.3 million under our new Senior Revolving Credit Fa</w:t>
      </w:r>
      <w:r>
        <w:rPr>
          <w:rFonts w:ascii="Arial" w:eastAsia="Arial" w:hAnsi="Arial" w:cs="Arial"/>
          <w:b/>
          <w:sz w:val="20"/>
        </w:rPr>
        <w:t>cility.</w:t>
      </w:r>
    </w:p>
    <w:p w:rsidR="00A77B3E" w:rsidRDefault="0010173D">
      <w:pPr>
        <w:numPr>
          <w:ilvl w:val="0"/>
          <w:numId w:val="6"/>
        </w:numPr>
        <w:spacing w:line="288" w:lineRule="auto"/>
        <w:jc w:val="both"/>
        <w:rPr>
          <w:rFonts w:ascii="Arial" w:eastAsia="Arial" w:hAnsi="Arial" w:cs="Arial"/>
          <w:b/>
          <w:sz w:val="20"/>
        </w:rPr>
      </w:pPr>
      <w:r>
        <w:rPr>
          <w:rFonts w:ascii="Arial" w:eastAsia="Arial" w:hAnsi="Arial" w:cs="Arial"/>
          <w:b/>
          <w:sz w:val="20"/>
        </w:rPr>
        <w:t>Operational improvements and cost reductions generated higher gross profit margins. Our gross profit margin for the year ended December 26, 2020 was 24.2% compared with 23.0% in the year ended December 28, 2019.</w:t>
      </w:r>
    </w:p>
    <w:p w:rsidR="00A77B3E" w:rsidRDefault="00A77B3E">
      <w:pPr>
        <w:spacing w:line="288" w:lineRule="auto"/>
        <w:ind w:left="720"/>
        <w:jc w:val="both"/>
        <w:rPr>
          <w:rFonts w:ascii="Arial" w:eastAsia="Arial" w:hAnsi="Arial" w:cs="Arial"/>
          <w:sz w:val="20"/>
        </w:rPr>
      </w:pPr>
    </w:p>
    <w:p w:rsidR="00A77B3E" w:rsidRDefault="0010173D">
      <w:pPr>
        <w:spacing w:line="288" w:lineRule="auto"/>
        <w:jc w:val="both"/>
        <w:rPr>
          <w:rFonts w:ascii="Arial" w:eastAsia="Arial" w:hAnsi="Arial" w:cs="Arial"/>
          <w:sz w:val="20"/>
        </w:rPr>
      </w:pPr>
      <w:r>
        <w:rPr>
          <w:rFonts w:ascii="Arial" w:eastAsia="Arial" w:hAnsi="Arial" w:cs="Arial"/>
          <w:sz w:val="20"/>
        </w:rPr>
        <w:t>For the year 2020, net sales for th</w:t>
      </w:r>
      <w:r>
        <w:rPr>
          <w:rFonts w:ascii="Arial" w:eastAsia="Arial" w:hAnsi="Arial" w:cs="Arial"/>
          <w:sz w:val="20"/>
        </w:rPr>
        <w:t>e Company were $315,939,000 as compared to $374,582,000 in the year 2019. The net loss on the year 2020 was $9,208,000 compared to a net income of $15,271,000 in the previous year. The decline in sales and the loss in 2020 were primarily driven by the impa</w:t>
      </w:r>
      <w:r>
        <w:rPr>
          <w:rFonts w:ascii="Arial" w:eastAsia="Arial" w:hAnsi="Arial" w:cs="Arial"/>
          <w:sz w:val="20"/>
        </w:rPr>
        <w:t>ct of the COVID-19 pandemic. Net income in 2019 was the result of the sale of our facility in Santa Ana, California which generated a $25 million gain in the fourth quarter of 2019. On a non-GAAP adjusted basis, the Company had a net loss of $2.8 million i</w:t>
      </w:r>
      <w:r>
        <w:rPr>
          <w:rFonts w:ascii="Arial" w:eastAsia="Arial" w:hAnsi="Arial" w:cs="Arial"/>
          <w:sz w:val="20"/>
        </w:rPr>
        <w:t xml:space="preserve">n 2020 and a net loss of $3.9 million in 2019. </w:t>
      </w:r>
    </w:p>
    <w:p w:rsidR="00A77B3E" w:rsidRDefault="00A77B3E">
      <w:pPr>
        <w:spacing w:line="288" w:lineRule="auto"/>
        <w:jc w:val="both"/>
        <w:rPr>
          <w:rFonts w:ascii="Arial" w:eastAsia="Arial" w:hAnsi="Arial" w:cs="Arial"/>
          <w:sz w:val="20"/>
        </w:rPr>
      </w:pPr>
    </w:p>
    <w:p w:rsidR="00A77B3E" w:rsidRDefault="0010173D">
      <w:pPr>
        <w:spacing w:line="288" w:lineRule="auto"/>
        <w:jc w:val="both"/>
        <w:rPr>
          <w:rFonts w:ascii="Arial" w:eastAsia="Arial" w:hAnsi="Arial" w:cs="Arial"/>
          <w:sz w:val="20"/>
        </w:rPr>
      </w:pPr>
      <w:r>
        <w:rPr>
          <w:rFonts w:ascii="Arial" w:eastAsia="Arial" w:hAnsi="Arial" w:cs="Arial"/>
          <w:sz w:val="20"/>
        </w:rPr>
        <w:t>Commenting on the results, Daniel K. Frierson, Chairman and Chief Executive Officer, said, “2020 was a year of unprecedented circumstances and a once-in-a-century event – the COVID-19 pandemic. Not knowing w</w:t>
      </w:r>
      <w:r>
        <w:rPr>
          <w:rFonts w:ascii="Arial" w:eastAsia="Arial" w:hAnsi="Arial" w:cs="Arial"/>
          <w:sz w:val="20"/>
        </w:rPr>
        <w:t xml:space="preserve">here the COVID-19 pandemic would lead, we implemented our continuity plan to maintain the health and safety of our associates, preserve cash and minimize the impact on our customers. To minimize and prevent cases of COVID-19 exposure in our facilities, we </w:t>
      </w:r>
      <w:r>
        <w:rPr>
          <w:rFonts w:ascii="Arial" w:eastAsia="Arial" w:hAnsi="Arial" w:cs="Arial"/>
          <w:sz w:val="20"/>
        </w:rPr>
        <w:t>have taken measures aimed at sanitation and safety, including large scale COVID-19 testing, mandatory temperature checks prior to starting work, requirements to wear masks when unable to maintain social distancing and deep cleaning and sanitation. We limit</w:t>
      </w:r>
      <w:r>
        <w:rPr>
          <w:rFonts w:ascii="Arial" w:eastAsia="Arial" w:hAnsi="Arial" w:cs="Arial"/>
          <w:sz w:val="20"/>
        </w:rPr>
        <w:t>ed travel for our associates, implemented work from home options where appropriate, and limited physical contact with our customers. We reduced our running schedules in our facilities to below demand, to maintain order flow to our customers while simultane</w:t>
      </w:r>
      <w:r>
        <w:rPr>
          <w:rFonts w:ascii="Arial" w:eastAsia="Arial" w:hAnsi="Arial" w:cs="Arial"/>
          <w:sz w:val="20"/>
        </w:rPr>
        <w:t>ously reducing inventories to generate cash and align them with our lower customer demand. In order to preserve cash, we placed a large percentage of our associates either on rotating layoff or furlough. We eliminated or deferred planned spending of $14 mi</w:t>
      </w:r>
      <w:r>
        <w:rPr>
          <w:rFonts w:ascii="Arial" w:eastAsia="Arial" w:hAnsi="Arial" w:cs="Arial"/>
          <w:sz w:val="20"/>
        </w:rPr>
        <w:t xml:space="preserve">llion in 2020. These cost cuts included deferring maintenance when possible, reduced capital expenditures, instituting select job eliminations, and temporary salary reductions. Our management team worked together to implement our continuity plan which has </w:t>
      </w:r>
      <w:r>
        <w:rPr>
          <w:rFonts w:ascii="Arial" w:eastAsia="Arial" w:hAnsi="Arial" w:cs="Arial"/>
          <w:sz w:val="20"/>
        </w:rPr>
        <w:t>resulted in improved operating results. During the year, we were able to decrease selling and administration costs through headcount reductions and lower spending. Operationally, we have experienced significant improvement in quality, waste reduction and c</w:t>
      </w:r>
      <w:r>
        <w:rPr>
          <w:rFonts w:ascii="Arial" w:eastAsia="Arial" w:hAnsi="Arial" w:cs="Arial"/>
          <w:sz w:val="20"/>
        </w:rPr>
        <w:t xml:space="preserve">ost. At the same time, we were able to maintain superior customer service and outperformed many of our competitors in this area. In </w:t>
      </w:r>
    </w:p>
    <w:p w:rsidR="00A77B3E" w:rsidRDefault="00A77B3E">
      <w:pPr>
        <w:spacing w:line="288" w:lineRule="auto"/>
        <w:jc w:val="both"/>
        <w:rPr>
          <w:sz w:val="20"/>
        </w:rPr>
        <w:sectPr w:rsidR="00A77B3E">
          <w:headerReference w:type="default" r:id="rId8"/>
          <w:footerReference w:type="default" r:id="rId9"/>
          <w:type w:val="continuous"/>
          <w:pgSz w:w="12240" w:h="15840"/>
          <w:pgMar w:top="1260" w:right="990" w:bottom="900" w:left="990" w:header="270" w:footer="270" w:gutter="0"/>
          <w:pgNumType w:start="1"/>
          <w:cols w:space="708"/>
          <w:docGrid w:linePitch="360"/>
        </w:sectPr>
      </w:pPr>
    </w:p>
    <w:p w:rsidR="00181083" w:rsidRDefault="0010173D">
      <w:pPr>
        <w:spacing w:line="288" w:lineRule="auto"/>
        <w:jc w:val="both"/>
        <w:rPr>
          <w:rFonts w:ascii="Arial" w:eastAsia="Arial" w:hAnsi="Arial" w:cs="Arial"/>
          <w:sz w:val="20"/>
        </w:rPr>
      </w:pPr>
      <w:bookmarkStart w:id="2" w:name="Section2"/>
      <w:bookmarkEnd w:id="2"/>
      <w:r>
        <w:rPr>
          <w:rFonts w:ascii="Arial" w:eastAsia="Arial" w:hAnsi="Arial" w:cs="Arial"/>
          <w:sz w:val="20"/>
        </w:rPr>
        <w:lastRenderedPageBreak/>
        <w:t xml:space="preserve">addition to the cost and operational improvements, we were able to strengthen our balance sheet through strategic financing initiatives. In the fourth quarter, we entered into a new $75 million, five year, Senior Revolving Credit Facility, and also closed </w:t>
      </w:r>
      <w:r>
        <w:rPr>
          <w:rFonts w:ascii="Arial" w:eastAsia="Arial" w:hAnsi="Arial" w:cs="Arial"/>
          <w:sz w:val="20"/>
        </w:rPr>
        <w:t xml:space="preserve">on two additional long term, fixed rate, asset backed loans in the total amount of $25 million. We reduced debt by $10 million in the last twelve months and $60 million over the last two and a half years, and now have borrowing availability in the mid-$40 </w:t>
      </w:r>
      <w:r>
        <w:rPr>
          <w:rFonts w:ascii="Arial" w:eastAsia="Arial" w:hAnsi="Arial" w:cs="Arial"/>
          <w:sz w:val="20"/>
        </w:rPr>
        <w:t>million range.</w:t>
      </w:r>
    </w:p>
    <w:p w:rsidR="00181083" w:rsidRDefault="00181083">
      <w:pPr>
        <w:spacing w:line="288" w:lineRule="auto"/>
        <w:jc w:val="both"/>
        <w:rPr>
          <w:rFonts w:ascii="Arial" w:eastAsia="Arial" w:hAnsi="Arial" w:cs="Arial"/>
          <w:sz w:val="20"/>
        </w:rPr>
      </w:pPr>
    </w:p>
    <w:p w:rsidR="00181083" w:rsidRDefault="0010173D">
      <w:pPr>
        <w:spacing w:line="288" w:lineRule="auto"/>
        <w:jc w:val="both"/>
        <w:rPr>
          <w:rFonts w:ascii="Arial" w:eastAsia="Arial" w:hAnsi="Arial" w:cs="Arial"/>
          <w:sz w:val="20"/>
        </w:rPr>
      </w:pPr>
      <w:r>
        <w:rPr>
          <w:rFonts w:ascii="Arial" w:eastAsia="Arial" w:hAnsi="Arial" w:cs="Arial"/>
          <w:sz w:val="20"/>
        </w:rPr>
        <w:t>While we are still assessing the long term impacts of the COVID-19 crisis on our markets and operating practices, we are encouraged by the improvement in sales. The abrupt decline of over 50% in sales in April was certainly a shock to our system, but we ha</w:t>
      </w:r>
      <w:r>
        <w:rPr>
          <w:rFonts w:ascii="Arial" w:eastAsia="Arial" w:hAnsi="Arial" w:cs="Arial"/>
          <w:sz w:val="20"/>
        </w:rPr>
        <w:t>ve been pleased with the recovery in the residential market. Low interest rates helped drive strong trends in new home construction and existing home sales helped to improve business conditions for our residential segment through the second half of the yea</w:t>
      </w:r>
      <w:r>
        <w:rPr>
          <w:rFonts w:ascii="Arial" w:eastAsia="Arial" w:hAnsi="Arial" w:cs="Arial"/>
          <w:sz w:val="20"/>
        </w:rPr>
        <w:t>r, as many flooring retailers emerged from the COVID-19 downturn, and an increasing number of consumers began home improvement projects. The third quarter showed positive growth versus prior year, driven by strong sales in the specialty retail channel, and</w:t>
      </w:r>
      <w:r>
        <w:rPr>
          <w:rFonts w:ascii="Arial" w:eastAsia="Arial" w:hAnsi="Arial" w:cs="Arial"/>
          <w:sz w:val="20"/>
        </w:rPr>
        <w:t xml:space="preserve"> the fourth quarter was a very strong quarter in all segments of the residential business. Our soft surface segment grew throughout the second half of 2020, driven by our EnVision 6,6™ program as well as aggressive promotional activity. We are continuing o</w:t>
      </w:r>
      <w:r>
        <w:rPr>
          <w:rFonts w:ascii="Arial" w:eastAsia="Arial" w:hAnsi="Arial" w:cs="Arial"/>
          <w:sz w:val="20"/>
        </w:rPr>
        <w:t>ur diversification strategy by significantly expanding our EnVision 6,6™ offering with over 20 new styles across all brands. This growing collection of beautiful styles with exceptional durability at competitive price points has become our primary growth p</w:t>
      </w:r>
      <w:r>
        <w:rPr>
          <w:rFonts w:ascii="Arial" w:eastAsia="Arial" w:hAnsi="Arial" w:cs="Arial"/>
          <w:sz w:val="20"/>
        </w:rPr>
        <w:t>latform in carpet. In September, our soft surface mass merchant program returned to growth with new products and an expansion of our roll bar program making an impact. We are very excited about a new tufting technology, “TECHnique”, which is being showcase</w:t>
      </w:r>
      <w:r>
        <w:rPr>
          <w:rFonts w:ascii="Arial" w:eastAsia="Arial" w:hAnsi="Arial" w:cs="Arial"/>
          <w:sz w:val="20"/>
        </w:rPr>
        <w:t>d in our Masland and Fabrica lines with six new qualities. TECHnique delivers a woven visual with a crisp clean finish and products that are more work of art than floor covering. We are also going to increase our focus on the wool and decorative segment in</w:t>
      </w:r>
      <w:r>
        <w:rPr>
          <w:rFonts w:ascii="Arial" w:eastAsia="Arial" w:hAnsi="Arial" w:cs="Arial"/>
          <w:sz w:val="20"/>
        </w:rPr>
        <w:t xml:space="preserve"> an effort to jump start growth in this category. Residential order entry and sales have continued to improve since the second quarter and ended the year very strong with orders and shipments up 15% for the 4th quarter.</w:t>
      </w:r>
    </w:p>
    <w:p w:rsidR="00181083" w:rsidRDefault="00181083">
      <w:pPr>
        <w:spacing w:line="288" w:lineRule="auto"/>
        <w:rPr>
          <w:rFonts w:ascii="Arial" w:eastAsia="Arial" w:hAnsi="Arial" w:cs="Arial"/>
          <w:sz w:val="20"/>
        </w:rPr>
      </w:pPr>
    </w:p>
    <w:p w:rsidR="00181083" w:rsidRDefault="0010173D">
      <w:pPr>
        <w:spacing w:line="288" w:lineRule="auto"/>
        <w:jc w:val="both"/>
        <w:rPr>
          <w:rFonts w:ascii="Arial" w:eastAsia="Arial" w:hAnsi="Arial" w:cs="Arial"/>
          <w:sz w:val="20"/>
        </w:rPr>
      </w:pPr>
      <w:r>
        <w:rPr>
          <w:rFonts w:ascii="Arial" w:eastAsia="Arial" w:hAnsi="Arial" w:cs="Arial"/>
          <w:sz w:val="20"/>
        </w:rPr>
        <w:t>We have continued to focus on growi</w:t>
      </w:r>
      <w:r>
        <w:rPr>
          <w:rFonts w:ascii="Arial" w:eastAsia="Arial" w:hAnsi="Arial" w:cs="Arial"/>
          <w:sz w:val="20"/>
        </w:rPr>
        <w:t>ng our luxury vinyl flooring business. Our hard surface programs grew significantly for the year, with the TRUCOR™ and Fabrica Wood programs pacing well ahead of the hard surface market. We continued to invest in product innovation with our TRUCOR™ PRIME X</w:t>
      </w:r>
      <w:r>
        <w:rPr>
          <w:rFonts w:ascii="Arial" w:eastAsia="Arial" w:hAnsi="Arial" w:cs="Arial"/>
          <w:sz w:val="20"/>
        </w:rPr>
        <w:t>L/XXL, the widest, longest rigid core plank on the market, and TRUCOR™ Tile IGT (Integrated Grout Technology), a tile visual with the grout line engineered into the locking system. We also invested in talent, with the addition of eight sales people dedicat</w:t>
      </w:r>
      <w:r>
        <w:rPr>
          <w:rFonts w:ascii="Arial" w:eastAsia="Arial" w:hAnsi="Arial" w:cs="Arial"/>
          <w:sz w:val="20"/>
        </w:rPr>
        <w:t>ed to hard surfaces in key markets across the country, and we will be adding more dedicated hard surface sales people in 2021. We will continue expanding our product offering to further penetrate this market segment. Our latest innovation, TRUCOR™ 3DP, uti</w:t>
      </w:r>
      <w:r>
        <w:rPr>
          <w:rFonts w:ascii="Arial" w:eastAsia="Arial" w:hAnsi="Arial" w:cs="Arial"/>
          <w:sz w:val="20"/>
        </w:rPr>
        <w:t xml:space="preserve">lizes digital printing technology to deliver sharp, realistic visuals with virtually no pattern repeat. We will launch TRUCOR™ 3DP in wood plank and stone visuals in the second quarter of 2021.  We will also expand our TRUCOR™ PRIME XL/XXL program with 12 </w:t>
      </w:r>
      <w:r>
        <w:rPr>
          <w:rFonts w:ascii="Arial" w:eastAsia="Arial" w:hAnsi="Arial" w:cs="Arial"/>
          <w:sz w:val="20"/>
        </w:rPr>
        <w:t xml:space="preserve">new visuals. In our Fabrica Wood program, we have developed a new display system to accommodate an expansion of this program with new colors, board sizes, and price points. We expect to double our Fabrica Wood placements in the market in 2021.  </w:t>
      </w:r>
    </w:p>
    <w:p w:rsidR="00181083" w:rsidRDefault="00181083">
      <w:pPr>
        <w:spacing w:line="288" w:lineRule="auto"/>
        <w:rPr>
          <w:rFonts w:ascii="Arial" w:eastAsia="Arial" w:hAnsi="Arial" w:cs="Arial"/>
          <w:sz w:val="20"/>
        </w:rPr>
      </w:pPr>
    </w:p>
    <w:p w:rsidR="00181083" w:rsidRDefault="0010173D">
      <w:pPr>
        <w:spacing w:line="288" w:lineRule="auto"/>
        <w:jc w:val="both"/>
        <w:rPr>
          <w:rFonts w:ascii="Arial" w:eastAsia="Arial" w:hAnsi="Arial" w:cs="Arial"/>
          <w:sz w:val="20"/>
        </w:rPr>
      </w:pPr>
      <w:r>
        <w:rPr>
          <w:rFonts w:ascii="Arial" w:eastAsia="Arial" w:hAnsi="Arial" w:cs="Arial"/>
          <w:sz w:val="20"/>
        </w:rPr>
        <w:t>Our comme</w:t>
      </w:r>
      <w:r>
        <w:rPr>
          <w:rFonts w:ascii="Arial" w:eastAsia="Arial" w:hAnsi="Arial" w:cs="Arial"/>
          <w:sz w:val="20"/>
        </w:rPr>
        <w:t xml:space="preserve">rcial business and the commercial market continues to be adversely impacted by COVID-19. Sales for the year were down more than 35% from the previous year. We are beginning to see some improvement, but we believe the recovery will be longer coming and not </w:t>
      </w:r>
      <w:r>
        <w:rPr>
          <w:rFonts w:ascii="Arial" w:eastAsia="Arial" w:hAnsi="Arial" w:cs="Arial"/>
          <w:sz w:val="20"/>
        </w:rPr>
        <w:t>as dynamic as the residential market recovery. Our commercial business is excited about one of the most unique innovations in our modular carpet tile offering. Sustaina™ is now the “standard” for backing on orders. The Sustaina™ modular tile backing system</w:t>
      </w:r>
      <w:r>
        <w:rPr>
          <w:rFonts w:ascii="Arial" w:eastAsia="Arial" w:hAnsi="Arial" w:cs="Arial"/>
          <w:sz w:val="20"/>
        </w:rPr>
        <w:t xml:space="preserve"> is a PVC and polyurethane free cushion modular carpet tile backing with very high recycled content. The product is breathable and able to be installed in environments up to 99% relative humidity and up to a pH of 12 when utilizing our custom formulated Su</w:t>
      </w:r>
      <w:r>
        <w:rPr>
          <w:rFonts w:ascii="Arial" w:eastAsia="Arial" w:hAnsi="Arial" w:cs="Arial"/>
          <w:sz w:val="20"/>
        </w:rPr>
        <w:t xml:space="preserve">staina™ 99 adhesive. The product provides the cushion backing benefits of increased under foot comfort, appearance retention and sound absorption. </w:t>
      </w:r>
    </w:p>
    <w:p w:rsidR="00181083" w:rsidRDefault="00181083">
      <w:pPr>
        <w:spacing w:line="288" w:lineRule="auto"/>
        <w:rPr>
          <w:rFonts w:ascii="Arial" w:eastAsia="Arial" w:hAnsi="Arial" w:cs="Arial"/>
          <w:sz w:val="20"/>
        </w:rPr>
      </w:pPr>
    </w:p>
    <w:p w:rsidR="00181083" w:rsidRDefault="0010173D">
      <w:pPr>
        <w:spacing w:line="288" w:lineRule="auto"/>
        <w:jc w:val="both"/>
        <w:rPr>
          <w:rFonts w:ascii="Arial" w:eastAsia="Arial" w:hAnsi="Arial" w:cs="Arial"/>
          <w:sz w:val="20"/>
        </w:rPr>
      </w:pPr>
      <w:r>
        <w:rPr>
          <w:rFonts w:ascii="Arial" w:eastAsia="Arial" w:hAnsi="Arial" w:cs="Arial"/>
          <w:sz w:val="20"/>
        </w:rPr>
        <w:t>The COVID-19 pandemic in 2020 presented challenges in ways The Dixie Group has not experienced in its histo</w:t>
      </w:r>
      <w:r>
        <w:rPr>
          <w:rFonts w:ascii="Arial" w:eastAsia="Arial" w:hAnsi="Arial" w:cs="Arial"/>
          <w:sz w:val="20"/>
        </w:rPr>
        <w:t>ry of over 100 years. We responded first with regard to the safety of our employees, and second to protect the operations and financial strength of our Company while continuing to service our customers. We are proud to have emerged as a stronger Company. W</w:t>
      </w:r>
      <w:r>
        <w:rPr>
          <w:rFonts w:ascii="Arial" w:eastAsia="Arial" w:hAnsi="Arial" w:cs="Arial"/>
          <w:sz w:val="20"/>
        </w:rPr>
        <w:t>e are proud of our history and heritage, and we are excited about starting the next 100 years as a Company,” Frierson concluded.</w:t>
      </w:r>
    </w:p>
    <w:p w:rsidR="00181083" w:rsidRDefault="00181083">
      <w:pPr>
        <w:spacing w:line="288" w:lineRule="auto"/>
        <w:jc w:val="both"/>
        <w:sectPr w:rsidR="00181083">
          <w:headerReference w:type="default" r:id="rId10"/>
          <w:pgSz w:w="12240" w:h="15840"/>
          <w:pgMar w:top="1350" w:right="990" w:bottom="900" w:left="990" w:header="270" w:footer="270" w:gutter="0"/>
          <w:cols w:space="708"/>
        </w:sectPr>
      </w:pPr>
    </w:p>
    <w:p w:rsidR="00181083" w:rsidRDefault="00181083">
      <w:pPr>
        <w:spacing w:line="288" w:lineRule="auto"/>
        <w:jc w:val="both"/>
        <w:rPr>
          <w:rFonts w:ascii="Arial" w:eastAsia="Arial" w:hAnsi="Arial" w:cs="Arial"/>
          <w:sz w:val="22"/>
        </w:rPr>
      </w:pPr>
      <w:bookmarkStart w:id="3" w:name="Section3"/>
      <w:bookmarkEnd w:id="3"/>
    </w:p>
    <w:p w:rsidR="00181083" w:rsidRDefault="0010173D">
      <w:pPr>
        <w:spacing w:line="288" w:lineRule="auto"/>
        <w:jc w:val="both"/>
        <w:rPr>
          <w:rFonts w:ascii="Arial" w:eastAsia="Arial" w:hAnsi="Arial" w:cs="Arial"/>
          <w:sz w:val="20"/>
        </w:rPr>
      </w:pPr>
      <w:r>
        <w:rPr>
          <w:rFonts w:ascii="Arial" w:eastAsia="Arial" w:hAnsi="Arial" w:cs="Arial"/>
          <w:sz w:val="20"/>
        </w:rPr>
        <w:t>Through cost cutting efforts and operational improvements we were able to improve our gross profit margin to 24.2% in 2020 as compared to 23.0% in 2019. Selling and general administrative expenses were reduced by $8.1 million in 2020 as compared to 2019 bu</w:t>
      </w:r>
      <w:r>
        <w:rPr>
          <w:rFonts w:ascii="Arial" w:eastAsia="Arial" w:hAnsi="Arial" w:cs="Arial"/>
          <w:sz w:val="20"/>
        </w:rPr>
        <w:t>t were higher as a percent of net sales, 24.0% as compared to 22.4%. The higher percentage was partially the result of continuing to fully pay portions of our workforce in order to retain our employees despite the lower volume.</w:t>
      </w:r>
    </w:p>
    <w:p w:rsidR="00181083" w:rsidRDefault="00181083">
      <w:pPr>
        <w:spacing w:line="288" w:lineRule="auto"/>
        <w:jc w:val="both"/>
        <w:rPr>
          <w:rFonts w:ascii="Arial" w:eastAsia="Arial" w:hAnsi="Arial" w:cs="Arial"/>
          <w:sz w:val="20"/>
        </w:rPr>
      </w:pPr>
    </w:p>
    <w:p w:rsidR="00181083" w:rsidRDefault="0010173D">
      <w:pPr>
        <w:spacing w:line="288" w:lineRule="auto"/>
        <w:jc w:val="both"/>
        <w:rPr>
          <w:rFonts w:ascii="Arial" w:eastAsia="Arial" w:hAnsi="Arial" w:cs="Arial"/>
          <w:sz w:val="20"/>
        </w:rPr>
      </w:pPr>
      <w:r>
        <w:rPr>
          <w:rFonts w:ascii="Arial" w:eastAsia="Arial" w:hAnsi="Arial" w:cs="Arial"/>
          <w:sz w:val="20"/>
        </w:rPr>
        <w:t>Our receivables were slight</w:t>
      </w:r>
      <w:r>
        <w:rPr>
          <w:rFonts w:ascii="Arial" w:eastAsia="Arial" w:hAnsi="Arial" w:cs="Arial"/>
          <w:sz w:val="20"/>
        </w:rPr>
        <w:t>ly higher as compared to the end of the year in 2019. The $578 thousand increase in net receivables was primarily due to stronger sales in the final month of 2020 as compared to 2019. Through operational efficiencies, we were able to decrease net inventori</w:t>
      </w:r>
      <w:r>
        <w:rPr>
          <w:rFonts w:ascii="Arial" w:eastAsia="Arial" w:hAnsi="Arial" w:cs="Arial"/>
          <w:sz w:val="20"/>
        </w:rPr>
        <w:t>es by $10.1 million during the year. Accounts payable and accrued expenses increased by $3.5 million year over year due primarily to the timing of accruals for raw material purchases at 2020 year end. Our capital expenditures for the full year of 2020 were</w:t>
      </w:r>
      <w:r>
        <w:rPr>
          <w:rFonts w:ascii="Arial" w:eastAsia="Arial" w:hAnsi="Arial" w:cs="Arial"/>
          <w:sz w:val="20"/>
        </w:rPr>
        <w:t xml:space="preserve"> $3.1 million and are planned for 2021 at approximately $5.0 million. Interest expense was $5.8 million for the year of 2020. Our debt decreased by $10.2 million during the year. The lowering and restructuring of our debt is expected to reduce interest exp</w:t>
      </w:r>
      <w:r>
        <w:rPr>
          <w:rFonts w:ascii="Arial" w:eastAsia="Arial" w:hAnsi="Arial" w:cs="Arial"/>
          <w:sz w:val="20"/>
        </w:rPr>
        <w:t>ense in 2021. Our borrowing availability under our line of credit at our senior lending facility at the end of the year was $43.3 million.</w:t>
      </w:r>
    </w:p>
    <w:p w:rsidR="00181083" w:rsidRDefault="00181083">
      <w:pPr>
        <w:spacing w:line="288" w:lineRule="auto"/>
        <w:rPr>
          <w:rFonts w:ascii="Arial" w:eastAsia="Arial" w:hAnsi="Arial" w:cs="Arial"/>
          <w:sz w:val="20"/>
        </w:rPr>
      </w:pPr>
    </w:p>
    <w:p w:rsidR="00181083" w:rsidRDefault="0010173D">
      <w:pPr>
        <w:spacing w:line="288" w:lineRule="auto"/>
        <w:jc w:val="both"/>
        <w:rPr>
          <w:rFonts w:ascii="Arial" w:eastAsia="Arial" w:hAnsi="Arial" w:cs="Arial"/>
          <w:sz w:val="20"/>
        </w:rPr>
      </w:pPr>
      <w:r>
        <w:rPr>
          <w:rFonts w:ascii="Arial" w:eastAsia="Arial" w:hAnsi="Arial" w:cs="Arial"/>
          <w:sz w:val="20"/>
        </w:rPr>
        <w:t>Our floorcovering sales for the first 9 weeks of the quarter are down low single digits versus the same period in 20</w:t>
      </w:r>
      <w:r>
        <w:rPr>
          <w:rFonts w:ascii="Arial" w:eastAsia="Arial" w:hAnsi="Arial" w:cs="Arial"/>
          <w:sz w:val="20"/>
        </w:rPr>
        <w:t xml:space="preserve">20, but orders are up mid-single digits. Our residential sales and orders are up double digits and commercial orders, on a weekly basis, are better than the second, third and fourth quarters of last year. </w:t>
      </w:r>
    </w:p>
    <w:p w:rsidR="00181083" w:rsidRDefault="00181083">
      <w:pPr>
        <w:spacing w:line="288" w:lineRule="auto"/>
        <w:rPr>
          <w:rFonts w:ascii="Arial" w:eastAsia="Arial" w:hAnsi="Arial" w:cs="Arial"/>
          <w:sz w:val="20"/>
        </w:rPr>
      </w:pPr>
    </w:p>
    <w:p w:rsidR="00181083" w:rsidRDefault="0010173D">
      <w:pPr>
        <w:spacing w:line="288" w:lineRule="auto"/>
        <w:jc w:val="both"/>
        <w:rPr>
          <w:rFonts w:ascii="Arial" w:eastAsia="Arial" w:hAnsi="Arial" w:cs="Arial"/>
          <w:sz w:val="20"/>
        </w:rPr>
      </w:pPr>
      <w:r>
        <w:rPr>
          <w:rFonts w:ascii="Arial" w:eastAsia="Arial" w:hAnsi="Arial" w:cs="Arial"/>
          <w:sz w:val="20"/>
        </w:rPr>
        <w:t>A listen-only Internet simulcast and replay of Th</w:t>
      </w:r>
      <w:r>
        <w:rPr>
          <w:rFonts w:ascii="Arial" w:eastAsia="Arial" w:hAnsi="Arial" w:cs="Arial"/>
          <w:sz w:val="20"/>
        </w:rPr>
        <w:t>e Dixie Group's conference call may be accessed with appropriate software at the Company's website at www.thedixiegroup.com. The simulcast will begin at approximately 10:00 a.m. Eastern Time on March 4, 2021. A replay will be available approximately two ho</w:t>
      </w:r>
      <w:r>
        <w:rPr>
          <w:rFonts w:ascii="Arial" w:eastAsia="Arial" w:hAnsi="Arial" w:cs="Arial"/>
          <w:sz w:val="20"/>
        </w:rPr>
        <w:t xml:space="preserve">urs later and will continue for approximately 30 days. If Internet access is unavailable, a listen-only telephonic conference will be available by dialing (877) 407-0989 and entering 13714460 at least 10 minutes before the appointed time. A digital replay </w:t>
      </w:r>
      <w:r>
        <w:rPr>
          <w:rFonts w:ascii="Arial" w:eastAsia="Arial" w:hAnsi="Arial" w:cs="Arial"/>
          <w:sz w:val="20"/>
        </w:rPr>
        <w:t>of the</w:t>
      </w:r>
    </w:p>
    <w:p w:rsidR="00181083" w:rsidRDefault="0010173D">
      <w:pPr>
        <w:spacing w:line="276" w:lineRule="auto"/>
        <w:jc w:val="both"/>
        <w:rPr>
          <w:rFonts w:ascii="Arial" w:eastAsia="Arial" w:hAnsi="Arial" w:cs="Arial"/>
        </w:rPr>
      </w:pPr>
      <w:r>
        <w:rPr>
          <w:rFonts w:ascii="Arial" w:eastAsia="Arial" w:hAnsi="Arial" w:cs="Arial"/>
          <w:sz w:val="20"/>
        </w:rPr>
        <w:t>call will be available for approximately two weeks after the call by dialing (877) 660-6853 and entering 13714460. The Dixie Group (www.thedixiegroup.com) is a leading marketer and manufacturer of carpet and rugs to higher-end residential and commer</w:t>
      </w:r>
      <w:r>
        <w:rPr>
          <w:rFonts w:ascii="Arial" w:eastAsia="Arial" w:hAnsi="Arial" w:cs="Arial"/>
          <w:sz w:val="20"/>
        </w:rPr>
        <w:t>cial customers through the Fabrica International, Masland Carpets, Dixie Home, AtlasMasland and Dixie International brands.</w:t>
      </w:r>
    </w:p>
    <w:p w:rsidR="00181083" w:rsidRDefault="00181083">
      <w:pPr>
        <w:spacing w:line="288" w:lineRule="auto"/>
        <w:jc w:val="both"/>
        <w:rPr>
          <w:rFonts w:ascii="Arial" w:eastAsia="Arial" w:hAnsi="Arial" w:cs="Arial"/>
          <w:sz w:val="20"/>
        </w:rPr>
      </w:pPr>
    </w:p>
    <w:p w:rsidR="00181083" w:rsidRDefault="00181083">
      <w:pPr>
        <w:spacing w:line="276" w:lineRule="auto"/>
        <w:jc w:val="both"/>
        <w:rPr>
          <w:rFonts w:ascii="Arial" w:eastAsia="Arial" w:hAnsi="Arial" w:cs="Arial"/>
          <w:sz w:val="20"/>
        </w:rPr>
      </w:pPr>
    </w:p>
    <w:p w:rsidR="00181083" w:rsidRDefault="0010173D">
      <w:pPr>
        <w:spacing w:after="120" w:line="288" w:lineRule="auto"/>
        <w:jc w:val="both"/>
        <w:rPr>
          <w:rFonts w:ascii="Arial" w:eastAsia="Arial" w:hAnsi="Arial" w:cs="Arial"/>
          <w:i/>
          <w:sz w:val="10"/>
        </w:rPr>
      </w:pPr>
      <w:r>
        <w:rPr>
          <w:rFonts w:ascii="Arial" w:eastAsia="Arial" w:hAnsi="Arial" w:cs="Arial"/>
          <w:i/>
          <w:sz w:val="10"/>
        </w:rPr>
        <w:t>This press release contains forward-looking statements. Forward-looking statements are based on estimates, projections, beliefs an</w:t>
      </w:r>
      <w:r>
        <w:rPr>
          <w:rFonts w:ascii="Arial" w:eastAsia="Arial" w:hAnsi="Arial" w:cs="Arial"/>
          <w:i/>
          <w:sz w:val="10"/>
        </w:rPr>
        <w:t>d assumptions of management and the Company at the time of such statements and are not guarantees of performance. Forward-looking statements are subject to risk factors and uncertainties that could cause actual results to differ materially from those indic</w:t>
      </w:r>
      <w:r>
        <w:rPr>
          <w:rFonts w:ascii="Arial" w:eastAsia="Arial" w:hAnsi="Arial" w:cs="Arial"/>
          <w:i/>
          <w:sz w:val="10"/>
        </w:rPr>
        <w:t>ated in such forward-looking statements. Such factors include the levels of demand for the products produced by the Company. Other factors that could affect the Company's results include, but are not limited to, availability of raw material and transportat</w:t>
      </w:r>
      <w:r>
        <w:rPr>
          <w:rFonts w:ascii="Arial" w:eastAsia="Arial" w:hAnsi="Arial" w:cs="Arial"/>
          <w:i/>
          <w:sz w:val="10"/>
        </w:rPr>
        <w:t>ion costs related to petroleum prices, the cost and availability of capital, integration of acquisitions, ability to attract, develop and retain qualified personnel and general economic and competitive conditions related to the Company's business. Issues r</w:t>
      </w:r>
      <w:r>
        <w:rPr>
          <w:rFonts w:ascii="Arial" w:eastAsia="Arial" w:hAnsi="Arial" w:cs="Arial"/>
          <w:i/>
          <w:sz w:val="10"/>
        </w:rPr>
        <w:t>elated to the availability and price of energy may adversely affect the Company's operations. Additional information regarding these and other risk factors and uncertainties may be found in the Company's filings with the Securities and Exchange Commission.</w:t>
      </w:r>
      <w:r>
        <w:rPr>
          <w:rFonts w:ascii="Arial" w:eastAsia="Arial" w:hAnsi="Arial" w:cs="Arial"/>
          <w:i/>
          <w:sz w:val="10"/>
        </w:rPr>
        <w:t xml:space="preserve"> The Company disclaims any obligation to update or revise any forward-looking statements based on the occurrence of future events, the receipt of new information, or otherwise.</w:t>
      </w:r>
    </w:p>
    <w:p w:rsidR="00181083" w:rsidRDefault="00181083">
      <w:pPr>
        <w:spacing w:line="288" w:lineRule="auto"/>
        <w:rPr>
          <w:sz w:val="20"/>
        </w:rPr>
      </w:pPr>
    </w:p>
    <w:p w:rsidR="00181083" w:rsidRDefault="00181083">
      <w:pPr>
        <w:spacing w:line="288" w:lineRule="auto"/>
        <w:sectPr w:rsidR="00181083">
          <w:headerReference w:type="default" r:id="rId11"/>
          <w:pgSz w:w="12240" w:h="15840"/>
          <w:pgMar w:top="1080" w:right="990" w:bottom="900" w:left="990" w:header="270" w:footer="270" w:gutter="0"/>
          <w:cols w:space="708"/>
        </w:sectPr>
      </w:pPr>
    </w:p>
    <w:p w:rsidR="00181083" w:rsidRDefault="00181083">
      <w:pPr>
        <w:spacing w:line="288" w:lineRule="auto"/>
        <w:ind w:right="405"/>
        <w:rPr>
          <w:rFonts w:ascii="Arial" w:eastAsia="Arial" w:hAnsi="Arial" w:cs="Arial"/>
          <w:b/>
          <w:sz w:val="18"/>
        </w:rPr>
      </w:pPr>
      <w:bookmarkStart w:id="4" w:name="Section4"/>
      <w:bookmarkEnd w:id="4"/>
    </w:p>
    <w:p w:rsidR="00181083" w:rsidRDefault="0010173D">
      <w:pPr>
        <w:spacing w:line="288" w:lineRule="auto"/>
        <w:ind w:right="405"/>
        <w:rPr>
          <w:rFonts w:ascii="Arial" w:eastAsia="Arial" w:hAnsi="Arial" w:cs="Arial"/>
          <w:b/>
          <w:sz w:val="18"/>
        </w:rPr>
      </w:pPr>
      <w:r>
        <w:rPr>
          <w:rFonts w:ascii="Arial" w:eastAsia="Arial" w:hAnsi="Arial" w:cs="Arial"/>
          <w:b/>
          <w:sz w:val="18"/>
        </w:rPr>
        <w:t>THE DIXIE GROUP, INC.</w:t>
      </w:r>
    </w:p>
    <w:p w:rsidR="00181083" w:rsidRDefault="0010173D">
      <w:pPr>
        <w:spacing w:line="288" w:lineRule="auto"/>
        <w:rPr>
          <w:rFonts w:ascii="Arial" w:eastAsia="Arial" w:hAnsi="Arial" w:cs="Arial"/>
          <w:b/>
          <w:sz w:val="18"/>
        </w:rPr>
      </w:pPr>
      <w:r>
        <w:rPr>
          <w:rFonts w:ascii="Arial" w:eastAsia="Arial" w:hAnsi="Arial" w:cs="Arial"/>
          <w:b/>
          <w:sz w:val="18"/>
        </w:rPr>
        <w:t>Consolidated Condensed Statements of Operations</w:t>
      </w:r>
    </w:p>
    <w:p w:rsidR="00181083" w:rsidRDefault="0010173D">
      <w:pPr>
        <w:spacing w:line="288" w:lineRule="auto"/>
        <w:rPr>
          <w:rFonts w:ascii="Arial" w:eastAsia="Arial" w:hAnsi="Arial" w:cs="Arial"/>
          <w:b/>
          <w:i/>
          <w:sz w:val="18"/>
        </w:rPr>
      </w:pPr>
      <w:r>
        <w:rPr>
          <w:rFonts w:ascii="Arial" w:eastAsia="Arial" w:hAnsi="Arial" w:cs="Arial"/>
          <w:b/>
          <w:i/>
          <w:sz w:val="18"/>
        </w:rPr>
        <w:t>(unaudited; in thousands, except earnings per share)</w:t>
      </w: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3"/>
        <w:gridCol w:w="164"/>
        <w:gridCol w:w="959"/>
        <w:gridCol w:w="102"/>
        <w:gridCol w:w="76"/>
        <w:gridCol w:w="163"/>
        <w:gridCol w:w="974"/>
        <w:gridCol w:w="102"/>
        <w:gridCol w:w="76"/>
        <w:gridCol w:w="163"/>
        <w:gridCol w:w="913"/>
        <w:gridCol w:w="102"/>
        <w:gridCol w:w="76"/>
      </w:tblGrid>
      <w:tr w:rsidR="00181083">
        <w:trPr>
          <w:cantSplit/>
          <w:trHeight w:hRule="exact" w:val="300"/>
          <w:jc w:val="center"/>
        </w:trPr>
        <w:tc>
          <w:tcPr>
            <w:tcW w:w="5865" w:type="dxa"/>
            <w:tcBorders>
              <w:top w:val="single" w:sz="8" w:space="0" w:color="000000"/>
              <w:left w:val="nil"/>
              <w:bottom w:val="single" w:sz="8" w:space="0" w:color="000000"/>
              <w:right w:val="nil"/>
            </w:tcBorders>
            <w:tcMar>
              <w:top w:w="0" w:type="dxa"/>
              <w:left w:w="53" w:type="dxa"/>
              <w:bottom w:w="0" w:type="dxa"/>
              <w:right w:w="53" w:type="dxa"/>
            </w:tcMar>
            <w:vAlign w:val="bottom"/>
          </w:tcPr>
          <w:p w:rsidR="00181083" w:rsidRDefault="0010173D">
            <w:pPr>
              <w:keepNext/>
              <w:spacing w:before="33" w:after="30"/>
            </w:pPr>
            <w:r>
              <w:rPr>
                <w:rFonts w:ascii="Arial" w:eastAsia="Arial" w:hAnsi="Arial" w:cs="Arial"/>
                <w:color w:val="000000"/>
                <w:sz w:val="18"/>
              </w:rPr>
              <w:t> </w:t>
            </w:r>
          </w:p>
        </w:tc>
        <w:tc>
          <w:tcPr>
            <w:tcW w:w="3795" w:type="dxa"/>
            <w:gridSpan w:val="12"/>
            <w:tcBorders>
              <w:top w:val="single" w:sz="8" w:space="0" w:color="000000"/>
              <w:left w:val="nil"/>
              <w:bottom w:val="nil"/>
              <w:right w:val="nil"/>
            </w:tcBorders>
            <w:tcMar>
              <w:top w:w="0" w:type="dxa"/>
              <w:left w:w="53" w:type="dxa"/>
              <w:bottom w:w="0" w:type="dxa"/>
              <w:right w:w="53" w:type="dxa"/>
            </w:tcMar>
            <w:vAlign w:val="bottom"/>
          </w:tcPr>
          <w:p w:rsidR="00181083" w:rsidRDefault="0010173D">
            <w:pPr>
              <w:keepNext/>
              <w:spacing w:before="33" w:after="30"/>
              <w:jc w:val="center"/>
            </w:pPr>
            <w:r>
              <w:rPr>
                <w:rFonts w:ascii="Arial" w:eastAsia="Arial" w:hAnsi="Arial" w:cs="Arial"/>
                <w:color w:val="000000"/>
                <w:sz w:val="18"/>
              </w:rPr>
              <w:t>Year Ended</w:t>
            </w:r>
          </w:p>
        </w:tc>
      </w:tr>
      <w:tr w:rsidR="00181083">
        <w:trPr>
          <w:cantSplit/>
          <w:trHeight w:hRule="exact" w:val="645"/>
          <w:jc w:val="center"/>
        </w:trPr>
        <w:tc>
          <w:tcPr>
            <w:tcW w:w="5865" w:type="dxa"/>
            <w:tcBorders>
              <w:top w:val="single" w:sz="8" w:space="0" w:color="000000"/>
              <w:left w:val="nil"/>
              <w:bottom w:val="single" w:sz="8" w:space="0" w:color="000000"/>
              <w:right w:val="nil"/>
            </w:tcBorders>
            <w:tcMar>
              <w:top w:w="0" w:type="dxa"/>
              <w:left w:w="53" w:type="dxa"/>
              <w:bottom w:w="0" w:type="dxa"/>
              <w:right w:w="53" w:type="dxa"/>
            </w:tcMar>
            <w:vAlign w:val="bottom"/>
          </w:tcPr>
          <w:p w:rsidR="00181083" w:rsidRDefault="0010173D">
            <w:pPr>
              <w:keepNext/>
              <w:spacing w:before="33" w:after="30"/>
            </w:pPr>
            <w:r>
              <w:rPr>
                <w:rFonts w:ascii="Arial" w:eastAsia="Arial" w:hAnsi="Arial" w:cs="Arial"/>
                <w:color w:val="000000"/>
                <w:sz w:val="18"/>
              </w:rPr>
              <w:t> </w:t>
            </w:r>
          </w:p>
        </w:tc>
        <w:tc>
          <w:tcPr>
            <w:tcW w:w="1200"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rsidR="00181083" w:rsidRDefault="0010173D">
            <w:pPr>
              <w:keepNext/>
              <w:spacing w:before="33" w:after="30"/>
              <w:jc w:val="center"/>
            </w:pPr>
            <w:r>
              <w:rPr>
                <w:rFonts w:ascii="Arial" w:eastAsia="Arial" w:hAnsi="Arial" w:cs="Arial"/>
                <w:color w:val="000000"/>
                <w:sz w:val="18"/>
              </w:rPr>
              <w:t>December 26,</w:t>
            </w:r>
            <w:r>
              <w:br/>
            </w:r>
            <w:r>
              <w:rPr>
                <w:rFonts w:ascii="Arial" w:eastAsia="Arial" w:hAnsi="Arial" w:cs="Arial"/>
                <w:color w:val="000000"/>
                <w:sz w:val="18"/>
              </w:rPr>
              <w:t>2020</w:t>
            </w:r>
          </w:p>
        </w:tc>
        <w:tc>
          <w:tcPr>
            <w:tcW w:w="75" w:type="dxa"/>
            <w:tcBorders>
              <w:top w:val="single" w:sz="8" w:space="0" w:color="000000"/>
              <w:left w:val="nil"/>
              <w:bottom w:val="single" w:sz="8" w:space="0" w:color="000000"/>
              <w:right w:val="nil"/>
            </w:tcBorders>
            <w:tcMar>
              <w:top w:w="0" w:type="dxa"/>
              <w:left w:w="0" w:type="dxa"/>
              <w:bottom w:w="0" w:type="dxa"/>
              <w:right w:w="0" w:type="dxa"/>
            </w:tcMar>
            <w:vAlign w:val="bottom"/>
          </w:tcPr>
          <w:p w:rsidR="00181083" w:rsidRDefault="00181083">
            <w:pPr>
              <w:keepNext/>
            </w:pPr>
          </w:p>
        </w:tc>
        <w:tc>
          <w:tcPr>
            <w:tcW w:w="121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rsidR="00181083" w:rsidRDefault="0010173D">
            <w:pPr>
              <w:keepNext/>
              <w:spacing w:before="33" w:after="30"/>
              <w:jc w:val="center"/>
            </w:pPr>
            <w:r>
              <w:rPr>
                <w:rFonts w:ascii="Arial" w:eastAsia="Arial" w:hAnsi="Arial" w:cs="Arial"/>
                <w:color w:val="000000"/>
                <w:sz w:val="18"/>
              </w:rPr>
              <w:t>December 28,</w:t>
            </w:r>
            <w:r>
              <w:br/>
            </w:r>
            <w:r>
              <w:rPr>
                <w:rFonts w:ascii="Arial" w:eastAsia="Arial" w:hAnsi="Arial" w:cs="Arial"/>
                <w:color w:val="000000"/>
                <w:sz w:val="18"/>
              </w:rPr>
              <w:t>2019</w:t>
            </w:r>
          </w:p>
        </w:tc>
        <w:tc>
          <w:tcPr>
            <w:tcW w:w="75" w:type="dxa"/>
            <w:tcBorders>
              <w:top w:val="single" w:sz="8" w:space="0" w:color="000000"/>
              <w:left w:val="nil"/>
              <w:bottom w:val="single" w:sz="8" w:space="0" w:color="000000"/>
              <w:right w:val="nil"/>
            </w:tcBorders>
            <w:tcMar>
              <w:top w:w="0" w:type="dxa"/>
              <w:left w:w="0" w:type="dxa"/>
              <w:bottom w:w="0" w:type="dxa"/>
              <w:right w:w="0" w:type="dxa"/>
            </w:tcMar>
            <w:vAlign w:val="bottom"/>
          </w:tcPr>
          <w:p w:rsidR="00181083" w:rsidRDefault="00181083">
            <w:pPr>
              <w:keepNext/>
            </w:pPr>
          </w:p>
        </w:tc>
        <w:tc>
          <w:tcPr>
            <w:tcW w:w="115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rsidR="00181083" w:rsidRDefault="0010173D">
            <w:pPr>
              <w:keepNext/>
              <w:spacing w:before="33" w:after="30"/>
              <w:jc w:val="center"/>
            </w:pPr>
            <w:r>
              <w:rPr>
                <w:rFonts w:ascii="Arial" w:eastAsia="Arial" w:hAnsi="Arial" w:cs="Arial"/>
                <w:color w:val="000000"/>
                <w:sz w:val="18"/>
              </w:rPr>
              <w:t>December 29,</w:t>
            </w:r>
            <w:r>
              <w:br/>
            </w:r>
            <w:r>
              <w:rPr>
                <w:rFonts w:ascii="Arial" w:eastAsia="Arial" w:hAnsi="Arial" w:cs="Arial"/>
                <w:color w:val="000000"/>
                <w:sz w:val="18"/>
              </w:rPr>
              <w:t>2018</w:t>
            </w:r>
          </w:p>
        </w:tc>
        <w:tc>
          <w:tcPr>
            <w:tcW w:w="75" w:type="dxa"/>
            <w:tcBorders>
              <w:top w:val="single" w:sz="8" w:space="0" w:color="000000"/>
              <w:left w:val="nil"/>
              <w:bottom w:val="single" w:sz="8" w:space="0" w:color="000000"/>
              <w:right w:val="nil"/>
            </w:tcBorders>
            <w:tcMar>
              <w:top w:w="0" w:type="dxa"/>
              <w:left w:w="0" w:type="dxa"/>
              <w:bottom w:w="0" w:type="dxa"/>
              <w:right w:w="0" w:type="dxa"/>
            </w:tcMar>
            <w:vAlign w:val="bottom"/>
          </w:tcPr>
          <w:p w:rsidR="00181083" w:rsidRDefault="00181083">
            <w:pPr>
              <w:keepNext/>
            </w:pPr>
          </w:p>
        </w:tc>
      </w:tr>
      <w:tr w:rsidR="00181083">
        <w:trPr>
          <w:cantSplit/>
          <w:trHeight w:hRule="exact" w:val="300"/>
          <w:jc w:val="center"/>
        </w:trPr>
        <w:tc>
          <w:tcPr>
            <w:tcW w:w="5865" w:type="dxa"/>
            <w:tcBorders>
              <w:top w:val="single" w:sz="8" w:space="0" w:color="000000"/>
              <w:left w:val="nil"/>
              <w:bottom w:val="nil"/>
              <w:right w:val="nil"/>
            </w:tcBorders>
            <w:tcMar>
              <w:top w:w="0" w:type="dxa"/>
              <w:left w:w="0" w:type="dxa"/>
              <w:bottom w:w="0" w:type="dxa"/>
              <w:right w:w="0" w:type="dxa"/>
            </w:tcMar>
            <w:vAlign w:val="bottom"/>
          </w:tcPr>
          <w:p w:rsidR="00181083" w:rsidRDefault="00181083">
            <w:pPr>
              <w:keepNext/>
            </w:pPr>
          </w:p>
        </w:tc>
        <w:tc>
          <w:tcPr>
            <w:tcW w:w="1200" w:type="dxa"/>
            <w:gridSpan w:val="3"/>
            <w:tcBorders>
              <w:top w:val="single" w:sz="8" w:space="0" w:color="000000"/>
              <w:left w:val="nil"/>
              <w:bottom w:val="nil"/>
              <w:right w:val="nil"/>
            </w:tcBorders>
            <w:tcMar>
              <w:top w:w="0" w:type="dxa"/>
              <w:left w:w="0" w:type="dxa"/>
              <w:bottom w:w="0" w:type="dxa"/>
              <w:right w:w="0" w:type="dxa"/>
            </w:tcMar>
            <w:vAlign w:val="bottom"/>
          </w:tcPr>
          <w:p w:rsidR="00181083" w:rsidRDefault="00181083">
            <w:pPr>
              <w:keepNext/>
            </w:pPr>
          </w:p>
        </w:tc>
        <w:tc>
          <w:tcPr>
            <w:tcW w:w="75" w:type="dxa"/>
            <w:tcBorders>
              <w:top w:val="single" w:sz="8" w:space="0" w:color="000000"/>
              <w:left w:val="nil"/>
              <w:bottom w:val="nil"/>
              <w:right w:val="nil"/>
            </w:tcBorders>
            <w:tcMar>
              <w:top w:w="0" w:type="dxa"/>
              <w:left w:w="0" w:type="dxa"/>
              <w:bottom w:w="0" w:type="dxa"/>
              <w:right w:w="0" w:type="dxa"/>
            </w:tcMar>
            <w:vAlign w:val="bottom"/>
          </w:tcPr>
          <w:p w:rsidR="00181083" w:rsidRDefault="00181083">
            <w:pPr>
              <w:keepNext/>
            </w:pPr>
          </w:p>
        </w:tc>
        <w:tc>
          <w:tcPr>
            <w:tcW w:w="1215" w:type="dxa"/>
            <w:gridSpan w:val="3"/>
            <w:tcBorders>
              <w:top w:val="single" w:sz="8" w:space="0" w:color="000000"/>
              <w:left w:val="nil"/>
              <w:bottom w:val="nil"/>
              <w:right w:val="nil"/>
            </w:tcBorders>
            <w:tcMar>
              <w:top w:w="0" w:type="dxa"/>
              <w:left w:w="0" w:type="dxa"/>
              <w:bottom w:w="0" w:type="dxa"/>
              <w:right w:w="0" w:type="dxa"/>
            </w:tcMar>
            <w:vAlign w:val="bottom"/>
          </w:tcPr>
          <w:p w:rsidR="00181083" w:rsidRDefault="00181083">
            <w:pPr>
              <w:keepNext/>
            </w:pPr>
          </w:p>
        </w:tc>
        <w:tc>
          <w:tcPr>
            <w:tcW w:w="75" w:type="dxa"/>
            <w:tcBorders>
              <w:top w:val="single" w:sz="8" w:space="0" w:color="000000"/>
              <w:left w:val="nil"/>
              <w:bottom w:val="nil"/>
              <w:right w:val="nil"/>
            </w:tcBorders>
            <w:tcMar>
              <w:top w:w="0" w:type="dxa"/>
              <w:left w:w="0" w:type="dxa"/>
              <w:bottom w:w="0" w:type="dxa"/>
              <w:right w:w="0" w:type="dxa"/>
            </w:tcMar>
            <w:vAlign w:val="bottom"/>
          </w:tcPr>
          <w:p w:rsidR="00181083" w:rsidRDefault="00181083">
            <w:pPr>
              <w:keepNext/>
            </w:pPr>
          </w:p>
        </w:tc>
        <w:tc>
          <w:tcPr>
            <w:tcW w:w="1155" w:type="dxa"/>
            <w:gridSpan w:val="3"/>
            <w:tcBorders>
              <w:top w:val="single" w:sz="8" w:space="0" w:color="000000"/>
              <w:left w:val="nil"/>
              <w:bottom w:val="nil"/>
              <w:right w:val="nil"/>
            </w:tcBorders>
            <w:tcMar>
              <w:top w:w="0" w:type="dxa"/>
              <w:left w:w="0" w:type="dxa"/>
              <w:bottom w:w="0" w:type="dxa"/>
              <w:right w:w="0" w:type="dxa"/>
            </w:tcMar>
            <w:vAlign w:val="bottom"/>
          </w:tcPr>
          <w:p w:rsidR="00181083" w:rsidRDefault="00181083">
            <w:pPr>
              <w:keepNext/>
            </w:pPr>
          </w:p>
        </w:tc>
        <w:tc>
          <w:tcPr>
            <w:tcW w:w="75" w:type="dxa"/>
            <w:tcBorders>
              <w:top w:val="single" w:sz="8" w:space="0" w:color="000000"/>
              <w:left w:val="nil"/>
              <w:bottom w:val="nil"/>
              <w:right w:val="nil"/>
            </w:tcBorders>
            <w:tcMar>
              <w:top w:w="0" w:type="dxa"/>
              <w:left w:w="0" w:type="dxa"/>
              <w:bottom w:w="0" w:type="dxa"/>
              <w:right w:w="0" w:type="dxa"/>
            </w:tcMar>
            <w:vAlign w:val="bottom"/>
          </w:tcPr>
          <w:p w:rsidR="00181083" w:rsidRDefault="00181083">
            <w:pPr>
              <w:keepNext/>
            </w:pPr>
          </w:p>
        </w:tc>
      </w:tr>
      <w:tr w:rsidR="00181083">
        <w:trPr>
          <w:cantSplit/>
          <w:trHeight w:hRule="exact" w:val="285"/>
          <w:jc w:val="center"/>
        </w:trPr>
        <w:tc>
          <w:tcPr>
            <w:tcW w:w="5865" w:type="dxa"/>
            <w:tcBorders>
              <w:top w:val="nil"/>
              <w:left w:val="nil"/>
              <w:bottom w:val="nil"/>
              <w:right w:val="nil"/>
            </w:tcBorders>
            <w:tcMar>
              <w:top w:w="0" w:type="dxa"/>
              <w:left w:w="53" w:type="dxa"/>
              <w:bottom w:w="0" w:type="dxa"/>
              <w:right w:w="53" w:type="dxa"/>
            </w:tcMar>
            <w:vAlign w:val="bottom"/>
          </w:tcPr>
          <w:p w:rsidR="00181083" w:rsidRDefault="0010173D">
            <w:pPr>
              <w:keepNext/>
              <w:spacing w:before="53" w:after="30"/>
            </w:pPr>
            <w:r>
              <w:rPr>
                <w:rFonts w:ascii="Arial" w:eastAsia="Arial" w:hAnsi="Arial" w:cs="Arial"/>
                <w:color w:val="000000"/>
                <w:sz w:val="18"/>
              </w:rPr>
              <w:t>NET SALES</w:t>
            </w:r>
          </w:p>
        </w:tc>
        <w:tc>
          <w:tcPr>
            <w:tcW w:w="160" w:type="dxa"/>
            <w:tcBorders>
              <w:top w:val="nil"/>
              <w:left w:val="nil"/>
              <w:bottom w:val="nil"/>
              <w:right w:val="nil"/>
            </w:tcBorders>
            <w:tcMar>
              <w:top w:w="0" w:type="dxa"/>
              <w:left w:w="53" w:type="dxa"/>
              <w:bottom w:w="0" w:type="dxa"/>
              <w:right w:w="0" w:type="dxa"/>
            </w:tcMar>
            <w:vAlign w:val="bottom"/>
          </w:tcPr>
          <w:p w:rsidR="00181083" w:rsidRDefault="0010173D">
            <w:pPr>
              <w:keepNext/>
              <w:spacing w:before="53" w:after="30"/>
            </w:pPr>
            <w:r>
              <w:rPr>
                <w:rFonts w:ascii="Arial" w:eastAsia="Arial" w:hAnsi="Arial" w:cs="Arial"/>
                <w:color w:val="000000"/>
                <w:sz w:val="18"/>
              </w:rPr>
              <w:t>$</w:t>
            </w:r>
          </w:p>
        </w:tc>
        <w:tc>
          <w:tcPr>
            <w:tcW w:w="940" w:type="dxa"/>
            <w:tcBorders>
              <w:top w:val="nil"/>
              <w:left w:val="nil"/>
              <w:bottom w:val="nil"/>
              <w:right w:val="nil"/>
            </w:tcBorders>
            <w:tcMar>
              <w:top w:w="0" w:type="dxa"/>
              <w:left w:w="0"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315,939 </w:t>
            </w:r>
          </w:p>
        </w:tc>
        <w:tc>
          <w:tcPr>
            <w:tcW w:w="100" w:type="dxa"/>
            <w:tcBorders>
              <w:top w:val="nil"/>
              <w:left w:val="nil"/>
              <w:bottom w:val="nil"/>
              <w:right w:val="nil"/>
            </w:tcBorders>
            <w:tcMar>
              <w:top w:w="0" w:type="dxa"/>
              <w:left w:w="0" w:type="dxa"/>
              <w:bottom w:w="0" w:type="dxa"/>
              <w:right w:w="15" w:type="dxa"/>
            </w:tcMar>
            <w:vAlign w:val="bottom"/>
          </w:tcPr>
          <w:p w:rsidR="00181083" w:rsidRDefault="00181083">
            <w:pPr>
              <w:keepNext/>
              <w:spacing w:before="53" w:after="30"/>
              <w:jc w:val="right"/>
            </w:pPr>
          </w:p>
        </w:tc>
        <w:tc>
          <w:tcPr>
            <w:tcW w:w="75" w:type="dxa"/>
            <w:tcBorders>
              <w:top w:val="nil"/>
              <w:left w:val="nil"/>
              <w:bottom w:val="nil"/>
              <w:right w:val="nil"/>
            </w:tcBorders>
            <w:tcMar>
              <w:top w:w="0" w:type="dxa"/>
              <w:left w:w="0" w:type="dxa"/>
              <w:bottom w:w="0" w:type="dxa"/>
              <w:right w:w="0" w:type="dxa"/>
            </w:tcMar>
            <w:vAlign w:val="bottom"/>
          </w:tcPr>
          <w:p w:rsidR="00181083" w:rsidRDefault="00181083">
            <w:pPr>
              <w:keepNext/>
            </w:pPr>
          </w:p>
        </w:tc>
        <w:tc>
          <w:tcPr>
            <w:tcW w:w="160" w:type="dxa"/>
            <w:tcBorders>
              <w:top w:val="nil"/>
              <w:left w:val="nil"/>
              <w:bottom w:val="nil"/>
              <w:right w:val="nil"/>
            </w:tcBorders>
            <w:tcMar>
              <w:top w:w="0" w:type="dxa"/>
              <w:left w:w="53" w:type="dxa"/>
              <w:bottom w:w="0" w:type="dxa"/>
              <w:right w:w="0" w:type="dxa"/>
            </w:tcMar>
            <w:vAlign w:val="bottom"/>
          </w:tcPr>
          <w:p w:rsidR="00181083" w:rsidRDefault="0010173D">
            <w:pPr>
              <w:keepNext/>
              <w:spacing w:before="53" w:after="30"/>
            </w:pPr>
            <w:r>
              <w:rPr>
                <w:rFonts w:ascii="Arial" w:eastAsia="Arial" w:hAnsi="Arial" w:cs="Arial"/>
                <w:color w:val="000000"/>
                <w:sz w:val="18"/>
              </w:rPr>
              <w:t>$</w:t>
            </w:r>
          </w:p>
        </w:tc>
        <w:tc>
          <w:tcPr>
            <w:tcW w:w="955" w:type="dxa"/>
            <w:tcBorders>
              <w:top w:val="nil"/>
              <w:left w:val="nil"/>
              <w:bottom w:val="nil"/>
              <w:right w:val="nil"/>
            </w:tcBorders>
            <w:tcMar>
              <w:top w:w="0" w:type="dxa"/>
              <w:left w:w="0"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374,582 </w:t>
            </w:r>
          </w:p>
        </w:tc>
        <w:tc>
          <w:tcPr>
            <w:tcW w:w="100" w:type="dxa"/>
            <w:tcBorders>
              <w:top w:val="nil"/>
              <w:left w:val="nil"/>
              <w:bottom w:val="nil"/>
              <w:right w:val="nil"/>
            </w:tcBorders>
            <w:tcMar>
              <w:top w:w="0" w:type="dxa"/>
              <w:left w:w="0" w:type="dxa"/>
              <w:bottom w:w="0" w:type="dxa"/>
              <w:right w:w="15" w:type="dxa"/>
            </w:tcMar>
            <w:vAlign w:val="bottom"/>
          </w:tcPr>
          <w:p w:rsidR="00181083" w:rsidRDefault="00181083">
            <w:pPr>
              <w:keepNext/>
              <w:spacing w:before="53" w:after="30"/>
              <w:jc w:val="right"/>
            </w:pPr>
          </w:p>
        </w:tc>
        <w:tc>
          <w:tcPr>
            <w:tcW w:w="75" w:type="dxa"/>
            <w:tcBorders>
              <w:top w:val="nil"/>
              <w:left w:val="nil"/>
              <w:bottom w:val="nil"/>
              <w:right w:val="nil"/>
            </w:tcBorders>
            <w:tcMar>
              <w:top w:w="0" w:type="dxa"/>
              <w:left w:w="0" w:type="dxa"/>
              <w:bottom w:w="0" w:type="dxa"/>
              <w:right w:w="0" w:type="dxa"/>
            </w:tcMar>
            <w:vAlign w:val="bottom"/>
          </w:tcPr>
          <w:p w:rsidR="00181083" w:rsidRDefault="00181083">
            <w:pPr>
              <w:keepNext/>
            </w:pPr>
          </w:p>
        </w:tc>
        <w:tc>
          <w:tcPr>
            <w:tcW w:w="160" w:type="dxa"/>
            <w:tcBorders>
              <w:top w:val="nil"/>
              <w:left w:val="nil"/>
              <w:bottom w:val="nil"/>
              <w:right w:val="nil"/>
            </w:tcBorders>
            <w:tcMar>
              <w:top w:w="0" w:type="dxa"/>
              <w:left w:w="53" w:type="dxa"/>
              <w:bottom w:w="0" w:type="dxa"/>
              <w:right w:w="0" w:type="dxa"/>
            </w:tcMar>
            <w:vAlign w:val="bottom"/>
          </w:tcPr>
          <w:p w:rsidR="00181083" w:rsidRDefault="0010173D">
            <w:pPr>
              <w:keepNext/>
              <w:spacing w:before="53" w:after="30"/>
            </w:pPr>
            <w:r>
              <w:rPr>
                <w:rFonts w:ascii="Arial" w:eastAsia="Arial" w:hAnsi="Arial" w:cs="Arial"/>
                <w:color w:val="000000"/>
                <w:sz w:val="18"/>
              </w:rPr>
              <w:t>$</w:t>
            </w:r>
          </w:p>
        </w:tc>
        <w:tc>
          <w:tcPr>
            <w:tcW w:w="895" w:type="dxa"/>
            <w:tcBorders>
              <w:top w:val="nil"/>
              <w:left w:val="nil"/>
              <w:bottom w:val="nil"/>
              <w:right w:val="nil"/>
            </w:tcBorders>
            <w:tcMar>
              <w:top w:w="0" w:type="dxa"/>
              <w:left w:w="0"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405,033 </w:t>
            </w:r>
          </w:p>
        </w:tc>
        <w:tc>
          <w:tcPr>
            <w:tcW w:w="100" w:type="dxa"/>
            <w:tcBorders>
              <w:top w:val="nil"/>
              <w:left w:val="nil"/>
              <w:bottom w:val="nil"/>
              <w:right w:val="nil"/>
            </w:tcBorders>
            <w:tcMar>
              <w:top w:w="0" w:type="dxa"/>
              <w:left w:w="0" w:type="dxa"/>
              <w:bottom w:w="0" w:type="dxa"/>
              <w:right w:w="15" w:type="dxa"/>
            </w:tcMar>
            <w:vAlign w:val="bottom"/>
          </w:tcPr>
          <w:p w:rsidR="00181083" w:rsidRDefault="00181083">
            <w:pPr>
              <w:keepNext/>
              <w:spacing w:before="53" w:after="30"/>
              <w:jc w:val="right"/>
            </w:pPr>
          </w:p>
        </w:tc>
        <w:tc>
          <w:tcPr>
            <w:tcW w:w="75" w:type="dxa"/>
            <w:tcBorders>
              <w:top w:val="nil"/>
              <w:left w:val="nil"/>
              <w:bottom w:val="nil"/>
              <w:right w:val="nil"/>
            </w:tcBorders>
            <w:tcMar>
              <w:top w:w="0" w:type="dxa"/>
              <w:left w:w="0" w:type="dxa"/>
              <w:bottom w:w="0" w:type="dxa"/>
              <w:right w:w="0" w:type="dxa"/>
            </w:tcMar>
            <w:vAlign w:val="bottom"/>
          </w:tcPr>
          <w:p w:rsidR="00181083" w:rsidRDefault="00181083">
            <w:pPr>
              <w:keepNext/>
            </w:pPr>
          </w:p>
        </w:tc>
      </w:tr>
      <w:tr w:rsidR="00181083">
        <w:trPr>
          <w:cantSplit/>
          <w:trHeight w:hRule="exact" w:val="285"/>
          <w:jc w:val="center"/>
        </w:trPr>
        <w:tc>
          <w:tcPr>
            <w:tcW w:w="5865" w:type="dxa"/>
            <w:tcBorders>
              <w:top w:val="nil"/>
              <w:left w:val="nil"/>
              <w:bottom w:val="single" w:sz="8" w:space="0" w:color="000000"/>
              <w:right w:val="nil"/>
            </w:tcBorders>
            <w:tcMar>
              <w:top w:w="0" w:type="dxa"/>
              <w:left w:w="53" w:type="dxa"/>
              <w:bottom w:w="0" w:type="dxa"/>
              <w:right w:w="53" w:type="dxa"/>
            </w:tcMar>
            <w:vAlign w:val="bottom"/>
          </w:tcPr>
          <w:p w:rsidR="00181083" w:rsidRDefault="0010173D">
            <w:pPr>
              <w:keepNext/>
              <w:spacing w:before="53" w:after="30"/>
              <w:ind w:left="225"/>
            </w:pPr>
            <w:r>
              <w:rPr>
                <w:rFonts w:ascii="Arial" w:eastAsia="Arial" w:hAnsi="Arial" w:cs="Arial"/>
                <w:color w:val="000000"/>
                <w:sz w:val="18"/>
              </w:rPr>
              <w:t>Cost of sales</w:t>
            </w:r>
          </w:p>
        </w:tc>
        <w:tc>
          <w:tcPr>
            <w:tcW w:w="1100" w:type="dxa"/>
            <w:gridSpan w:val="2"/>
            <w:tcBorders>
              <w:top w:val="nil"/>
              <w:left w:val="nil"/>
              <w:bottom w:val="single" w:sz="8" w:space="0" w:color="000000"/>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239,483 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181083" w:rsidRDefault="00181083">
            <w:pPr>
              <w:keepNext/>
              <w:spacing w:before="53" w:after="30"/>
              <w:jc w:val="right"/>
            </w:pPr>
          </w:p>
        </w:tc>
        <w:tc>
          <w:tcPr>
            <w:tcW w:w="75" w:type="dxa"/>
            <w:tcBorders>
              <w:top w:val="nil"/>
              <w:left w:val="nil"/>
              <w:bottom w:val="single" w:sz="8" w:space="0" w:color="000000"/>
              <w:right w:val="nil"/>
            </w:tcBorders>
            <w:tcMar>
              <w:top w:w="0" w:type="dxa"/>
              <w:left w:w="0" w:type="dxa"/>
              <w:bottom w:w="0" w:type="dxa"/>
              <w:right w:w="0" w:type="dxa"/>
            </w:tcMar>
            <w:vAlign w:val="bottom"/>
          </w:tcPr>
          <w:p w:rsidR="00181083" w:rsidRDefault="00181083">
            <w:pPr>
              <w:keepNext/>
            </w:pPr>
          </w:p>
        </w:tc>
        <w:tc>
          <w:tcPr>
            <w:tcW w:w="1115" w:type="dxa"/>
            <w:gridSpan w:val="2"/>
            <w:tcBorders>
              <w:top w:val="nil"/>
              <w:left w:val="nil"/>
              <w:bottom w:val="single" w:sz="8" w:space="0" w:color="000000"/>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288,377 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181083" w:rsidRDefault="00181083">
            <w:pPr>
              <w:keepNext/>
              <w:spacing w:before="53" w:after="30"/>
              <w:jc w:val="right"/>
            </w:pPr>
          </w:p>
        </w:tc>
        <w:tc>
          <w:tcPr>
            <w:tcW w:w="75" w:type="dxa"/>
            <w:tcBorders>
              <w:top w:val="nil"/>
              <w:left w:val="nil"/>
              <w:bottom w:val="single" w:sz="8" w:space="0" w:color="000000"/>
              <w:right w:val="nil"/>
            </w:tcBorders>
            <w:tcMar>
              <w:top w:w="0" w:type="dxa"/>
              <w:left w:w="0" w:type="dxa"/>
              <w:bottom w:w="0" w:type="dxa"/>
              <w:right w:w="0" w:type="dxa"/>
            </w:tcMar>
            <w:vAlign w:val="bottom"/>
          </w:tcPr>
          <w:p w:rsidR="00181083" w:rsidRDefault="00181083">
            <w:pPr>
              <w:keepNext/>
            </w:pPr>
          </w:p>
        </w:tc>
        <w:tc>
          <w:tcPr>
            <w:tcW w:w="1055" w:type="dxa"/>
            <w:gridSpan w:val="2"/>
            <w:tcBorders>
              <w:top w:val="nil"/>
              <w:left w:val="nil"/>
              <w:bottom w:val="single" w:sz="8" w:space="0" w:color="000000"/>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318,042 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181083" w:rsidRDefault="00181083">
            <w:pPr>
              <w:keepNext/>
              <w:spacing w:before="53" w:after="30"/>
              <w:jc w:val="right"/>
            </w:pPr>
          </w:p>
        </w:tc>
        <w:tc>
          <w:tcPr>
            <w:tcW w:w="75" w:type="dxa"/>
            <w:tcBorders>
              <w:top w:val="nil"/>
              <w:left w:val="nil"/>
              <w:bottom w:val="single" w:sz="8" w:space="0" w:color="000000"/>
              <w:right w:val="nil"/>
            </w:tcBorders>
            <w:tcMar>
              <w:top w:w="0" w:type="dxa"/>
              <w:left w:w="0" w:type="dxa"/>
              <w:bottom w:w="0" w:type="dxa"/>
              <w:right w:w="0" w:type="dxa"/>
            </w:tcMar>
            <w:vAlign w:val="bottom"/>
          </w:tcPr>
          <w:p w:rsidR="00181083" w:rsidRDefault="00181083">
            <w:pPr>
              <w:keepNext/>
            </w:pPr>
          </w:p>
        </w:tc>
      </w:tr>
      <w:tr w:rsidR="00181083">
        <w:trPr>
          <w:cantSplit/>
          <w:trHeight w:hRule="exact" w:val="285"/>
          <w:jc w:val="center"/>
        </w:trPr>
        <w:tc>
          <w:tcPr>
            <w:tcW w:w="5865" w:type="dxa"/>
            <w:tcBorders>
              <w:top w:val="single" w:sz="8" w:space="0" w:color="000000"/>
              <w:left w:val="nil"/>
              <w:bottom w:val="nil"/>
              <w:right w:val="nil"/>
            </w:tcBorders>
            <w:tcMar>
              <w:top w:w="0" w:type="dxa"/>
              <w:left w:w="53" w:type="dxa"/>
              <w:bottom w:w="0" w:type="dxa"/>
              <w:right w:w="53" w:type="dxa"/>
            </w:tcMar>
            <w:vAlign w:val="bottom"/>
          </w:tcPr>
          <w:p w:rsidR="00181083" w:rsidRDefault="0010173D">
            <w:pPr>
              <w:keepNext/>
              <w:spacing w:before="33" w:after="30"/>
            </w:pPr>
            <w:r>
              <w:rPr>
                <w:rFonts w:ascii="Arial" w:eastAsia="Arial" w:hAnsi="Arial" w:cs="Arial"/>
                <w:color w:val="000000"/>
                <w:sz w:val="18"/>
              </w:rPr>
              <w:t>GROSS PROFIT</w:t>
            </w:r>
          </w:p>
        </w:tc>
        <w:tc>
          <w:tcPr>
            <w:tcW w:w="1100" w:type="dxa"/>
            <w:gridSpan w:val="2"/>
            <w:tcBorders>
              <w:top w:val="single" w:sz="8" w:space="0" w:color="000000"/>
              <w:left w:val="nil"/>
              <w:bottom w:val="nil"/>
              <w:right w:val="nil"/>
            </w:tcBorders>
            <w:tcMar>
              <w:top w:w="0" w:type="dxa"/>
              <w:left w:w="53" w:type="dxa"/>
              <w:bottom w:w="0" w:type="dxa"/>
              <w:right w:w="0" w:type="dxa"/>
            </w:tcMar>
            <w:vAlign w:val="bottom"/>
          </w:tcPr>
          <w:p w:rsidR="00181083" w:rsidRDefault="0010173D">
            <w:pPr>
              <w:keepNext/>
              <w:spacing w:before="33" w:after="30"/>
              <w:jc w:val="right"/>
            </w:pPr>
            <w:r>
              <w:rPr>
                <w:rFonts w:ascii="Arial" w:eastAsia="Arial" w:hAnsi="Arial" w:cs="Arial"/>
                <w:color w:val="000000"/>
                <w:sz w:val="18"/>
              </w:rPr>
              <w:t>76,456 </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181083" w:rsidRDefault="00181083">
            <w:pPr>
              <w:keepNext/>
              <w:spacing w:before="33" w:after="30"/>
              <w:jc w:val="right"/>
            </w:pPr>
          </w:p>
        </w:tc>
        <w:tc>
          <w:tcPr>
            <w:tcW w:w="75" w:type="dxa"/>
            <w:tcBorders>
              <w:top w:val="single" w:sz="8" w:space="0" w:color="000000"/>
              <w:left w:val="nil"/>
              <w:bottom w:val="nil"/>
              <w:right w:val="nil"/>
            </w:tcBorders>
            <w:tcMar>
              <w:top w:w="0" w:type="dxa"/>
              <w:left w:w="0" w:type="dxa"/>
              <w:bottom w:w="0" w:type="dxa"/>
              <w:right w:w="0" w:type="dxa"/>
            </w:tcMar>
            <w:vAlign w:val="bottom"/>
          </w:tcPr>
          <w:p w:rsidR="00181083" w:rsidRDefault="00181083">
            <w:pPr>
              <w:keepNext/>
            </w:pPr>
          </w:p>
        </w:tc>
        <w:tc>
          <w:tcPr>
            <w:tcW w:w="1115" w:type="dxa"/>
            <w:gridSpan w:val="2"/>
            <w:tcBorders>
              <w:top w:val="single" w:sz="8" w:space="0" w:color="000000"/>
              <w:left w:val="nil"/>
              <w:bottom w:val="nil"/>
              <w:right w:val="nil"/>
            </w:tcBorders>
            <w:tcMar>
              <w:top w:w="0" w:type="dxa"/>
              <w:left w:w="53" w:type="dxa"/>
              <w:bottom w:w="0" w:type="dxa"/>
              <w:right w:w="0" w:type="dxa"/>
            </w:tcMar>
            <w:vAlign w:val="bottom"/>
          </w:tcPr>
          <w:p w:rsidR="00181083" w:rsidRDefault="0010173D">
            <w:pPr>
              <w:keepNext/>
              <w:spacing w:before="33" w:after="30"/>
              <w:jc w:val="right"/>
            </w:pPr>
            <w:r>
              <w:rPr>
                <w:rFonts w:ascii="Arial" w:eastAsia="Arial" w:hAnsi="Arial" w:cs="Arial"/>
                <w:color w:val="000000"/>
                <w:sz w:val="18"/>
              </w:rPr>
              <w:t>86,205 </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181083" w:rsidRDefault="00181083">
            <w:pPr>
              <w:keepNext/>
              <w:spacing w:before="33" w:after="30"/>
              <w:jc w:val="right"/>
            </w:pPr>
          </w:p>
        </w:tc>
        <w:tc>
          <w:tcPr>
            <w:tcW w:w="75" w:type="dxa"/>
            <w:tcBorders>
              <w:top w:val="single" w:sz="8" w:space="0" w:color="000000"/>
              <w:left w:val="nil"/>
              <w:bottom w:val="nil"/>
              <w:right w:val="nil"/>
            </w:tcBorders>
            <w:tcMar>
              <w:top w:w="0" w:type="dxa"/>
              <w:left w:w="0" w:type="dxa"/>
              <w:bottom w:w="0" w:type="dxa"/>
              <w:right w:w="0" w:type="dxa"/>
            </w:tcMar>
            <w:vAlign w:val="bottom"/>
          </w:tcPr>
          <w:p w:rsidR="00181083" w:rsidRDefault="00181083">
            <w:pPr>
              <w:keepNext/>
            </w:pPr>
          </w:p>
        </w:tc>
        <w:tc>
          <w:tcPr>
            <w:tcW w:w="1055" w:type="dxa"/>
            <w:gridSpan w:val="2"/>
            <w:tcBorders>
              <w:top w:val="single" w:sz="8" w:space="0" w:color="000000"/>
              <w:left w:val="nil"/>
              <w:bottom w:val="nil"/>
              <w:right w:val="nil"/>
            </w:tcBorders>
            <w:tcMar>
              <w:top w:w="0" w:type="dxa"/>
              <w:left w:w="53" w:type="dxa"/>
              <w:bottom w:w="0" w:type="dxa"/>
              <w:right w:w="0" w:type="dxa"/>
            </w:tcMar>
            <w:vAlign w:val="bottom"/>
          </w:tcPr>
          <w:p w:rsidR="00181083" w:rsidRDefault="0010173D">
            <w:pPr>
              <w:keepNext/>
              <w:spacing w:before="33" w:after="30"/>
              <w:jc w:val="right"/>
            </w:pPr>
            <w:r>
              <w:rPr>
                <w:rFonts w:ascii="Arial" w:eastAsia="Arial" w:hAnsi="Arial" w:cs="Arial"/>
                <w:color w:val="000000"/>
                <w:sz w:val="18"/>
              </w:rPr>
              <w:t>86,991 </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181083" w:rsidRDefault="00181083">
            <w:pPr>
              <w:keepNext/>
              <w:spacing w:before="33" w:after="30"/>
              <w:jc w:val="right"/>
            </w:pPr>
          </w:p>
        </w:tc>
        <w:tc>
          <w:tcPr>
            <w:tcW w:w="75" w:type="dxa"/>
            <w:tcBorders>
              <w:top w:val="single" w:sz="8" w:space="0" w:color="000000"/>
              <w:left w:val="nil"/>
              <w:bottom w:val="nil"/>
              <w:right w:val="nil"/>
            </w:tcBorders>
            <w:tcMar>
              <w:top w:w="0" w:type="dxa"/>
              <w:left w:w="0" w:type="dxa"/>
              <w:bottom w:w="0" w:type="dxa"/>
              <w:right w:w="0" w:type="dxa"/>
            </w:tcMar>
            <w:vAlign w:val="bottom"/>
          </w:tcPr>
          <w:p w:rsidR="00181083" w:rsidRDefault="00181083">
            <w:pPr>
              <w:keepNext/>
            </w:pPr>
          </w:p>
        </w:tc>
      </w:tr>
      <w:tr w:rsidR="00181083">
        <w:trPr>
          <w:cantSplit/>
          <w:trHeight w:hRule="exact" w:val="285"/>
          <w:jc w:val="center"/>
        </w:trPr>
        <w:tc>
          <w:tcPr>
            <w:tcW w:w="5865" w:type="dxa"/>
            <w:tcBorders>
              <w:top w:val="nil"/>
              <w:left w:val="nil"/>
              <w:bottom w:val="nil"/>
              <w:right w:val="nil"/>
            </w:tcBorders>
            <w:tcMar>
              <w:top w:w="0" w:type="dxa"/>
              <w:left w:w="53" w:type="dxa"/>
              <w:bottom w:w="0" w:type="dxa"/>
              <w:right w:w="53" w:type="dxa"/>
            </w:tcMar>
            <w:vAlign w:val="bottom"/>
          </w:tcPr>
          <w:p w:rsidR="00181083" w:rsidRDefault="0010173D">
            <w:pPr>
              <w:keepNext/>
              <w:spacing w:before="53" w:after="30"/>
              <w:ind w:left="225"/>
            </w:pPr>
            <w:r>
              <w:rPr>
                <w:rFonts w:ascii="Arial" w:eastAsia="Arial" w:hAnsi="Arial" w:cs="Arial"/>
                <w:color w:val="000000"/>
                <w:sz w:val="18"/>
              </w:rPr>
              <w:t>Selling and administrative expenses</w:t>
            </w:r>
          </w:p>
        </w:tc>
        <w:tc>
          <w:tcPr>
            <w:tcW w:w="1100" w:type="dxa"/>
            <w:gridSpan w:val="2"/>
            <w:tcBorders>
              <w:top w:val="nil"/>
              <w:left w:val="nil"/>
              <w:bottom w:val="nil"/>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75,731 </w:t>
            </w:r>
          </w:p>
        </w:tc>
        <w:tc>
          <w:tcPr>
            <w:tcW w:w="100" w:type="dxa"/>
            <w:tcBorders>
              <w:top w:val="nil"/>
              <w:left w:val="nil"/>
              <w:bottom w:val="nil"/>
              <w:right w:val="nil"/>
            </w:tcBorders>
            <w:tcMar>
              <w:top w:w="0" w:type="dxa"/>
              <w:left w:w="0" w:type="dxa"/>
              <w:bottom w:w="0" w:type="dxa"/>
              <w:right w:w="15" w:type="dxa"/>
            </w:tcMar>
            <w:vAlign w:val="bottom"/>
          </w:tcPr>
          <w:p w:rsidR="00181083" w:rsidRDefault="00181083">
            <w:pPr>
              <w:keepNext/>
              <w:spacing w:before="53" w:after="30"/>
              <w:jc w:val="right"/>
            </w:pPr>
          </w:p>
        </w:tc>
        <w:tc>
          <w:tcPr>
            <w:tcW w:w="75" w:type="dxa"/>
            <w:tcBorders>
              <w:top w:val="nil"/>
              <w:left w:val="nil"/>
              <w:bottom w:val="nil"/>
              <w:right w:val="nil"/>
            </w:tcBorders>
            <w:tcMar>
              <w:top w:w="0" w:type="dxa"/>
              <w:left w:w="0" w:type="dxa"/>
              <w:bottom w:w="0" w:type="dxa"/>
              <w:right w:w="0" w:type="dxa"/>
            </w:tcMar>
            <w:vAlign w:val="bottom"/>
          </w:tcPr>
          <w:p w:rsidR="00181083" w:rsidRDefault="00181083">
            <w:pPr>
              <w:keepNext/>
            </w:pPr>
          </w:p>
        </w:tc>
        <w:tc>
          <w:tcPr>
            <w:tcW w:w="1115" w:type="dxa"/>
            <w:gridSpan w:val="2"/>
            <w:tcBorders>
              <w:top w:val="nil"/>
              <w:left w:val="nil"/>
              <w:bottom w:val="nil"/>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83,825 </w:t>
            </w:r>
          </w:p>
        </w:tc>
        <w:tc>
          <w:tcPr>
            <w:tcW w:w="100" w:type="dxa"/>
            <w:tcBorders>
              <w:top w:val="nil"/>
              <w:left w:val="nil"/>
              <w:bottom w:val="nil"/>
              <w:right w:val="nil"/>
            </w:tcBorders>
            <w:tcMar>
              <w:top w:w="0" w:type="dxa"/>
              <w:left w:w="0" w:type="dxa"/>
              <w:bottom w:w="0" w:type="dxa"/>
              <w:right w:w="15" w:type="dxa"/>
            </w:tcMar>
            <w:vAlign w:val="bottom"/>
          </w:tcPr>
          <w:p w:rsidR="00181083" w:rsidRDefault="00181083">
            <w:pPr>
              <w:keepNext/>
              <w:spacing w:before="53" w:after="30"/>
              <w:jc w:val="right"/>
            </w:pPr>
          </w:p>
        </w:tc>
        <w:tc>
          <w:tcPr>
            <w:tcW w:w="75" w:type="dxa"/>
            <w:tcBorders>
              <w:top w:val="nil"/>
              <w:left w:val="nil"/>
              <w:bottom w:val="nil"/>
              <w:right w:val="nil"/>
            </w:tcBorders>
            <w:tcMar>
              <w:top w:w="0" w:type="dxa"/>
              <w:left w:w="0" w:type="dxa"/>
              <w:bottom w:w="0" w:type="dxa"/>
              <w:right w:w="0" w:type="dxa"/>
            </w:tcMar>
            <w:vAlign w:val="bottom"/>
          </w:tcPr>
          <w:p w:rsidR="00181083" w:rsidRDefault="00181083">
            <w:pPr>
              <w:keepNext/>
            </w:pPr>
          </w:p>
        </w:tc>
        <w:tc>
          <w:tcPr>
            <w:tcW w:w="1055" w:type="dxa"/>
            <w:gridSpan w:val="2"/>
            <w:tcBorders>
              <w:top w:val="nil"/>
              <w:left w:val="nil"/>
              <w:bottom w:val="nil"/>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92,473 </w:t>
            </w:r>
          </w:p>
        </w:tc>
        <w:tc>
          <w:tcPr>
            <w:tcW w:w="100" w:type="dxa"/>
            <w:tcBorders>
              <w:top w:val="nil"/>
              <w:left w:val="nil"/>
              <w:bottom w:val="nil"/>
              <w:right w:val="nil"/>
            </w:tcBorders>
            <w:tcMar>
              <w:top w:w="0" w:type="dxa"/>
              <w:left w:w="0" w:type="dxa"/>
              <w:bottom w:w="0" w:type="dxa"/>
              <w:right w:w="15" w:type="dxa"/>
            </w:tcMar>
            <w:vAlign w:val="bottom"/>
          </w:tcPr>
          <w:p w:rsidR="00181083" w:rsidRDefault="00181083">
            <w:pPr>
              <w:keepNext/>
              <w:spacing w:before="53" w:after="30"/>
              <w:jc w:val="right"/>
            </w:pPr>
          </w:p>
        </w:tc>
        <w:tc>
          <w:tcPr>
            <w:tcW w:w="75" w:type="dxa"/>
            <w:tcBorders>
              <w:top w:val="nil"/>
              <w:left w:val="nil"/>
              <w:bottom w:val="nil"/>
              <w:right w:val="nil"/>
            </w:tcBorders>
            <w:tcMar>
              <w:top w:w="0" w:type="dxa"/>
              <w:left w:w="0" w:type="dxa"/>
              <w:bottom w:w="0" w:type="dxa"/>
              <w:right w:w="0" w:type="dxa"/>
            </w:tcMar>
            <w:vAlign w:val="bottom"/>
          </w:tcPr>
          <w:p w:rsidR="00181083" w:rsidRDefault="00181083">
            <w:pPr>
              <w:keepNext/>
            </w:pPr>
          </w:p>
        </w:tc>
      </w:tr>
      <w:tr w:rsidR="00181083">
        <w:trPr>
          <w:cantSplit/>
          <w:trHeight w:hRule="exact" w:val="285"/>
          <w:jc w:val="center"/>
        </w:trPr>
        <w:tc>
          <w:tcPr>
            <w:tcW w:w="5865" w:type="dxa"/>
            <w:tcBorders>
              <w:top w:val="nil"/>
              <w:left w:val="nil"/>
              <w:bottom w:val="nil"/>
              <w:right w:val="nil"/>
            </w:tcBorders>
            <w:tcMar>
              <w:top w:w="0" w:type="dxa"/>
              <w:left w:w="53" w:type="dxa"/>
              <w:bottom w:w="0" w:type="dxa"/>
              <w:right w:w="53" w:type="dxa"/>
            </w:tcMar>
            <w:vAlign w:val="bottom"/>
          </w:tcPr>
          <w:p w:rsidR="00181083" w:rsidRDefault="0010173D">
            <w:pPr>
              <w:keepNext/>
              <w:spacing w:before="53" w:after="30"/>
              <w:ind w:left="225"/>
            </w:pPr>
            <w:r>
              <w:rPr>
                <w:rFonts w:ascii="Arial" w:eastAsia="Arial" w:hAnsi="Arial" w:cs="Arial"/>
                <w:color w:val="000000"/>
                <w:sz w:val="18"/>
              </w:rPr>
              <w:t>Other operating (income) expense, net</w:t>
            </w:r>
          </w:p>
        </w:tc>
        <w:tc>
          <w:tcPr>
            <w:tcW w:w="1100" w:type="dxa"/>
            <w:gridSpan w:val="2"/>
            <w:tcBorders>
              <w:top w:val="nil"/>
              <w:left w:val="nil"/>
              <w:bottom w:val="nil"/>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(108)</w:t>
            </w:r>
          </w:p>
        </w:tc>
        <w:tc>
          <w:tcPr>
            <w:tcW w:w="100" w:type="dxa"/>
            <w:tcBorders>
              <w:top w:val="nil"/>
              <w:left w:val="nil"/>
              <w:bottom w:val="nil"/>
              <w:right w:val="nil"/>
            </w:tcBorders>
            <w:tcMar>
              <w:top w:w="0" w:type="dxa"/>
              <w:left w:w="0" w:type="dxa"/>
              <w:bottom w:w="0" w:type="dxa"/>
              <w:right w:w="15" w:type="dxa"/>
            </w:tcMar>
            <w:vAlign w:val="bottom"/>
          </w:tcPr>
          <w:p w:rsidR="00181083" w:rsidRDefault="00181083">
            <w:pPr>
              <w:keepNext/>
              <w:spacing w:before="53" w:after="30"/>
              <w:jc w:val="right"/>
            </w:pPr>
          </w:p>
        </w:tc>
        <w:tc>
          <w:tcPr>
            <w:tcW w:w="75" w:type="dxa"/>
            <w:tcBorders>
              <w:top w:val="nil"/>
              <w:left w:val="nil"/>
              <w:bottom w:val="nil"/>
              <w:right w:val="nil"/>
            </w:tcBorders>
            <w:tcMar>
              <w:top w:w="0" w:type="dxa"/>
              <w:left w:w="0" w:type="dxa"/>
              <w:bottom w:w="0" w:type="dxa"/>
              <w:right w:w="0" w:type="dxa"/>
            </w:tcMar>
            <w:vAlign w:val="bottom"/>
          </w:tcPr>
          <w:p w:rsidR="00181083" w:rsidRDefault="00181083">
            <w:pPr>
              <w:keepNext/>
            </w:pPr>
          </w:p>
        </w:tc>
        <w:tc>
          <w:tcPr>
            <w:tcW w:w="1115" w:type="dxa"/>
            <w:gridSpan w:val="2"/>
            <w:tcBorders>
              <w:top w:val="nil"/>
              <w:left w:val="nil"/>
              <w:bottom w:val="nil"/>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(23,988)</w:t>
            </w:r>
          </w:p>
        </w:tc>
        <w:tc>
          <w:tcPr>
            <w:tcW w:w="100" w:type="dxa"/>
            <w:tcBorders>
              <w:top w:val="nil"/>
              <w:left w:val="nil"/>
              <w:bottom w:val="nil"/>
              <w:right w:val="nil"/>
            </w:tcBorders>
            <w:tcMar>
              <w:top w:w="0" w:type="dxa"/>
              <w:left w:w="0" w:type="dxa"/>
              <w:bottom w:w="0" w:type="dxa"/>
              <w:right w:w="15" w:type="dxa"/>
            </w:tcMar>
            <w:vAlign w:val="bottom"/>
          </w:tcPr>
          <w:p w:rsidR="00181083" w:rsidRDefault="00181083">
            <w:pPr>
              <w:keepNext/>
              <w:spacing w:before="53" w:after="30"/>
              <w:jc w:val="right"/>
            </w:pPr>
          </w:p>
        </w:tc>
        <w:tc>
          <w:tcPr>
            <w:tcW w:w="75" w:type="dxa"/>
            <w:tcBorders>
              <w:top w:val="nil"/>
              <w:left w:val="nil"/>
              <w:bottom w:val="nil"/>
              <w:right w:val="nil"/>
            </w:tcBorders>
            <w:tcMar>
              <w:top w:w="0" w:type="dxa"/>
              <w:left w:w="0" w:type="dxa"/>
              <w:bottom w:w="0" w:type="dxa"/>
              <w:right w:w="0" w:type="dxa"/>
            </w:tcMar>
            <w:vAlign w:val="bottom"/>
          </w:tcPr>
          <w:p w:rsidR="00181083" w:rsidRDefault="00181083">
            <w:pPr>
              <w:keepNext/>
            </w:pPr>
          </w:p>
        </w:tc>
        <w:tc>
          <w:tcPr>
            <w:tcW w:w="1055" w:type="dxa"/>
            <w:gridSpan w:val="2"/>
            <w:tcBorders>
              <w:top w:val="nil"/>
              <w:left w:val="nil"/>
              <w:bottom w:val="nil"/>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458 </w:t>
            </w:r>
          </w:p>
        </w:tc>
        <w:tc>
          <w:tcPr>
            <w:tcW w:w="100" w:type="dxa"/>
            <w:tcBorders>
              <w:top w:val="nil"/>
              <w:left w:val="nil"/>
              <w:bottom w:val="nil"/>
              <w:right w:val="nil"/>
            </w:tcBorders>
            <w:tcMar>
              <w:top w:w="0" w:type="dxa"/>
              <w:left w:w="0" w:type="dxa"/>
              <w:bottom w:w="0" w:type="dxa"/>
              <w:right w:w="15" w:type="dxa"/>
            </w:tcMar>
            <w:vAlign w:val="bottom"/>
          </w:tcPr>
          <w:p w:rsidR="00181083" w:rsidRDefault="00181083">
            <w:pPr>
              <w:keepNext/>
              <w:spacing w:before="53" w:after="30"/>
              <w:jc w:val="right"/>
            </w:pPr>
          </w:p>
        </w:tc>
        <w:tc>
          <w:tcPr>
            <w:tcW w:w="75" w:type="dxa"/>
            <w:tcBorders>
              <w:top w:val="nil"/>
              <w:left w:val="nil"/>
              <w:bottom w:val="nil"/>
              <w:right w:val="nil"/>
            </w:tcBorders>
            <w:tcMar>
              <w:top w:w="0" w:type="dxa"/>
              <w:left w:w="0" w:type="dxa"/>
              <w:bottom w:w="0" w:type="dxa"/>
              <w:right w:w="0" w:type="dxa"/>
            </w:tcMar>
            <w:vAlign w:val="bottom"/>
          </w:tcPr>
          <w:p w:rsidR="00181083" w:rsidRDefault="00181083">
            <w:pPr>
              <w:keepNext/>
            </w:pPr>
          </w:p>
        </w:tc>
      </w:tr>
      <w:tr w:rsidR="00181083">
        <w:trPr>
          <w:cantSplit/>
          <w:trHeight w:hRule="exact" w:val="255"/>
          <w:jc w:val="center"/>
        </w:trPr>
        <w:tc>
          <w:tcPr>
            <w:tcW w:w="5865" w:type="dxa"/>
            <w:tcBorders>
              <w:top w:val="nil"/>
              <w:left w:val="nil"/>
              <w:bottom w:val="nil"/>
              <w:right w:val="nil"/>
            </w:tcBorders>
            <w:tcMar>
              <w:top w:w="0" w:type="dxa"/>
              <w:left w:w="53" w:type="dxa"/>
              <w:bottom w:w="0" w:type="dxa"/>
              <w:right w:w="53" w:type="dxa"/>
            </w:tcMar>
            <w:vAlign w:val="bottom"/>
          </w:tcPr>
          <w:p w:rsidR="00181083" w:rsidRDefault="0010173D">
            <w:pPr>
              <w:keepNext/>
              <w:spacing w:before="53" w:after="30"/>
              <w:ind w:left="225"/>
            </w:pPr>
            <w:r>
              <w:rPr>
                <w:rFonts w:ascii="Arial" w:eastAsia="Arial" w:hAnsi="Arial" w:cs="Arial"/>
                <w:color w:val="000000"/>
                <w:sz w:val="18"/>
              </w:rPr>
              <w:t xml:space="preserve">Facility consolidation </w:t>
            </w:r>
            <w:r>
              <w:rPr>
                <w:rFonts w:ascii="Arial" w:eastAsia="Arial" w:hAnsi="Arial" w:cs="Arial"/>
                <w:color w:val="000000"/>
                <w:sz w:val="18"/>
              </w:rPr>
              <w:t>and severance expenses, net</w:t>
            </w:r>
          </w:p>
        </w:tc>
        <w:tc>
          <w:tcPr>
            <w:tcW w:w="1100" w:type="dxa"/>
            <w:gridSpan w:val="2"/>
            <w:tcBorders>
              <w:top w:val="nil"/>
              <w:left w:val="nil"/>
              <w:bottom w:val="nil"/>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3,752 </w:t>
            </w:r>
          </w:p>
        </w:tc>
        <w:tc>
          <w:tcPr>
            <w:tcW w:w="100" w:type="dxa"/>
            <w:tcBorders>
              <w:top w:val="nil"/>
              <w:left w:val="nil"/>
              <w:bottom w:val="nil"/>
              <w:right w:val="nil"/>
            </w:tcBorders>
            <w:tcMar>
              <w:top w:w="0" w:type="dxa"/>
              <w:left w:w="0" w:type="dxa"/>
              <w:bottom w:w="0" w:type="dxa"/>
              <w:right w:w="15" w:type="dxa"/>
            </w:tcMar>
            <w:vAlign w:val="bottom"/>
          </w:tcPr>
          <w:p w:rsidR="00181083" w:rsidRDefault="00181083">
            <w:pPr>
              <w:keepNext/>
              <w:spacing w:before="53" w:after="30"/>
              <w:jc w:val="right"/>
            </w:pPr>
          </w:p>
        </w:tc>
        <w:tc>
          <w:tcPr>
            <w:tcW w:w="75" w:type="dxa"/>
            <w:tcBorders>
              <w:top w:val="nil"/>
              <w:left w:val="nil"/>
              <w:bottom w:val="nil"/>
              <w:right w:val="nil"/>
            </w:tcBorders>
            <w:tcMar>
              <w:top w:w="0" w:type="dxa"/>
              <w:left w:w="0" w:type="dxa"/>
              <w:bottom w:w="0" w:type="dxa"/>
              <w:right w:w="0" w:type="dxa"/>
            </w:tcMar>
            <w:vAlign w:val="bottom"/>
          </w:tcPr>
          <w:p w:rsidR="00181083" w:rsidRDefault="00181083">
            <w:pPr>
              <w:keepNext/>
            </w:pPr>
          </w:p>
        </w:tc>
        <w:tc>
          <w:tcPr>
            <w:tcW w:w="1115" w:type="dxa"/>
            <w:gridSpan w:val="2"/>
            <w:tcBorders>
              <w:top w:val="nil"/>
              <w:left w:val="nil"/>
              <w:bottom w:val="nil"/>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5,019 </w:t>
            </w:r>
          </w:p>
        </w:tc>
        <w:tc>
          <w:tcPr>
            <w:tcW w:w="100" w:type="dxa"/>
            <w:tcBorders>
              <w:top w:val="nil"/>
              <w:left w:val="nil"/>
              <w:bottom w:val="nil"/>
              <w:right w:val="nil"/>
            </w:tcBorders>
            <w:tcMar>
              <w:top w:w="0" w:type="dxa"/>
              <w:left w:w="0" w:type="dxa"/>
              <w:bottom w:w="0" w:type="dxa"/>
              <w:right w:w="15" w:type="dxa"/>
            </w:tcMar>
            <w:vAlign w:val="bottom"/>
          </w:tcPr>
          <w:p w:rsidR="00181083" w:rsidRDefault="00181083">
            <w:pPr>
              <w:keepNext/>
              <w:spacing w:before="53" w:after="30"/>
              <w:jc w:val="right"/>
            </w:pPr>
          </w:p>
        </w:tc>
        <w:tc>
          <w:tcPr>
            <w:tcW w:w="75" w:type="dxa"/>
            <w:tcBorders>
              <w:top w:val="nil"/>
              <w:left w:val="nil"/>
              <w:bottom w:val="nil"/>
              <w:right w:val="nil"/>
            </w:tcBorders>
            <w:tcMar>
              <w:top w:w="0" w:type="dxa"/>
              <w:left w:w="0" w:type="dxa"/>
              <w:bottom w:w="0" w:type="dxa"/>
              <w:right w:w="0" w:type="dxa"/>
            </w:tcMar>
            <w:vAlign w:val="bottom"/>
          </w:tcPr>
          <w:p w:rsidR="00181083" w:rsidRDefault="00181083">
            <w:pPr>
              <w:keepNext/>
            </w:pPr>
          </w:p>
        </w:tc>
        <w:tc>
          <w:tcPr>
            <w:tcW w:w="1055" w:type="dxa"/>
            <w:gridSpan w:val="2"/>
            <w:tcBorders>
              <w:top w:val="nil"/>
              <w:left w:val="nil"/>
              <w:bottom w:val="nil"/>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3,167 </w:t>
            </w:r>
          </w:p>
        </w:tc>
        <w:tc>
          <w:tcPr>
            <w:tcW w:w="100" w:type="dxa"/>
            <w:tcBorders>
              <w:top w:val="nil"/>
              <w:left w:val="nil"/>
              <w:bottom w:val="nil"/>
              <w:right w:val="nil"/>
            </w:tcBorders>
            <w:tcMar>
              <w:top w:w="0" w:type="dxa"/>
              <w:left w:w="0" w:type="dxa"/>
              <w:bottom w:w="0" w:type="dxa"/>
              <w:right w:w="15" w:type="dxa"/>
            </w:tcMar>
            <w:vAlign w:val="bottom"/>
          </w:tcPr>
          <w:p w:rsidR="00181083" w:rsidRDefault="00181083">
            <w:pPr>
              <w:keepNext/>
              <w:spacing w:before="53" w:after="30"/>
              <w:jc w:val="right"/>
            </w:pPr>
          </w:p>
        </w:tc>
        <w:tc>
          <w:tcPr>
            <w:tcW w:w="75" w:type="dxa"/>
            <w:tcBorders>
              <w:top w:val="nil"/>
              <w:left w:val="nil"/>
              <w:bottom w:val="nil"/>
              <w:right w:val="nil"/>
            </w:tcBorders>
            <w:tcMar>
              <w:top w:w="0" w:type="dxa"/>
              <w:left w:w="0" w:type="dxa"/>
              <w:bottom w:w="0" w:type="dxa"/>
              <w:right w:w="0" w:type="dxa"/>
            </w:tcMar>
            <w:vAlign w:val="bottom"/>
          </w:tcPr>
          <w:p w:rsidR="00181083" w:rsidRDefault="00181083">
            <w:pPr>
              <w:keepNext/>
            </w:pPr>
          </w:p>
        </w:tc>
      </w:tr>
      <w:tr w:rsidR="00181083">
        <w:trPr>
          <w:cantSplit/>
          <w:trHeight w:hRule="exact" w:val="285"/>
          <w:jc w:val="center"/>
        </w:trPr>
        <w:tc>
          <w:tcPr>
            <w:tcW w:w="5865" w:type="dxa"/>
            <w:tcBorders>
              <w:top w:val="nil"/>
              <w:left w:val="nil"/>
              <w:bottom w:val="single" w:sz="8" w:space="0" w:color="000000"/>
              <w:right w:val="nil"/>
            </w:tcBorders>
            <w:tcMar>
              <w:top w:w="0" w:type="dxa"/>
              <w:left w:w="53" w:type="dxa"/>
              <w:bottom w:w="0" w:type="dxa"/>
              <w:right w:w="53" w:type="dxa"/>
            </w:tcMar>
            <w:vAlign w:val="bottom"/>
          </w:tcPr>
          <w:p w:rsidR="00181083" w:rsidRDefault="0010173D">
            <w:pPr>
              <w:keepNext/>
              <w:spacing w:before="53" w:after="30"/>
              <w:ind w:left="225"/>
            </w:pPr>
            <w:r>
              <w:rPr>
                <w:rFonts w:ascii="Arial" w:eastAsia="Arial" w:hAnsi="Arial" w:cs="Arial"/>
                <w:color w:val="000000"/>
                <w:sz w:val="18"/>
              </w:rPr>
              <w:t>Impairment of assets</w:t>
            </w:r>
          </w:p>
        </w:tc>
        <w:tc>
          <w:tcPr>
            <w:tcW w:w="1100" w:type="dxa"/>
            <w:gridSpan w:val="2"/>
            <w:tcBorders>
              <w:top w:val="nil"/>
              <w:left w:val="nil"/>
              <w:bottom w:val="single" w:sz="8" w:space="0" w:color="000000"/>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181083" w:rsidRDefault="00181083">
            <w:pPr>
              <w:keepNext/>
              <w:spacing w:before="53" w:after="30"/>
              <w:jc w:val="right"/>
            </w:pPr>
          </w:p>
        </w:tc>
        <w:tc>
          <w:tcPr>
            <w:tcW w:w="75" w:type="dxa"/>
            <w:tcBorders>
              <w:top w:val="nil"/>
              <w:left w:val="nil"/>
              <w:bottom w:val="single" w:sz="8" w:space="0" w:color="000000"/>
              <w:right w:val="nil"/>
            </w:tcBorders>
            <w:tcMar>
              <w:top w:w="0" w:type="dxa"/>
              <w:left w:w="0" w:type="dxa"/>
              <w:bottom w:w="0" w:type="dxa"/>
              <w:right w:w="0" w:type="dxa"/>
            </w:tcMar>
            <w:vAlign w:val="bottom"/>
          </w:tcPr>
          <w:p w:rsidR="00181083" w:rsidRDefault="00181083">
            <w:pPr>
              <w:keepNext/>
            </w:pPr>
          </w:p>
        </w:tc>
        <w:tc>
          <w:tcPr>
            <w:tcW w:w="1115" w:type="dxa"/>
            <w:gridSpan w:val="2"/>
            <w:tcBorders>
              <w:top w:val="nil"/>
              <w:left w:val="nil"/>
              <w:bottom w:val="single" w:sz="8" w:space="0" w:color="000000"/>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181083" w:rsidRDefault="00181083">
            <w:pPr>
              <w:keepNext/>
              <w:spacing w:before="53" w:after="30"/>
              <w:jc w:val="right"/>
            </w:pPr>
          </w:p>
        </w:tc>
        <w:tc>
          <w:tcPr>
            <w:tcW w:w="75" w:type="dxa"/>
            <w:tcBorders>
              <w:top w:val="nil"/>
              <w:left w:val="nil"/>
              <w:bottom w:val="single" w:sz="8" w:space="0" w:color="000000"/>
              <w:right w:val="nil"/>
            </w:tcBorders>
            <w:tcMar>
              <w:top w:w="0" w:type="dxa"/>
              <w:left w:w="0" w:type="dxa"/>
              <w:bottom w:w="0" w:type="dxa"/>
              <w:right w:w="0" w:type="dxa"/>
            </w:tcMar>
            <w:vAlign w:val="bottom"/>
          </w:tcPr>
          <w:p w:rsidR="00181083" w:rsidRDefault="00181083">
            <w:pPr>
              <w:keepNext/>
            </w:pPr>
          </w:p>
        </w:tc>
        <w:tc>
          <w:tcPr>
            <w:tcW w:w="1055" w:type="dxa"/>
            <w:gridSpan w:val="2"/>
            <w:tcBorders>
              <w:top w:val="nil"/>
              <w:left w:val="nil"/>
              <w:bottom w:val="single" w:sz="8" w:space="0" w:color="000000"/>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6,709 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181083" w:rsidRDefault="00181083">
            <w:pPr>
              <w:keepNext/>
              <w:spacing w:before="53" w:after="30"/>
              <w:jc w:val="right"/>
            </w:pPr>
          </w:p>
        </w:tc>
        <w:tc>
          <w:tcPr>
            <w:tcW w:w="75" w:type="dxa"/>
            <w:tcBorders>
              <w:top w:val="nil"/>
              <w:left w:val="nil"/>
              <w:bottom w:val="single" w:sz="8" w:space="0" w:color="000000"/>
              <w:right w:val="nil"/>
            </w:tcBorders>
            <w:tcMar>
              <w:top w:w="0" w:type="dxa"/>
              <w:left w:w="0" w:type="dxa"/>
              <w:bottom w:w="0" w:type="dxa"/>
              <w:right w:w="0" w:type="dxa"/>
            </w:tcMar>
            <w:vAlign w:val="bottom"/>
          </w:tcPr>
          <w:p w:rsidR="00181083" w:rsidRDefault="00181083">
            <w:pPr>
              <w:keepNext/>
            </w:pPr>
          </w:p>
        </w:tc>
      </w:tr>
      <w:tr w:rsidR="00181083">
        <w:trPr>
          <w:cantSplit/>
          <w:trHeight w:hRule="exact" w:val="285"/>
          <w:jc w:val="center"/>
        </w:trPr>
        <w:tc>
          <w:tcPr>
            <w:tcW w:w="5865" w:type="dxa"/>
            <w:tcBorders>
              <w:top w:val="single" w:sz="8" w:space="0" w:color="000000"/>
              <w:left w:val="nil"/>
              <w:bottom w:val="nil"/>
              <w:right w:val="nil"/>
            </w:tcBorders>
            <w:tcMar>
              <w:top w:w="0" w:type="dxa"/>
              <w:left w:w="53" w:type="dxa"/>
              <w:bottom w:w="0" w:type="dxa"/>
              <w:right w:w="53" w:type="dxa"/>
            </w:tcMar>
            <w:vAlign w:val="bottom"/>
          </w:tcPr>
          <w:p w:rsidR="00181083" w:rsidRDefault="0010173D">
            <w:pPr>
              <w:keepNext/>
              <w:spacing w:before="33" w:after="30"/>
            </w:pPr>
            <w:r>
              <w:rPr>
                <w:rFonts w:ascii="Arial" w:eastAsia="Arial" w:hAnsi="Arial" w:cs="Arial"/>
                <w:color w:val="000000"/>
                <w:sz w:val="18"/>
              </w:rPr>
              <w:t>OPERATING INCOME (LOSS)</w:t>
            </w:r>
          </w:p>
        </w:tc>
        <w:tc>
          <w:tcPr>
            <w:tcW w:w="1100" w:type="dxa"/>
            <w:gridSpan w:val="2"/>
            <w:tcBorders>
              <w:top w:val="single" w:sz="8" w:space="0" w:color="000000"/>
              <w:left w:val="nil"/>
              <w:bottom w:val="nil"/>
              <w:right w:val="nil"/>
            </w:tcBorders>
            <w:tcMar>
              <w:top w:w="0" w:type="dxa"/>
              <w:left w:w="53" w:type="dxa"/>
              <w:bottom w:w="0" w:type="dxa"/>
              <w:right w:w="0" w:type="dxa"/>
            </w:tcMar>
            <w:vAlign w:val="bottom"/>
          </w:tcPr>
          <w:p w:rsidR="00181083" w:rsidRDefault="0010173D">
            <w:pPr>
              <w:keepNext/>
              <w:spacing w:before="33" w:after="30"/>
              <w:jc w:val="right"/>
            </w:pPr>
            <w:r>
              <w:rPr>
                <w:rFonts w:ascii="Arial" w:eastAsia="Arial" w:hAnsi="Arial" w:cs="Arial"/>
                <w:color w:val="000000"/>
                <w:sz w:val="18"/>
              </w:rPr>
              <w:t>(2,919)</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181083" w:rsidRDefault="00181083">
            <w:pPr>
              <w:keepNext/>
              <w:spacing w:before="33" w:after="30"/>
              <w:jc w:val="right"/>
            </w:pPr>
          </w:p>
        </w:tc>
        <w:tc>
          <w:tcPr>
            <w:tcW w:w="75" w:type="dxa"/>
            <w:tcBorders>
              <w:top w:val="single" w:sz="8" w:space="0" w:color="000000"/>
              <w:left w:val="nil"/>
              <w:bottom w:val="nil"/>
              <w:right w:val="nil"/>
            </w:tcBorders>
            <w:tcMar>
              <w:top w:w="0" w:type="dxa"/>
              <w:left w:w="0" w:type="dxa"/>
              <w:bottom w:w="0" w:type="dxa"/>
              <w:right w:w="0" w:type="dxa"/>
            </w:tcMar>
            <w:vAlign w:val="bottom"/>
          </w:tcPr>
          <w:p w:rsidR="00181083" w:rsidRDefault="00181083">
            <w:pPr>
              <w:keepNext/>
            </w:pPr>
          </w:p>
        </w:tc>
        <w:tc>
          <w:tcPr>
            <w:tcW w:w="1115" w:type="dxa"/>
            <w:gridSpan w:val="2"/>
            <w:tcBorders>
              <w:top w:val="single" w:sz="8" w:space="0" w:color="000000"/>
              <w:left w:val="nil"/>
              <w:bottom w:val="nil"/>
              <w:right w:val="nil"/>
            </w:tcBorders>
            <w:tcMar>
              <w:top w:w="0" w:type="dxa"/>
              <w:left w:w="53" w:type="dxa"/>
              <w:bottom w:w="0" w:type="dxa"/>
              <w:right w:w="0" w:type="dxa"/>
            </w:tcMar>
            <w:vAlign w:val="bottom"/>
          </w:tcPr>
          <w:p w:rsidR="00181083" w:rsidRDefault="0010173D">
            <w:pPr>
              <w:keepNext/>
              <w:spacing w:before="33" w:after="30"/>
              <w:jc w:val="right"/>
            </w:pPr>
            <w:r>
              <w:rPr>
                <w:rFonts w:ascii="Arial" w:eastAsia="Arial" w:hAnsi="Arial" w:cs="Arial"/>
                <w:color w:val="000000"/>
                <w:sz w:val="18"/>
              </w:rPr>
              <w:t>21,349 </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181083" w:rsidRDefault="00181083">
            <w:pPr>
              <w:keepNext/>
              <w:spacing w:before="33" w:after="30"/>
              <w:jc w:val="right"/>
            </w:pPr>
          </w:p>
        </w:tc>
        <w:tc>
          <w:tcPr>
            <w:tcW w:w="75" w:type="dxa"/>
            <w:tcBorders>
              <w:top w:val="single" w:sz="8" w:space="0" w:color="000000"/>
              <w:left w:val="nil"/>
              <w:bottom w:val="nil"/>
              <w:right w:val="nil"/>
            </w:tcBorders>
            <w:tcMar>
              <w:top w:w="0" w:type="dxa"/>
              <w:left w:w="0" w:type="dxa"/>
              <w:bottom w:w="0" w:type="dxa"/>
              <w:right w:w="0" w:type="dxa"/>
            </w:tcMar>
            <w:vAlign w:val="bottom"/>
          </w:tcPr>
          <w:p w:rsidR="00181083" w:rsidRDefault="00181083">
            <w:pPr>
              <w:keepNext/>
            </w:pPr>
          </w:p>
        </w:tc>
        <w:tc>
          <w:tcPr>
            <w:tcW w:w="1055" w:type="dxa"/>
            <w:gridSpan w:val="2"/>
            <w:tcBorders>
              <w:top w:val="single" w:sz="8" w:space="0" w:color="000000"/>
              <w:left w:val="nil"/>
              <w:bottom w:val="nil"/>
              <w:right w:val="nil"/>
            </w:tcBorders>
            <w:tcMar>
              <w:top w:w="0" w:type="dxa"/>
              <w:left w:w="53" w:type="dxa"/>
              <w:bottom w:w="0" w:type="dxa"/>
              <w:right w:w="0" w:type="dxa"/>
            </w:tcMar>
            <w:vAlign w:val="bottom"/>
          </w:tcPr>
          <w:p w:rsidR="00181083" w:rsidRDefault="0010173D">
            <w:pPr>
              <w:keepNext/>
              <w:spacing w:before="33" w:after="30"/>
              <w:jc w:val="right"/>
            </w:pPr>
            <w:r>
              <w:rPr>
                <w:rFonts w:ascii="Arial" w:eastAsia="Arial" w:hAnsi="Arial" w:cs="Arial"/>
                <w:color w:val="000000"/>
                <w:sz w:val="18"/>
              </w:rPr>
              <w:t>(15,816)</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181083" w:rsidRDefault="00181083">
            <w:pPr>
              <w:keepNext/>
              <w:spacing w:before="33" w:after="30"/>
              <w:jc w:val="right"/>
            </w:pPr>
          </w:p>
        </w:tc>
        <w:tc>
          <w:tcPr>
            <w:tcW w:w="75" w:type="dxa"/>
            <w:tcBorders>
              <w:top w:val="single" w:sz="8" w:space="0" w:color="000000"/>
              <w:left w:val="nil"/>
              <w:bottom w:val="nil"/>
              <w:right w:val="nil"/>
            </w:tcBorders>
            <w:tcMar>
              <w:top w:w="0" w:type="dxa"/>
              <w:left w:w="0" w:type="dxa"/>
              <w:bottom w:w="0" w:type="dxa"/>
              <w:right w:w="0" w:type="dxa"/>
            </w:tcMar>
            <w:vAlign w:val="bottom"/>
          </w:tcPr>
          <w:p w:rsidR="00181083" w:rsidRDefault="00181083">
            <w:pPr>
              <w:keepNext/>
            </w:pPr>
          </w:p>
        </w:tc>
      </w:tr>
      <w:tr w:rsidR="00181083">
        <w:trPr>
          <w:cantSplit/>
          <w:trHeight w:hRule="exact" w:val="285"/>
          <w:jc w:val="center"/>
        </w:trPr>
        <w:tc>
          <w:tcPr>
            <w:tcW w:w="5865" w:type="dxa"/>
            <w:tcBorders>
              <w:top w:val="nil"/>
              <w:left w:val="nil"/>
              <w:bottom w:val="nil"/>
              <w:right w:val="nil"/>
            </w:tcBorders>
            <w:tcMar>
              <w:top w:w="0" w:type="dxa"/>
              <w:left w:w="53" w:type="dxa"/>
              <w:bottom w:w="0" w:type="dxa"/>
              <w:right w:w="53" w:type="dxa"/>
            </w:tcMar>
            <w:vAlign w:val="bottom"/>
          </w:tcPr>
          <w:p w:rsidR="00181083" w:rsidRDefault="0010173D">
            <w:pPr>
              <w:keepNext/>
              <w:spacing w:before="53" w:after="30"/>
              <w:ind w:left="225"/>
            </w:pPr>
            <w:r>
              <w:rPr>
                <w:rFonts w:ascii="Arial" w:eastAsia="Arial" w:hAnsi="Arial" w:cs="Arial"/>
                <w:color w:val="000000"/>
                <w:sz w:val="18"/>
              </w:rPr>
              <w:t>Interest expense</w:t>
            </w:r>
          </w:p>
        </w:tc>
        <w:tc>
          <w:tcPr>
            <w:tcW w:w="1100" w:type="dxa"/>
            <w:gridSpan w:val="2"/>
            <w:tcBorders>
              <w:top w:val="nil"/>
              <w:left w:val="nil"/>
              <w:bottom w:val="nil"/>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5,803 </w:t>
            </w:r>
          </w:p>
        </w:tc>
        <w:tc>
          <w:tcPr>
            <w:tcW w:w="100" w:type="dxa"/>
            <w:tcBorders>
              <w:top w:val="nil"/>
              <w:left w:val="nil"/>
              <w:bottom w:val="nil"/>
              <w:right w:val="nil"/>
            </w:tcBorders>
            <w:tcMar>
              <w:top w:w="0" w:type="dxa"/>
              <w:left w:w="0" w:type="dxa"/>
              <w:bottom w:w="0" w:type="dxa"/>
              <w:right w:w="15" w:type="dxa"/>
            </w:tcMar>
            <w:vAlign w:val="bottom"/>
          </w:tcPr>
          <w:p w:rsidR="00181083" w:rsidRDefault="00181083">
            <w:pPr>
              <w:keepNext/>
              <w:spacing w:before="53" w:after="30"/>
              <w:jc w:val="right"/>
            </w:pPr>
          </w:p>
        </w:tc>
        <w:tc>
          <w:tcPr>
            <w:tcW w:w="75" w:type="dxa"/>
            <w:tcBorders>
              <w:top w:val="nil"/>
              <w:left w:val="nil"/>
              <w:bottom w:val="nil"/>
              <w:right w:val="nil"/>
            </w:tcBorders>
            <w:tcMar>
              <w:top w:w="0" w:type="dxa"/>
              <w:left w:w="0" w:type="dxa"/>
              <w:bottom w:w="0" w:type="dxa"/>
              <w:right w:w="0" w:type="dxa"/>
            </w:tcMar>
            <w:vAlign w:val="bottom"/>
          </w:tcPr>
          <w:p w:rsidR="00181083" w:rsidRDefault="00181083">
            <w:pPr>
              <w:keepNext/>
            </w:pPr>
          </w:p>
        </w:tc>
        <w:tc>
          <w:tcPr>
            <w:tcW w:w="1115" w:type="dxa"/>
            <w:gridSpan w:val="2"/>
            <w:tcBorders>
              <w:top w:val="nil"/>
              <w:left w:val="nil"/>
              <w:bottom w:val="nil"/>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6,444 </w:t>
            </w:r>
          </w:p>
        </w:tc>
        <w:tc>
          <w:tcPr>
            <w:tcW w:w="100" w:type="dxa"/>
            <w:tcBorders>
              <w:top w:val="nil"/>
              <w:left w:val="nil"/>
              <w:bottom w:val="nil"/>
              <w:right w:val="nil"/>
            </w:tcBorders>
            <w:tcMar>
              <w:top w:w="0" w:type="dxa"/>
              <w:left w:w="0" w:type="dxa"/>
              <w:bottom w:w="0" w:type="dxa"/>
              <w:right w:w="15" w:type="dxa"/>
            </w:tcMar>
            <w:vAlign w:val="bottom"/>
          </w:tcPr>
          <w:p w:rsidR="00181083" w:rsidRDefault="00181083">
            <w:pPr>
              <w:keepNext/>
              <w:spacing w:before="53" w:after="30"/>
              <w:jc w:val="right"/>
            </w:pPr>
          </w:p>
        </w:tc>
        <w:tc>
          <w:tcPr>
            <w:tcW w:w="75" w:type="dxa"/>
            <w:tcBorders>
              <w:top w:val="nil"/>
              <w:left w:val="nil"/>
              <w:bottom w:val="nil"/>
              <w:right w:val="nil"/>
            </w:tcBorders>
            <w:tcMar>
              <w:top w:w="0" w:type="dxa"/>
              <w:left w:w="0" w:type="dxa"/>
              <w:bottom w:w="0" w:type="dxa"/>
              <w:right w:w="0" w:type="dxa"/>
            </w:tcMar>
            <w:vAlign w:val="bottom"/>
          </w:tcPr>
          <w:p w:rsidR="00181083" w:rsidRDefault="00181083">
            <w:pPr>
              <w:keepNext/>
            </w:pPr>
          </w:p>
        </w:tc>
        <w:tc>
          <w:tcPr>
            <w:tcW w:w="1055" w:type="dxa"/>
            <w:gridSpan w:val="2"/>
            <w:tcBorders>
              <w:top w:val="nil"/>
              <w:left w:val="nil"/>
              <w:bottom w:val="nil"/>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6,491 </w:t>
            </w:r>
          </w:p>
        </w:tc>
        <w:tc>
          <w:tcPr>
            <w:tcW w:w="100" w:type="dxa"/>
            <w:tcBorders>
              <w:top w:val="nil"/>
              <w:left w:val="nil"/>
              <w:bottom w:val="nil"/>
              <w:right w:val="nil"/>
            </w:tcBorders>
            <w:tcMar>
              <w:top w:w="0" w:type="dxa"/>
              <w:left w:w="0" w:type="dxa"/>
              <w:bottom w:w="0" w:type="dxa"/>
              <w:right w:w="15" w:type="dxa"/>
            </w:tcMar>
            <w:vAlign w:val="bottom"/>
          </w:tcPr>
          <w:p w:rsidR="00181083" w:rsidRDefault="00181083">
            <w:pPr>
              <w:keepNext/>
              <w:spacing w:before="53" w:after="30"/>
              <w:jc w:val="right"/>
            </w:pPr>
          </w:p>
        </w:tc>
        <w:tc>
          <w:tcPr>
            <w:tcW w:w="75" w:type="dxa"/>
            <w:tcBorders>
              <w:top w:val="nil"/>
              <w:left w:val="nil"/>
              <w:bottom w:val="nil"/>
              <w:right w:val="nil"/>
            </w:tcBorders>
            <w:tcMar>
              <w:top w:w="0" w:type="dxa"/>
              <w:left w:w="0" w:type="dxa"/>
              <w:bottom w:w="0" w:type="dxa"/>
              <w:right w:w="0" w:type="dxa"/>
            </w:tcMar>
            <w:vAlign w:val="bottom"/>
          </w:tcPr>
          <w:p w:rsidR="00181083" w:rsidRDefault="00181083">
            <w:pPr>
              <w:keepNext/>
            </w:pPr>
          </w:p>
        </w:tc>
      </w:tr>
      <w:tr w:rsidR="00181083">
        <w:trPr>
          <w:cantSplit/>
          <w:trHeight w:hRule="exact" w:val="285"/>
          <w:jc w:val="center"/>
        </w:trPr>
        <w:tc>
          <w:tcPr>
            <w:tcW w:w="5865" w:type="dxa"/>
            <w:tcBorders>
              <w:top w:val="nil"/>
              <w:left w:val="nil"/>
              <w:bottom w:val="nil"/>
              <w:right w:val="nil"/>
            </w:tcBorders>
            <w:tcMar>
              <w:top w:w="0" w:type="dxa"/>
              <w:left w:w="53" w:type="dxa"/>
              <w:bottom w:w="0" w:type="dxa"/>
              <w:right w:w="53" w:type="dxa"/>
            </w:tcMar>
            <w:vAlign w:val="bottom"/>
          </w:tcPr>
          <w:p w:rsidR="00181083" w:rsidRDefault="0010173D">
            <w:pPr>
              <w:keepNext/>
              <w:spacing w:before="53" w:after="30"/>
              <w:ind w:left="225"/>
            </w:pPr>
            <w:r>
              <w:rPr>
                <w:rFonts w:ascii="Arial" w:eastAsia="Arial" w:hAnsi="Arial" w:cs="Arial"/>
                <w:color w:val="000000"/>
                <w:sz w:val="18"/>
              </w:rPr>
              <w:t>Other (income) expense, net</w:t>
            </w:r>
          </w:p>
        </w:tc>
        <w:tc>
          <w:tcPr>
            <w:tcW w:w="1100" w:type="dxa"/>
            <w:gridSpan w:val="2"/>
            <w:tcBorders>
              <w:top w:val="nil"/>
              <w:left w:val="nil"/>
              <w:bottom w:val="nil"/>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678 </w:t>
            </w:r>
          </w:p>
        </w:tc>
        <w:tc>
          <w:tcPr>
            <w:tcW w:w="100" w:type="dxa"/>
            <w:tcBorders>
              <w:top w:val="nil"/>
              <w:left w:val="nil"/>
              <w:bottom w:val="nil"/>
              <w:right w:val="nil"/>
            </w:tcBorders>
            <w:tcMar>
              <w:top w:w="0" w:type="dxa"/>
              <w:left w:w="0" w:type="dxa"/>
              <w:bottom w:w="0" w:type="dxa"/>
              <w:right w:w="15" w:type="dxa"/>
            </w:tcMar>
            <w:vAlign w:val="bottom"/>
          </w:tcPr>
          <w:p w:rsidR="00181083" w:rsidRDefault="00181083">
            <w:pPr>
              <w:keepNext/>
              <w:spacing w:before="53" w:after="30"/>
              <w:jc w:val="right"/>
            </w:pPr>
          </w:p>
        </w:tc>
        <w:tc>
          <w:tcPr>
            <w:tcW w:w="75" w:type="dxa"/>
            <w:tcBorders>
              <w:top w:val="nil"/>
              <w:left w:val="nil"/>
              <w:bottom w:val="nil"/>
              <w:right w:val="nil"/>
            </w:tcBorders>
            <w:tcMar>
              <w:top w:w="0" w:type="dxa"/>
              <w:left w:w="0" w:type="dxa"/>
              <w:bottom w:w="0" w:type="dxa"/>
              <w:right w:w="0" w:type="dxa"/>
            </w:tcMar>
            <w:vAlign w:val="bottom"/>
          </w:tcPr>
          <w:p w:rsidR="00181083" w:rsidRDefault="00181083">
            <w:pPr>
              <w:keepNext/>
            </w:pPr>
          </w:p>
        </w:tc>
        <w:tc>
          <w:tcPr>
            <w:tcW w:w="1115" w:type="dxa"/>
            <w:gridSpan w:val="2"/>
            <w:tcBorders>
              <w:top w:val="nil"/>
              <w:left w:val="nil"/>
              <w:bottom w:val="nil"/>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(57)</w:t>
            </w:r>
          </w:p>
        </w:tc>
        <w:tc>
          <w:tcPr>
            <w:tcW w:w="100" w:type="dxa"/>
            <w:tcBorders>
              <w:top w:val="nil"/>
              <w:left w:val="nil"/>
              <w:bottom w:val="nil"/>
              <w:right w:val="nil"/>
            </w:tcBorders>
            <w:tcMar>
              <w:top w:w="0" w:type="dxa"/>
              <w:left w:w="0" w:type="dxa"/>
              <w:bottom w:w="0" w:type="dxa"/>
              <w:right w:w="15" w:type="dxa"/>
            </w:tcMar>
            <w:vAlign w:val="bottom"/>
          </w:tcPr>
          <w:p w:rsidR="00181083" w:rsidRDefault="00181083">
            <w:pPr>
              <w:keepNext/>
              <w:spacing w:before="53" w:after="30"/>
              <w:jc w:val="right"/>
            </w:pPr>
          </w:p>
        </w:tc>
        <w:tc>
          <w:tcPr>
            <w:tcW w:w="75" w:type="dxa"/>
            <w:tcBorders>
              <w:top w:val="nil"/>
              <w:left w:val="nil"/>
              <w:bottom w:val="nil"/>
              <w:right w:val="nil"/>
            </w:tcBorders>
            <w:tcMar>
              <w:top w:w="0" w:type="dxa"/>
              <w:left w:w="0" w:type="dxa"/>
              <w:bottom w:w="0" w:type="dxa"/>
              <w:right w:w="0" w:type="dxa"/>
            </w:tcMar>
            <w:vAlign w:val="bottom"/>
          </w:tcPr>
          <w:p w:rsidR="00181083" w:rsidRDefault="00181083">
            <w:pPr>
              <w:keepNext/>
            </w:pPr>
          </w:p>
        </w:tc>
        <w:tc>
          <w:tcPr>
            <w:tcW w:w="1055" w:type="dxa"/>
            <w:gridSpan w:val="2"/>
            <w:tcBorders>
              <w:top w:val="nil"/>
              <w:left w:val="nil"/>
              <w:bottom w:val="nil"/>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3 </w:t>
            </w:r>
          </w:p>
        </w:tc>
        <w:tc>
          <w:tcPr>
            <w:tcW w:w="100" w:type="dxa"/>
            <w:tcBorders>
              <w:top w:val="nil"/>
              <w:left w:val="nil"/>
              <w:bottom w:val="nil"/>
              <w:right w:val="nil"/>
            </w:tcBorders>
            <w:tcMar>
              <w:top w:w="0" w:type="dxa"/>
              <w:left w:w="0" w:type="dxa"/>
              <w:bottom w:w="0" w:type="dxa"/>
              <w:right w:w="15" w:type="dxa"/>
            </w:tcMar>
            <w:vAlign w:val="bottom"/>
          </w:tcPr>
          <w:p w:rsidR="00181083" w:rsidRDefault="00181083">
            <w:pPr>
              <w:keepNext/>
              <w:spacing w:before="53" w:after="30"/>
              <w:jc w:val="right"/>
            </w:pPr>
          </w:p>
        </w:tc>
        <w:tc>
          <w:tcPr>
            <w:tcW w:w="75" w:type="dxa"/>
            <w:tcBorders>
              <w:top w:val="nil"/>
              <w:left w:val="nil"/>
              <w:bottom w:val="nil"/>
              <w:right w:val="nil"/>
            </w:tcBorders>
            <w:tcMar>
              <w:top w:w="0" w:type="dxa"/>
              <w:left w:w="0" w:type="dxa"/>
              <w:bottom w:w="0" w:type="dxa"/>
              <w:right w:w="0" w:type="dxa"/>
            </w:tcMar>
            <w:vAlign w:val="bottom"/>
          </w:tcPr>
          <w:p w:rsidR="00181083" w:rsidRDefault="00181083">
            <w:pPr>
              <w:keepNext/>
            </w:pPr>
          </w:p>
        </w:tc>
      </w:tr>
      <w:tr w:rsidR="00181083">
        <w:trPr>
          <w:cantSplit/>
          <w:trHeight w:hRule="exact" w:val="255"/>
          <w:jc w:val="center"/>
        </w:trPr>
        <w:tc>
          <w:tcPr>
            <w:tcW w:w="5865" w:type="dxa"/>
            <w:tcBorders>
              <w:top w:val="nil"/>
              <w:left w:val="nil"/>
              <w:bottom w:val="nil"/>
              <w:right w:val="nil"/>
            </w:tcBorders>
            <w:tcMar>
              <w:top w:w="0" w:type="dxa"/>
              <w:left w:w="53" w:type="dxa"/>
              <w:bottom w:w="0" w:type="dxa"/>
              <w:right w:w="53" w:type="dxa"/>
            </w:tcMar>
            <w:vAlign w:val="bottom"/>
          </w:tcPr>
          <w:p w:rsidR="00181083" w:rsidRDefault="0010173D">
            <w:pPr>
              <w:keepNext/>
              <w:spacing w:before="53" w:after="30"/>
            </w:pPr>
            <w:r>
              <w:rPr>
                <w:rFonts w:ascii="Arial" w:eastAsia="Arial" w:hAnsi="Arial" w:cs="Arial"/>
                <w:color w:val="000000"/>
                <w:sz w:val="18"/>
              </w:rPr>
              <w:t xml:space="preserve">Income </w:t>
            </w:r>
            <w:r>
              <w:rPr>
                <w:rFonts w:ascii="Arial" w:eastAsia="Arial" w:hAnsi="Arial" w:cs="Arial"/>
                <w:color w:val="000000"/>
                <w:sz w:val="18"/>
              </w:rPr>
              <w:t>(loss) from continuing operations before taxes</w:t>
            </w:r>
          </w:p>
        </w:tc>
        <w:tc>
          <w:tcPr>
            <w:tcW w:w="1100" w:type="dxa"/>
            <w:gridSpan w:val="2"/>
            <w:tcBorders>
              <w:top w:val="nil"/>
              <w:left w:val="nil"/>
              <w:bottom w:val="nil"/>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(9,400)</w:t>
            </w:r>
          </w:p>
        </w:tc>
        <w:tc>
          <w:tcPr>
            <w:tcW w:w="100" w:type="dxa"/>
            <w:tcBorders>
              <w:top w:val="nil"/>
              <w:left w:val="nil"/>
              <w:bottom w:val="nil"/>
              <w:right w:val="nil"/>
            </w:tcBorders>
            <w:tcMar>
              <w:top w:w="0" w:type="dxa"/>
              <w:left w:w="0" w:type="dxa"/>
              <w:bottom w:w="0" w:type="dxa"/>
              <w:right w:w="15" w:type="dxa"/>
            </w:tcMar>
            <w:vAlign w:val="bottom"/>
          </w:tcPr>
          <w:p w:rsidR="00181083" w:rsidRDefault="00181083">
            <w:pPr>
              <w:keepNext/>
              <w:spacing w:before="53" w:after="30"/>
              <w:jc w:val="right"/>
            </w:pPr>
          </w:p>
        </w:tc>
        <w:tc>
          <w:tcPr>
            <w:tcW w:w="75" w:type="dxa"/>
            <w:tcBorders>
              <w:top w:val="nil"/>
              <w:left w:val="nil"/>
              <w:bottom w:val="nil"/>
              <w:right w:val="nil"/>
            </w:tcBorders>
            <w:tcMar>
              <w:top w:w="0" w:type="dxa"/>
              <w:left w:w="0" w:type="dxa"/>
              <w:bottom w:w="0" w:type="dxa"/>
              <w:right w:w="0" w:type="dxa"/>
            </w:tcMar>
            <w:vAlign w:val="bottom"/>
          </w:tcPr>
          <w:p w:rsidR="00181083" w:rsidRDefault="00181083">
            <w:pPr>
              <w:keepNext/>
            </w:pPr>
          </w:p>
        </w:tc>
        <w:tc>
          <w:tcPr>
            <w:tcW w:w="1115" w:type="dxa"/>
            <w:gridSpan w:val="2"/>
            <w:tcBorders>
              <w:top w:val="nil"/>
              <w:left w:val="nil"/>
              <w:bottom w:val="nil"/>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14,962 </w:t>
            </w:r>
          </w:p>
        </w:tc>
        <w:tc>
          <w:tcPr>
            <w:tcW w:w="100" w:type="dxa"/>
            <w:tcBorders>
              <w:top w:val="nil"/>
              <w:left w:val="nil"/>
              <w:bottom w:val="nil"/>
              <w:right w:val="nil"/>
            </w:tcBorders>
            <w:tcMar>
              <w:top w:w="0" w:type="dxa"/>
              <w:left w:w="0" w:type="dxa"/>
              <w:bottom w:w="0" w:type="dxa"/>
              <w:right w:w="15" w:type="dxa"/>
            </w:tcMar>
            <w:vAlign w:val="bottom"/>
          </w:tcPr>
          <w:p w:rsidR="00181083" w:rsidRDefault="00181083">
            <w:pPr>
              <w:keepNext/>
              <w:spacing w:before="53" w:after="30"/>
              <w:jc w:val="right"/>
            </w:pPr>
          </w:p>
        </w:tc>
        <w:tc>
          <w:tcPr>
            <w:tcW w:w="75" w:type="dxa"/>
            <w:tcBorders>
              <w:top w:val="nil"/>
              <w:left w:val="nil"/>
              <w:bottom w:val="nil"/>
              <w:right w:val="nil"/>
            </w:tcBorders>
            <w:tcMar>
              <w:top w:w="0" w:type="dxa"/>
              <w:left w:w="0" w:type="dxa"/>
              <w:bottom w:w="0" w:type="dxa"/>
              <w:right w:w="0" w:type="dxa"/>
            </w:tcMar>
            <w:vAlign w:val="bottom"/>
          </w:tcPr>
          <w:p w:rsidR="00181083" w:rsidRDefault="00181083">
            <w:pPr>
              <w:keepNext/>
            </w:pPr>
          </w:p>
        </w:tc>
        <w:tc>
          <w:tcPr>
            <w:tcW w:w="1055" w:type="dxa"/>
            <w:gridSpan w:val="2"/>
            <w:tcBorders>
              <w:top w:val="nil"/>
              <w:left w:val="nil"/>
              <w:bottom w:val="nil"/>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(22,310)</w:t>
            </w:r>
          </w:p>
        </w:tc>
        <w:tc>
          <w:tcPr>
            <w:tcW w:w="100" w:type="dxa"/>
            <w:tcBorders>
              <w:top w:val="nil"/>
              <w:left w:val="nil"/>
              <w:bottom w:val="nil"/>
              <w:right w:val="nil"/>
            </w:tcBorders>
            <w:tcMar>
              <w:top w:w="0" w:type="dxa"/>
              <w:left w:w="0" w:type="dxa"/>
              <w:bottom w:w="0" w:type="dxa"/>
              <w:right w:w="15" w:type="dxa"/>
            </w:tcMar>
            <w:vAlign w:val="bottom"/>
          </w:tcPr>
          <w:p w:rsidR="00181083" w:rsidRDefault="00181083">
            <w:pPr>
              <w:keepNext/>
              <w:spacing w:before="53" w:after="30"/>
              <w:jc w:val="right"/>
            </w:pPr>
          </w:p>
        </w:tc>
        <w:tc>
          <w:tcPr>
            <w:tcW w:w="75" w:type="dxa"/>
            <w:tcBorders>
              <w:top w:val="nil"/>
              <w:left w:val="nil"/>
              <w:bottom w:val="nil"/>
              <w:right w:val="nil"/>
            </w:tcBorders>
            <w:tcMar>
              <w:top w:w="0" w:type="dxa"/>
              <w:left w:w="0" w:type="dxa"/>
              <w:bottom w:w="0" w:type="dxa"/>
              <w:right w:w="0" w:type="dxa"/>
            </w:tcMar>
            <w:vAlign w:val="bottom"/>
          </w:tcPr>
          <w:p w:rsidR="00181083" w:rsidRDefault="00181083">
            <w:pPr>
              <w:keepNext/>
            </w:pPr>
          </w:p>
        </w:tc>
      </w:tr>
      <w:tr w:rsidR="00181083">
        <w:trPr>
          <w:cantSplit/>
          <w:trHeight w:hRule="exact" w:val="285"/>
          <w:jc w:val="center"/>
        </w:trPr>
        <w:tc>
          <w:tcPr>
            <w:tcW w:w="5865" w:type="dxa"/>
            <w:tcBorders>
              <w:top w:val="nil"/>
              <w:left w:val="nil"/>
              <w:bottom w:val="single" w:sz="8" w:space="0" w:color="000000"/>
              <w:right w:val="nil"/>
            </w:tcBorders>
            <w:tcMar>
              <w:top w:w="0" w:type="dxa"/>
              <w:left w:w="53" w:type="dxa"/>
              <w:bottom w:w="0" w:type="dxa"/>
              <w:right w:w="53" w:type="dxa"/>
            </w:tcMar>
            <w:vAlign w:val="bottom"/>
          </w:tcPr>
          <w:p w:rsidR="00181083" w:rsidRDefault="0010173D">
            <w:pPr>
              <w:keepNext/>
              <w:spacing w:before="53" w:after="30"/>
              <w:ind w:left="225"/>
            </w:pPr>
            <w:r>
              <w:rPr>
                <w:rFonts w:ascii="Arial" w:eastAsia="Arial" w:hAnsi="Arial" w:cs="Arial"/>
                <w:color w:val="000000"/>
                <w:sz w:val="18"/>
              </w:rPr>
              <w:t>Income tax provision (benefit)</w:t>
            </w:r>
          </w:p>
        </w:tc>
        <w:tc>
          <w:tcPr>
            <w:tcW w:w="1100" w:type="dxa"/>
            <w:gridSpan w:val="2"/>
            <w:tcBorders>
              <w:top w:val="nil"/>
              <w:left w:val="nil"/>
              <w:bottom w:val="single" w:sz="8" w:space="0" w:color="000000"/>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(312)</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181083" w:rsidRDefault="00181083">
            <w:pPr>
              <w:keepNext/>
              <w:spacing w:before="53" w:after="30"/>
              <w:jc w:val="right"/>
            </w:pPr>
          </w:p>
        </w:tc>
        <w:tc>
          <w:tcPr>
            <w:tcW w:w="75" w:type="dxa"/>
            <w:tcBorders>
              <w:top w:val="nil"/>
              <w:left w:val="nil"/>
              <w:bottom w:val="single" w:sz="8" w:space="0" w:color="000000"/>
              <w:right w:val="nil"/>
            </w:tcBorders>
            <w:tcMar>
              <w:top w:w="0" w:type="dxa"/>
              <w:left w:w="0" w:type="dxa"/>
              <w:bottom w:w="0" w:type="dxa"/>
              <w:right w:w="0" w:type="dxa"/>
            </w:tcMar>
            <w:vAlign w:val="bottom"/>
          </w:tcPr>
          <w:p w:rsidR="00181083" w:rsidRDefault="00181083">
            <w:pPr>
              <w:keepNext/>
            </w:pPr>
          </w:p>
        </w:tc>
        <w:tc>
          <w:tcPr>
            <w:tcW w:w="1115" w:type="dxa"/>
            <w:gridSpan w:val="2"/>
            <w:tcBorders>
              <w:top w:val="nil"/>
              <w:left w:val="nil"/>
              <w:bottom w:val="single" w:sz="8" w:space="0" w:color="000000"/>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(657)</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181083" w:rsidRDefault="00181083">
            <w:pPr>
              <w:keepNext/>
              <w:spacing w:before="53" w:after="30"/>
              <w:jc w:val="right"/>
            </w:pPr>
          </w:p>
        </w:tc>
        <w:tc>
          <w:tcPr>
            <w:tcW w:w="75" w:type="dxa"/>
            <w:tcBorders>
              <w:top w:val="nil"/>
              <w:left w:val="nil"/>
              <w:bottom w:val="single" w:sz="8" w:space="0" w:color="000000"/>
              <w:right w:val="nil"/>
            </w:tcBorders>
            <w:tcMar>
              <w:top w:w="0" w:type="dxa"/>
              <w:left w:w="0" w:type="dxa"/>
              <w:bottom w:w="0" w:type="dxa"/>
              <w:right w:w="0" w:type="dxa"/>
            </w:tcMar>
            <w:vAlign w:val="bottom"/>
          </w:tcPr>
          <w:p w:rsidR="00181083" w:rsidRDefault="00181083">
            <w:pPr>
              <w:keepNext/>
            </w:pPr>
          </w:p>
        </w:tc>
        <w:tc>
          <w:tcPr>
            <w:tcW w:w="1055" w:type="dxa"/>
            <w:gridSpan w:val="2"/>
            <w:tcBorders>
              <w:top w:val="nil"/>
              <w:left w:val="nil"/>
              <w:bottom w:val="single" w:sz="8" w:space="0" w:color="000000"/>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(831)</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181083" w:rsidRDefault="00181083">
            <w:pPr>
              <w:keepNext/>
              <w:spacing w:before="53" w:after="30"/>
              <w:jc w:val="right"/>
            </w:pPr>
          </w:p>
        </w:tc>
        <w:tc>
          <w:tcPr>
            <w:tcW w:w="75" w:type="dxa"/>
            <w:tcBorders>
              <w:top w:val="nil"/>
              <w:left w:val="nil"/>
              <w:bottom w:val="single" w:sz="8" w:space="0" w:color="000000"/>
              <w:right w:val="nil"/>
            </w:tcBorders>
            <w:tcMar>
              <w:top w:w="0" w:type="dxa"/>
              <w:left w:w="0" w:type="dxa"/>
              <w:bottom w:w="0" w:type="dxa"/>
              <w:right w:w="0" w:type="dxa"/>
            </w:tcMar>
            <w:vAlign w:val="bottom"/>
          </w:tcPr>
          <w:p w:rsidR="00181083" w:rsidRDefault="00181083">
            <w:pPr>
              <w:keepNext/>
            </w:pPr>
          </w:p>
        </w:tc>
      </w:tr>
      <w:tr w:rsidR="00181083">
        <w:trPr>
          <w:cantSplit/>
          <w:trHeight w:hRule="exact" w:val="285"/>
          <w:jc w:val="center"/>
        </w:trPr>
        <w:tc>
          <w:tcPr>
            <w:tcW w:w="5865" w:type="dxa"/>
            <w:tcBorders>
              <w:top w:val="single" w:sz="8" w:space="0" w:color="000000"/>
              <w:left w:val="nil"/>
              <w:bottom w:val="nil"/>
              <w:right w:val="nil"/>
            </w:tcBorders>
            <w:tcMar>
              <w:top w:w="0" w:type="dxa"/>
              <w:left w:w="53" w:type="dxa"/>
              <w:bottom w:w="0" w:type="dxa"/>
              <w:right w:w="53" w:type="dxa"/>
            </w:tcMar>
            <w:vAlign w:val="bottom"/>
          </w:tcPr>
          <w:p w:rsidR="00181083" w:rsidRDefault="0010173D">
            <w:pPr>
              <w:keepNext/>
              <w:spacing w:before="33" w:after="30"/>
            </w:pPr>
            <w:r>
              <w:rPr>
                <w:rFonts w:ascii="Arial" w:eastAsia="Arial" w:hAnsi="Arial" w:cs="Arial"/>
                <w:color w:val="000000"/>
                <w:sz w:val="18"/>
              </w:rPr>
              <w:t>Income (loss) from continuing operations</w:t>
            </w:r>
          </w:p>
        </w:tc>
        <w:tc>
          <w:tcPr>
            <w:tcW w:w="1100" w:type="dxa"/>
            <w:gridSpan w:val="2"/>
            <w:tcBorders>
              <w:top w:val="single" w:sz="8" w:space="0" w:color="000000"/>
              <w:left w:val="nil"/>
              <w:bottom w:val="nil"/>
              <w:right w:val="nil"/>
            </w:tcBorders>
            <w:tcMar>
              <w:top w:w="0" w:type="dxa"/>
              <w:left w:w="53" w:type="dxa"/>
              <w:bottom w:w="0" w:type="dxa"/>
              <w:right w:w="0" w:type="dxa"/>
            </w:tcMar>
            <w:vAlign w:val="bottom"/>
          </w:tcPr>
          <w:p w:rsidR="00181083" w:rsidRDefault="0010173D">
            <w:pPr>
              <w:keepNext/>
              <w:spacing w:before="33" w:after="30"/>
              <w:jc w:val="right"/>
            </w:pPr>
            <w:r>
              <w:rPr>
                <w:rFonts w:ascii="Arial" w:eastAsia="Arial" w:hAnsi="Arial" w:cs="Arial"/>
                <w:color w:val="000000"/>
                <w:sz w:val="18"/>
              </w:rPr>
              <w:t>(9,088)</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181083" w:rsidRDefault="00181083">
            <w:pPr>
              <w:keepNext/>
              <w:spacing w:before="33" w:after="30"/>
              <w:jc w:val="right"/>
            </w:pPr>
          </w:p>
        </w:tc>
        <w:tc>
          <w:tcPr>
            <w:tcW w:w="75" w:type="dxa"/>
            <w:tcBorders>
              <w:top w:val="single" w:sz="8" w:space="0" w:color="000000"/>
              <w:left w:val="nil"/>
              <w:bottom w:val="nil"/>
              <w:right w:val="nil"/>
            </w:tcBorders>
            <w:tcMar>
              <w:top w:w="0" w:type="dxa"/>
              <w:left w:w="0" w:type="dxa"/>
              <w:bottom w:w="0" w:type="dxa"/>
              <w:right w:w="0" w:type="dxa"/>
            </w:tcMar>
            <w:vAlign w:val="bottom"/>
          </w:tcPr>
          <w:p w:rsidR="00181083" w:rsidRDefault="00181083">
            <w:pPr>
              <w:keepNext/>
            </w:pPr>
          </w:p>
        </w:tc>
        <w:tc>
          <w:tcPr>
            <w:tcW w:w="1115" w:type="dxa"/>
            <w:gridSpan w:val="2"/>
            <w:tcBorders>
              <w:top w:val="single" w:sz="8" w:space="0" w:color="000000"/>
              <w:left w:val="nil"/>
              <w:bottom w:val="nil"/>
              <w:right w:val="nil"/>
            </w:tcBorders>
            <w:tcMar>
              <w:top w:w="0" w:type="dxa"/>
              <w:left w:w="53" w:type="dxa"/>
              <w:bottom w:w="0" w:type="dxa"/>
              <w:right w:w="0" w:type="dxa"/>
            </w:tcMar>
            <w:vAlign w:val="bottom"/>
          </w:tcPr>
          <w:p w:rsidR="00181083" w:rsidRDefault="0010173D">
            <w:pPr>
              <w:keepNext/>
              <w:spacing w:before="33" w:after="30"/>
              <w:jc w:val="right"/>
            </w:pPr>
            <w:r>
              <w:rPr>
                <w:rFonts w:ascii="Arial" w:eastAsia="Arial" w:hAnsi="Arial" w:cs="Arial"/>
                <w:color w:val="000000"/>
                <w:sz w:val="18"/>
              </w:rPr>
              <w:t>15,619 </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181083" w:rsidRDefault="00181083">
            <w:pPr>
              <w:keepNext/>
              <w:spacing w:before="33" w:after="30"/>
              <w:jc w:val="right"/>
            </w:pPr>
          </w:p>
        </w:tc>
        <w:tc>
          <w:tcPr>
            <w:tcW w:w="75" w:type="dxa"/>
            <w:tcBorders>
              <w:top w:val="single" w:sz="8" w:space="0" w:color="000000"/>
              <w:left w:val="nil"/>
              <w:bottom w:val="nil"/>
              <w:right w:val="nil"/>
            </w:tcBorders>
            <w:tcMar>
              <w:top w:w="0" w:type="dxa"/>
              <w:left w:w="0" w:type="dxa"/>
              <w:bottom w:w="0" w:type="dxa"/>
              <w:right w:w="0" w:type="dxa"/>
            </w:tcMar>
            <w:vAlign w:val="bottom"/>
          </w:tcPr>
          <w:p w:rsidR="00181083" w:rsidRDefault="00181083">
            <w:pPr>
              <w:keepNext/>
            </w:pPr>
          </w:p>
        </w:tc>
        <w:tc>
          <w:tcPr>
            <w:tcW w:w="1055" w:type="dxa"/>
            <w:gridSpan w:val="2"/>
            <w:tcBorders>
              <w:top w:val="single" w:sz="8" w:space="0" w:color="000000"/>
              <w:left w:val="nil"/>
              <w:bottom w:val="nil"/>
              <w:right w:val="nil"/>
            </w:tcBorders>
            <w:tcMar>
              <w:top w:w="0" w:type="dxa"/>
              <w:left w:w="53" w:type="dxa"/>
              <w:bottom w:w="0" w:type="dxa"/>
              <w:right w:w="0" w:type="dxa"/>
            </w:tcMar>
            <w:vAlign w:val="bottom"/>
          </w:tcPr>
          <w:p w:rsidR="00181083" w:rsidRDefault="0010173D">
            <w:pPr>
              <w:keepNext/>
              <w:spacing w:before="33" w:after="30"/>
              <w:jc w:val="right"/>
            </w:pPr>
            <w:r>
              <w:rPr>
                <w:rFonts w:ascii="Arial" w:eastAsia="Arial" w:hAnsi="Arial" w:cs="Arial"/>
                <w:color w:val="000000"/>
                <w:sz w:val="18"/>
              </w:rPr>
              <w:t>(21,479)</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181083" w:rsidRDefault="00181083">
            <w:pPr>
              <w:keepNext/>
              <w:spacing w:before="33" w:after="30"/>
              <w:jc w:val="right"/>
            </w:pPr>
          </w:p>
        </w:tc>
        <w:tc>
          <w:tcPr>
            <w:tcW w:w="75" w:type="dxa"/>
            <w:tcBorders>
              <w:top w:val="single" w:sz="8" w:space="0" w:color="000000"/>
              <w:left w:val="nil"/>
              <w:bottom w:val="nil"/>
              <w:right w:val="nil"/>
            </w:tcBorders>
            <w:tcMar>
              <w:top w:w="0" w:type="dxa"/>
              <w:left w:w="0" w:type="dxa"/>
              <w:bottom w:w="0" w:type="dxa"/>
              <w:right w:w="0" w:type="dxa"/>
            </w:tcMar>
            <w:vAlign w:val="bottom"/>
          </w:tcPr>
          <w:p w:rsidR="00181083" w:rsidRDefault="00181083">
            <w:pPr>
              <w:keepNext/>
            </w:pPr>
          </w:p>
        </w:tc>
      </w:tr>
      <w:tr w:rsidR="00181083">
        <w:trPr>
          <w:cantSplit/>
          <w:trHeight w:hRule="exact" w:val="465"/>
          <w:jc w:val="center"/>
        </w:trPr>
        <w:tc>
          <w:tcPr>
            <w:tcW w:w="5865" w:type="dxa"/>
            <w:tcBorders>
              <w:top w:val="nil"/>
              <w:left w:val="nil"/>
              <w:bottom w:val="single" w:sz="8" w:space="0" w:color="000000"/>
              <w:right w:val="nil"/>
            </w:tcBorders>
            <w:tcMar>
              <w:top w:w="0" w:type="dxa"/>
              <w:left w:w="53" w:type="dxa"/>
              <w:bottom w:w="0" w:type="dxa"/>
              <w:right w:w="53" w:type="dxa"/>
            </w:tcMar>
            <w:vAlign w:val="bottom"/>
          </w:tcPr>
          <w:p w:rsidR="00181083" w:rsidRDefault="0010173D">
            <w:pPr>
              <w:keepNext/>
              <w:spacing w:before="53" w:after="30"/>
            </w:pPr>
            <w:r>
              <w:rPr>
                <w:rFonts w:ascii="Arial" w:eastAsia="Arial" w:hAnsi="Arial" w:cs="Arial"/>
                <w:color w:val="000000"/>
                <w:sz w:val="18"/>
              </w:rPr>
              <w:t xml:space="preserve">Income (loss) from discontinued operations, net </w:t>
            </w:r>
            <w:r>
              <w:rPr>
                <w:rFonts w:ascii="Arial" w:eastAsia="Arial" w:hAnsi="Arial" w:cs="Arial"/>
                <w:color w:val="000000"/>
                <w:sz w:val="18"/>
              </w:rPr>
              <w:t>of tax</w:t>
            </w:r>
          </w:p>
        </w:tc>
        <w:tc>
          <w:tcPr>
            <w:tcW w:w="1100" w:type="dxa"/>
            <w:gridSpan w:val="2"/>
            <w:tcBorders>
              <w:top w:val="nil"/>
              <w:left w:val="nil"/>
              <w:bottom w:val="single" w:sz="8" w:space="0" w:color="000000"/>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(120)</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181083" w:rsidRDefault="00181083">
            <w:pPr>
              <w:keepNext/>
              <w:spacing w:before="53" w:after="30"/>
              <w:jc w:val="right"/>
            </w:pPr>
          </w:p>
        </w:tc>
        <w:tc>
          <w:tcPr>
            <w:tcW w:w="75" w:type="dxa"/>
            <w:tcBorders>
              <w:top w:val="nil"/>
              <w:left w:val="nil"/>
              <w:bottom w:val="single" w:sz="8" w:space="0" w:color="000000"/>
              <w:right w:val="nil"/>
            </w:tcBorders>
            <w:tcMar>
              <w:top w:w="0" w:type="dxa"/>
              <w:left w:w="0" w:type="dxa"/>
              <w:bottom w:w="0" w:type="dxa"/>
              <w:right w:w="0" w:type="dxa"/>
            </w:tcMar>
            <w:vAlign w:val="bottom"/>
          </w:tcPr>
          <w:p w:rsidR="00181083" w:rsidRDefault="00181083">
            <w:pPr>
              <w:keepNext/>
            </w:pPr>
          </w:p>
        </w:tc>
        <w:tc>
          <w:tcPr>
            <w:tcW w:w="1115" w:type="dxa"/>
            <w:gridSpan w:val="2"/>
            <w:tcBorders>
              <w:top w:val="nil"/>
              <w:left w:val="nil"/>
              <w:bottom w:val="single" w:sz="8" w:space="0" w:color="000000"/>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(348)</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181083" w:rsidRDefault="00181083">
            <w:pPr>
              <w:keepNext/>
              <w:spacing w:before="53" w:after="30"/>
              <w:jc w:val="right"/>
            </w:pPr>
          </w:p>
        </w:tc>
        <w:tc>
          <w:tcPr>
            <w:tcW w:w="75" w:type="dxa"/>
            <w:tcBorders>
              <w:top w:val="nil"/>
              <w:left w:val="nil"/>
              <w:bottom w:val="single" w:sz="8" w:space="0" w:color="000000"/>
              <w:right w:val="nil"/>
            </w:tcBorders>
            <w:tcMar>
              <w:top w:w="0" w:type="dxa"/>
              <w:left w:w="0" w:type="dxa"/>
              <w:bottom w:w="0" w:type="dxa"/>
              <w:right w:w="0" w:type="dxa"/>
            </w:tcMar>
            <w:vAlign w:val="bottom"/>
          </w:tcPr>
          <w:p w:rsidR="00181083" w:rsidRDefault="00181083">
            <w:pPr>
              <w:keepNext/>
            </w:pPr>
          </w:p>
        </w:tc>
        <w:tc>
          <w:tcPr>
            <w:tcW w:w="1055" w:type="dxa"/>
            <w:gridSpan w:val="2"/>
            <w:tcBorders>
              <w:top w:val="nil"/>
              <w:left w:val="nil"/>
              <w:bottom w:val="single" w:sz="8" w:space="0" w:color="000000"/>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95 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181083" w:rsidRDefault="00181083">
            <w:pPr>
              <w:keepNext/>
              <w:spacing w:before="53" w:after="30"/>
              <w:jc w:val="right"/>
            </w:pPr>
          </w:p>
        </w:tc>
        <w:tc>
          <w:tcPr>
            <w:tcW w:w="75" w:type="dxa"/>
            <w:tcBorders>
              <w:top w:val="nil"/>
              <w:left w:val="nil"/>
              <w:bottom w:val="single" w:sz="8" w:space="0" w:color="000000"/>
              <w:right w:val="nil"/>
            </w:tcBorders>
            <w:tcMar>
              <w:top w:w="0" w:type="dxa"/>
              <w:left w:w="0" w:type="dxa"/>
              <w:bottom w:w="0" w:type="dxa"/>
              <w:right w:w="0" w:type="dxa"/>
            </w:tcMar>
            <w:vAlign w:val="bottom"/>
          </w:tcPr>
          <w:p w:rsidR="00181083" w:rsidRDefault="00181083">
            <w:pPr>
              <w:keepNext/>
            </w:pPr>
          </w:p>
        </w:tc>
      </w:tr>
      <w:tr w:rsidR="00181083">
        <w:trPr>
          <w:cantSplit/>
          <w:trHeight w:hRule="exact" w:val="285"/>
          <w:jc w:val="center"/>
        </w:trPr>
        <w:tc>
          <w:tcPr>
            <w:tcW w:w="5865" w:type="dxa"/>
            <w:tcBorders>
              <w:top w:val="single" w:sz="8" w:space="0" w:color="000000"/>
              <w:left w:val="nil"/>
              <w:bottom w:val="double" w:sz="8" w:space="0" w:color="000000"/>
              <w:right w:val="nil"/>
            </w:tcBorders>
            <w:tcMar>
              <w:top w:w="0" w:type="dxa"/>
              <w:left w:w="53" w:type="dxa"/>
              <w:bottom w:w="0" w:type="dxa"/>
              <w:right w:w="53" w:type="dxa"/>
            </w:tcMar>
            <w:vAlign w:val="bottom"/>
          </w:tcPr>
          <w:p w:rsidR="00181083" w:rsidRDefault="0010173D">
            <w:pPr>
              <w:keepNext/>
              <w:spacing w:before="33" w:after="30"/>
            </w:pPr>
            <w:r>
              <w:rPr>
                <w:rFonts w:ascii="Arial" w:eastAsia="Arial" w:hAnsi="Arial" w:cs="Arial"/>
                <w:color w:val="000000"/>
                <w:sz w:val="18"/>
              </w:rPr>
              <w:t>NET INCOME (LOSS)</w:t>
            </w:r>
          </w:p>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rsidR="00181083" w:rsidRDefault="0010173D">
            <w:pPr>
              <w:keepNext/>
              <w:spacing w:before="33" w:after="30"/>
            </w:pPr>
            <w:r>
              <w:rPr>
                <w:rFonts w:ascii="Arial" w:eastAsia="Arial" w:hAnsi="Arial" w:cs="Arial"/>
                <w:color w:val="000000"/>
                <w:sz w:val="18"/>
              </w:rPr>
              <w:t>$</w:t>
            </w:r>
          </w:p>
        </w:tc>
        <w:tc>
          <w:tcPr>
            <w:tcW w:w="940" w:type="dxa"/>
            <w:tcBorders>
              <w:top w:val="single" w:sz="8" w:space="0" w:color="000000"/>
              <w:left w:val="nil"/>
              <w:bottom w:val="double" w:sz="8" w:space="0" w:color="000000"/>
              <w:right w:val="nil"/>
            </w:tcBorders>
            <w:tcMar>
              <w:top w:w="0" w:type="dxa"/>
              <w:left w:w="0" w:type="dxa"/>
              <w:bottom w:w="0" w:type="dxa"/>
              <w:right w:w="0" w:type="dxa"/>
            </w:tcMar>
            <w:vAlign w:val="bottom"/>
          </w:tcPr>
          <w:p w:rsidR="00181083" w:rsidRDefault="0010173D">
            <w:pPr>
              <w:keepNext/>
              <w:spacing w:before="33" w:after="30"/>
              <w:jc w:val="right"/>
            </w:pPr>
            <w:r>
              <w:rPr>
                <w:rFonts w:ascii="Arial" w:eastAsia="Arial" w:hAnsi="Arial" w:cs="Arial"/>
                <w:color w:val="000000"/>
                <w:sz w:val="18"/>
              </w:rPr>
              <w:t>(9,208)</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rsidR="00181083" w:rsidRDefault="00181083">
            <w:pPr>
              <w:keepNext/>
              <w:spacing w:before="33" w:after="30"/>
              <w:jc w:val="right"/>
            </w:pPr>
          </w:p>
        </w:tc>
        <w:tc>
          <w:tcPr>
            <w:tcW w:w="75" w:type="dxa"/>
            <w:tcBorders>
              <w:top w:val="single" w:sz="8" w:space="0" w:color="000000"/>
              <w:left w:val="nil"/>
              <w:bottom w:val="double" w:sz="8" w:space="0" w:color="000000"/>
              <w:right w:val="nil"/>
            </w:tcBorders>
            <w:tcMar>
              <w:top w:w="0" w:type="dxa"/>
              <w:left w:w="0" w:type="dxa"/>
              <w:bottom w:w="0" w:type="dxa"/>
              <w:right w:w="0" w:type="dxa"/>
            </w:tcMar>
            <w:vAlign w:val="bottom"/>
          </w:tcPr>
          <w:p w:rsidR="00181083" w:rsidRDefault="00181083">
            <w:pPr>
              <w:keepNext/>
            </w:pPr>
          </w:p>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rsidR="00181083" w:rsidRDefault="0010173D">
            <w:pPr>
              <w:keepNext/>
              <w:spacing w:before="33" w:after="30"/>
            </w:pPr>
            <w:r>
              <w:rPr>
                <w:rFonts w:ascii="Arial" w:eastAsia="Arial" w:hAnsi="Arial" w:cs="Arial"/>
                <w:color w:val="000000"/>
                <w:sz w:val="18"/>
              </w:rPr>
              <w:t>$</w:t>
            </w:r>
          </w:p>
        </w:tc>
        <w:tc>
          <w:tcPr>
            <w:tcW w:w="955" w:type="dxa"/>
            <w:tcBorders>
              <w:top w:val="single" w:sz="8" w:space="0" w:color="000000"/>
              <w:left w:val="nil"/>
              <w:bottom w:val="double" w:sz="8" w:space="0" w:color="000000"/>
              <w:right w:val="nil"/>
            </w:tcBorders>
            <w:tcMar>
              <w:top w:w="0" w:type="dxa"/>
              <w:left w:w="0" w:type="dxa"/>
              <w:bottom w:w="0" w:type="dxa"/>
              <w:right w:w="0" w:type="dxa"/>
            </w:tcMar>
            <w:vAlign w:val="bottom"/>
          </w:tcPr>
          <w:p w:rsidR="00181083" w:rsidRDefault="0010173D">
            <w:pPr>
              <w:keepNext/>
              <w:spacing w:before="33" w:after="30"/>
              <w:jc w:val="right"/>
            </w:pPr>
            <w:r>
              <w:rPr>
                <w:rFonts w:ascii="Arial" w:eastAsia="Arial" w:hAnsi="Arial" w:cs="Arial"/>
                <w:color w:val="000000"/>
                <w:sz w:val="18"/>
              </w:rPr>
              <w:t>15,271 </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rsidR="00181083" w:rsidRDefault="00181083">
            <w:pPr>
              <w:keepNext/>
              <w:spacing w:before="33" w:after="30"/>
              <w:jc w:val="right"/>
            </w:pPr>
          </w:p>
        </w:tc>
        <w:tc>
          <w:tcPr>
            <w:tcW w:w="75" w:type="dxa"/>
            <w:tcBorders>
              <w:top w:val="single" w:sz="8" w:space="0" w:color="000000"/>
              <w:left w:val="nil"/>
              <w:bottom w:val="double" w:sz="8" w:space="0" w:color="000000"/>
              <w:right w:val="nil"/>
            </w:tcBorders>
            <w:tcMar>
              <w:top w:w="0" w:type="dxa"/>
              <w:left w:w="0" w:type="dxa"/>
              <w:bottom w:w="0" w:type="dxa"/>
              <w:right w:w="0" w:type="dxa"/>
            </w:tcMar>
            <w:vAlign w:val="bottom"/>
          </w:tcPr>
          <w:p w:rsidR="00181083" w:rsidRDefault="00181083">
            <w:pPr>
              <w:keepNext/>
            </w:pPr>
          </w:p>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rsidR="00181083" w:rsidRDefault="0010173D">
            <w:pPr>
              <w:keepNext/>
              <w:spacing w:before="33" w:after="30"/>
            </w:pPr>
            <w:r>
              <w:rPr>
                <w:rFonts w:ascii="Arial" w:eastAsia="Arial" w:hAnsi="Arial" w:cs="Arial"/>
                <w:color w:val="000000"/>
                <w:sz w:val="18"/>
              </w:rPr>
              <w:t>$</w:t>
            </w:r>
          </w:p>
        </w:tc>
        <w:tc>
          <w:tcPr>
            <w:tcW w:w="895" w:type="dxa"/>
            <w:tcBorders>
              <w:top w:val="single" w:sz="8" w:space="0" w:color="000000"/>
              <w:left w:val="nil"/>
              <w:bottom w:val="double" w:sz="8" w:space="0" w:color="000000"/>
              <w:right w:val="nil"/>
            </w:tcBorders>
            <w:tcMar>
              <w:top w:w="0" w:type="dxa"/>
              <w:left w:w="0" w:type="dxa"/>
              <w:bottom w:w="0" w:type="dxa"/>
              <w:right w:w="0" w:type="dxa"/>
            </w:tcMar>
            <w:vAlign w:val="bottom"/>
          </w:tcPr>
          <w:p w:rsidR="00181083" w:rsidRDefault="0010173D">
            <w:pPr>
              <w:keepNext/>
              <w:spacing w:before="33" w:after="30"/>
              <w:jc w:val="right"/>
            </w:pPr>
            <w:r>
              <w:rPr>
                <w:rFonts w:ascii="Arial" w:eastAsia="Arial" w:hAnsi="Arial" w:cs="Arial"/>
                <w:color w:val="000000"/>
                <w:sz w:val="18"/>
              </w:rPr>
              <w:t>(21,384)</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rsidR="00181083" w:rsidRDefault="00181083">
            <w:pPr>
              <w:keepNext/>
              <w:spacing w:before="33" w:after="30"/>
              <w:jc w:val="right"/>
            </w:pPr>
          </w:p>
        </w:tc>
        <w:tc>
          <w:tcPr>
            <w:tcW w:w="75" w:type="dxa"/>
            <w:tcBorders>
              <w:top w:val="single" w:sz="8" w:space="0" w:color="000000"/>
              <w:left w:val="nil"/>
              <w:bottom w:val="double" w:sz="8" w:space="0" w:color="000000"/>
              <w:right w:val="nil"/>
            </w:tcBorders>
            <w:tcMar>
              <w:top w:w="0" w:type="dxa"/>
              <w:left w:w="0" w:type="dxa"/>
              <w:bottom w:w="0" w:type="dxa"/>
              <w:right w:w="0" w:type="dxa"/>
            </w:tcMar>
            <w:vAlign w:val="bottom"/>
          </w:tcPr>
          <w:p w:rsidR="00181083" w:rsidRDefault="00181083">
            <w:pPr>
              <w:keepNext/>
            </w:pPr>
          </w:p>
        </w:tc>
      </w:tr>
      <w:tr w:rsidR="00181083">
        <w:trPr>
          <w:cantSplit/>
          <w:trHeight w:hRule="exact" w:val="300"/>
          <w:jc w:val="center"/>
        </w:trPr>
        <w:tc>
          <w:tcPr>
            <w:tcW w:w="5865" w:type="dxa"/>
            <w:tcBorders>
              <w:top w:val="double" w:sz="8" w:space="0" w:color="000000"/>
              <w:left w:val="nil"/>
              <w:bottom w:val="nil"/>
              <w:right w:val="nil"/>
            </w:tcBorders>
            <w:tcMar>
              <w:top w:w="0" w:type="dxa"/>
              <w:left w:w="0" w:type="dxa"/>
              <w:bottom w:w="0" w:type="dxa"/>
              <w:right w:w="0" w:type="dxa"/>
            </w:tcMar>
            <w:vAlign w:val="bottom"/>
          </w:tcPr>
          <w:p w:rsidR="00181083" w:rsidRDefault="00181083">
            <w:pPr>
              <w:keepNext/>
            </w:pPr>
          </w:p>
        </w:tc>
        <w:tc>
          <w:tcPr>
            <w:tcW w:w="1200" w:type="dxa"/>
            <w:gridSpan w:val="3"/>
            <w:tcBorders>
              <w:top w:val="double" w:sz="8" w:space="0" w:color="000000"/>
              <w:left w:val="nil"/>
              <w:bottom w:val="nil"/>
              <w:right w:val="nil"/>
            </w:tcBorders>
            <w:tcMar>
              <w:top w:w="0" w:type="dxa"/>
              <w:left w:w="0" w:type="dxa"/>
              <w:bottom w:w="0" w:type="dxa"/>
              <w:right w:w="0" w:type="dxa"/>
            </w:tcMar>
            <w:vAlign w:val="bottom"/>
          </w:tcPr>
          <w:p w:rsidR="00181083" w:rsidRDefault="00181083">
            <w:pPr>
              <w:keepNext/>
            </w:pPr>
          </w:p>
        </w:tc>
        <w:tc>
          <w:tcPr>
            <w:tcW w:w="75" w:type="dxa"/>
            <w:tcBorders>
              <w:top w:val="double" w:sz="8" w:space="0" w:color="000000"/>
              <w:left w:val="nil"/>
              <w:bottom w:val="nil"/>
              <w:right w:val="nil"/>
            </w:tcBorders>
            <w:tcMar>
              <w:top w:w="0" w:type="dxa"/>
              <w:left w:w="0" w:type="dxa"/>
              <w:bottom w:w="0" w:type="dxa"/>
              <w:right w:w="0" w:type="dxa"/>
            </w:tcMar>
            <w:vAlign w:val="bottom"/>
          </w:tcPr>
          <w:p w:rsidR="00181083" w:rsidRDefault="00181083">
            <w:pPr>
              <w:keepNext/>
            </w:pPr>
          </w:p>
        </w:tc>
        <w:tc>
          <w:tcPr>
            <w:tcW w:w="1215" w:type="dxa"/>
            <w:gridSpan w:val="3"/>
            <w:tcBorders>
              <w:top w:val="double" w:sz="8" w:space="0" w:color="000000"/>
              <w:left w:val="nil"/>
              <w:bottom w:val="nil"/>
              <w:right w:val="nil"/>
            </w:tcBorders>
            <w:tcMar>
              <w:top w:w="0" w:type="dxa"/>
              <w:left w:w="0" w:type="dxa"/>
              <w:bottom w:w="0" w:type="dxa"/>
              <w:right w:w="0" w:type="dxa"/>
            </w:tcMar>
            <w:vAlign w:val="bottom"/>
          </w:tcPr>
          <w:p w:rsidR="00181083" w:rsidRDefault="00181083">
            <w:pPr>
              <w:keepNext/>
            </w:pPr>
          </w:p>
        </w:tc>
        <w:tc>
          <w:tcPr>
            <w:tcW w:w="75" w:type="dxa"/>
            <w:tcBorders>
              <w:top w:val="double" w:sz="8" w:space="0" w:color="000000"/>
              <w:left w:val="nil"/>
              <w:bottom w:val="nil"/>
              <w:right w:val="nil"/>
            </w:tcBorders>
            <w:tcMar>
              <w:top w:w="0" w:type="dxa"/>
              <w:left w:w="0" w:type="dxa"/>
              <w:bottom w:w="0" w:type="dxa"/>
              <w:right w:w="0" w:type="dxa"/>
            </w:tcMar>
            <w:vAlign w:val="bottom"/>
          </w:tcPr>
          <w:p w:rsidR="00181083" w:rsidRDefault="00181083">
            <w:pPr>
              <w:keepNext/>
            </w:pPr>
          </w:p>
        </w:tc>
        <w:tc>
          <w:tcPr>
            <w:tcW w:w="1155" w:type="dxa"/>
            <w:gridSpan w:val="3"/>
            <w:tcBorders>
              <w:top w:val="double" w:sz="8" w:space="0" w:color="000000"/>
              <w:left w:val="nil"/>
              <w:bottom w:val="nil"/>
              <w:right w:val="nil"/>
            </w:tcBorders>
            <w:tcMar>
              <w:top w:w="0" w:type="dxa"/>
              <w:left w:w="0" w:type="dxa"/>
              <w:bottom w:w="0" w:type="dxa"/>
              <w:right w:w="0" w:type="dxa"/>
            </w:tcMar>
            <w:vAlign w:val="bottom"/>
          </w:tcPr>
          <w:p w:rsidR="00181083" w:rsidRDefault="00181083">
            <w:pPr>
              <w:keepNext/>
            </w:pPr>
          </w:p>
        </w:tc>
        <w:tc>
          <w:tcPr>
            <w:tcW w:w="75" w:type="dxa"/>
            <w:tcBorders>
              <w:top w:val="double" w:sz="8" w:space="0" w:color="000000"/>
              <w:left w:val="nil"/>
              <w:bottom w:val="nil"/>
              <w:right w:val="nil"/>
            </w:tcBorders>
            <w:tcMar>
              <w:top w:w="0" w:type="dxa"/>
              <w:left w:w="0" w:type="dxa"/>
              <w:bottom w:w="0" w:type="dxa"/>
              <w:right w:w="0" w:type="dxa"/>
            </w:tcMar>
            <w:vAlign w:val="bottom"/>
          </w:tcPr>
          <w:p w:rsidR="00181083" w:rsidRDefault="00181083">
            <w:pPr>
              <w:keepNext/>
            </w:pPr>
          </w:p>
        </w:tc>
      </w:tr>
      <w:tr w:rsidR="00181083">
        <w:trPr>
          <w:cantSplit/>
          <w:trHeight w:hRule="exact" w:val="285"/>
          <w:jc w:val="center"/>
        </w:trPr>
        <w:tc>
          <w:tcPr>
            <w:tcW w:w="5865" w:type="dxa"/>
            <w:tcBorders>
              <w:top w:val="nil"/>
              <w:left w:val="nil"/>
              <w:bottom w:val="nil"/>
              <w:right w:val="nil"/>
            </w:tcBorders>
            <w:tcMar>
              <w:top w:w="0" w:type="dxa"/>
              <w:left w:w="53" w:type="dxa"/>
              <w:bottom w:w="0" w:type="dxa"/>
              <w:right w:w="53" w:type="dxa"/>
            </w:tcMar>
            <w:vAlign w:val="bottom"/>
          </w:tcPr>
          <w:p w:rsidR="00181083" w:rsidRDefault="0010173D">
            <w:pPr>
              <w:keepNext/>
              <w:spacing w:before="53" w:after="30"/>
            </w:pPr>
            <w:r>
              <w:rPr>
                <w:rFonts w:ascii="Arial" w:eastAsia="Arial" w:hAnsi="Arial" w:cs="Arial"/>
                <w:color w:val="000000"/>
                <w:sz w:val="18"/>
              </w:rPr>
              <w:t>BASIC EARNINGS (LOSS) PER SHARE:</w:t>
            </w:r>
          </w:p>
        </w:tc>
        <w:tc>
          <w:tcPr>
            <w:tcW w:w="1200" w:type="dxa"/>
            <w:gridSpan w:val="3"/>
            <w:tcBorders>
              <w:top w:val="nil"/>
              <w:left w:val="nil"/>
              <w:bottom w:val="nil"/>
              <w:right w:val="nil"/>
            </w:tcBorders>
            <w:tcMar>
              <w:top w:w="0" w:type="dxa"/>
              <w:left w:w="0" w:type="dxa"/>
              <w:bottom w:w="0" w:type="dxa"/>
              <w:right w:w="0" w:type="dxa"/>
            </w:tcMar>
            <w:vAlign w:val="bottom"/>
          </w:tcPr>
          <w:p w:rsidR="00181083" w:rsidRDefault="00181083">
            <w:pPr>
              <w:keepNext/>
            </w:pPr>
          </w:p>
        </w:tc>
        <w:tc>
          <w:tcPr>
            <w:tcW w:w="75" w:type="dxa"/>
            <w:tcBorders>
              <w:top w:val="nil"/>
              <w:left w:val="nil"/>
              <w:bottom w:val="nil"/>
              <w:right w:val="nil"/>
            </w:tcBorders>
            <w:tcMar>
              <w:top w:w="0" w:type="dxa"/>
              <w:left w:w="0" w:type="dxa"/>
              <w:bottom w:w="0" w:type="dxa"/>
              <w:right w:w="0" w:type="dxa"/>
            </w:tcMar>
            <w:vAlign w:val="bottom"/>
          </w:tcPr>
          <w:p w:rsidR="00181083" w:rsidRDefault="00181083">
            <w:pPr>
              <w:keepNext/>
            </w:pPr>
          </w:p>
        </w:tc>
        <w:tc>
          <w:tcPr>
            <w:tcW w:w="1215" w:type="dxa"/>
            <w:gridSpan w:val="3"/>
            <w:tcBorders>
              <w:top w:val="nil"/>
              <w:left w:val="nil"/>
              <w:bottom w:val="nil"/>
              <w:right w:val="nil"/>
            </w:tcBorders>
            <w:tcMar>
              <w:top w:w="0" w:type="dxa"/>
              <w:left w:w="0" w:type="dxa"/>
              <w:bottom w:w="0" w:type="dxa"/>
              <w:right w:w="0" w:type="dxa"/>
            </w:tcMar>
            <w:vAlign w:val="bottom"/>
          </w:tcPr>
          <w:p w:rsidR="00181083" w:rsidRDefault="00181083">
            <w:pPr>
              <w:keepNext/>
            </w:pPr>
          </w:p>
        </w:tc>
        <w:tc>
          <w:tcPr>
            <w:tcW w:w="75" w:type="dxa"/>
            <w:tcBorders>
              <w:top w:val="nil"/>
              <w:left w:val="nil"/>
              <w:bottom w:val="nil"/>
              <w:right w:val="nil"/>
            </w:tcBorders>
            <w:tcMar>
              <w:top w:w="0" w:type="dxa"/>
              <w:left w:w="0" w:type="dxa"/>
              <w:bottom w:w="0" w:type="dxa"/>
              <w:right w:w="0" w:type="dxa"/>
            </w:tcMar>
            <w:vAlign w:val="bottom"/>
          </w:tcPr>
          <w:p w:rsidR="00181083" w:rsidRDefault="00181083">
            <w:pPr>
              <w:keepNext/>
            </w:pPr>
          </w:p>
        </w:tc>
        <w:tc>
          <w:tcPr>
            <w:tcW w:w="1155" w:type="dxa"/>
            <w:gridSpan w:val="3"/>
            <w:tcBorders>
              <w:top w:val="nil"/>
              <w:left w:val="nil"/>
              <w:bottom w:val="nil"/>
              <w:right w:val="nil"/>
            </w:tcBorders>
            <w:tcMar>
              <w:top w:w="0" w:type="dxa"/>
              <w:left w:w="0" w:type="dxa"/>
              <w:bottom w:w="0" w:type="dxa"/>
              <w:right w:w="0" w:type="dxa"/>
            </w:tcMar>
            <w:vAlign w:val="bottom"/>
          </w:tcPr>
          <w:p w:rsidR="00181083" w:rsidRDefault="00181083">
            <w:pPr>
              <w:keepNext/>
            </w:pPr>
          </w:p>
        </w:tc>
        <w:tc>
          <w:tcPr>
            <w:tcW w:w="75" w:type="dxa"/>
            <w:tcBorders>
              <w:top w:val="nil"/>
              <w:left w:val="nil"/>
              <w:bottom w:val="nil"/>
              <w:right w:val="nil"/>
            </w:tcBorders>
            <w:tcMar>
              <w:top w:w="0" w:type="dxa"/>
              <w:left w:w="0" w:type="dxa"/>
              <w:bottom w:w="0" w:type="dxa"/>
              <w:right w:w="0" w:type="dxa"/>
            </w:tcMar>
            <w:vAlign w:val="bottom"/>
          </w:tcPr>
          <w:p w:rsidR="00181083" w:rsidRDefault="00181083">
            <w:pPr>
              <w:keepNext/>
            </w:pPr>
          </w:p>
        </w:tc>
      </w:tr>
      <w:tr w:rsidR="00181083">
        <w:trPr>
          <w:cantSplit/>
          <w:trHeight w:hRule="exact" w:val="285"/>
          <w:jc w:val="center"/>
        </w:trPr>
        <w:tc>
          <w:tcPr>
            <w:tcW w:w="5865" w:type="dxa"/>
            <w:tcBorders>
              <w:top w:val="nil"/>
              <w:left w:val="nil"/>
              <w:bottom w:val="nil"/>
              <w:right w:val="nil"/>
            </w:tcBorders>
            <w:tcMar>
              <w:top w:w="0" w:type="dxa"/>
              <w:left w:w="53" w:type="dxa"/>
              <w:bottom w:w="0" w:type="dxa"/>
              <w:right w:w="53" w:type="dxa"/>
            </w:tcMar>
            <w:vAlign w:val="bottom"/>
          </w:tcPr>
          <w:p w:rsidR="00181083" w:rsidRDefault="0010173D">
            <w:pPr>
              <w:keepNext/>
              <w:spacing w:before="53" w:after="30"/>
              <w:ind w:left="225"/>
            </w:pPr>
            <w:r>
              <w:rPr>
                <w:rFonts w:ascii="Arial" w:eastAsia="Arial" w:hAnsi="Arial" w:cs="Arial"/>
                <w:color w:val="000000"/>
                <w:sz w:val="18"/>
              </w:rPr>
              <w:t>Continuing operations</w:t>
            </w:r>
          </w:p>
        </w:tc>
        <w:tc>
          <w:tcPr>
            <w:tcW w:w="160" w:type="dxa"/>
            <w:tcBorders>
              <w:top w:val="nil"/>
              <w:left w:val="nil"/>
              <w:bottom w:val="nil"/>
              <w:right w:val="nil"/>
            </w:tcBorders>
            <w:tcMar>
              <w:top w:w="0" w:type="dxa"/>
              <w:left w:w="53" w:type="dxa"/>
              <w:bottom w:w="0" w:type="dxa"/>
              <w:right w:w="0" w:type="dxa"/>
            </w:tcMar>
            <w:vAlign w:val="bottom"/>
          </w:tcPr>
          <w:p w:rsidR="00181083" w:rsidRDefault="0010173D">
            <w:pPr>
              <w:keepNext/>
              <w:spacing w:before="53" w:after="30"/>
            </w:pPr>
            <w:r>
              <w:rPr>
                <w:rFonts w:ascii="Arial" w:eastAsia="Arial" w:hAnsi="Arial" w:cs="Arial"/>
                <w:color w:val="000000"/>
                <w:sz w:val="18"/>
              </w:rPr>
              <w:t>$</w:t>
            </w:r>
          </w:p>
        </w:tc>
        <w:tc>
          <w:tcPr>
            <w:tcW w:w="940" w:type="dxa"/>
            <w:tcBorders>
              <w:top w:val="nil"/>
              <w:left w:val="nil"/>
              <w:bottom w:val="nil"/>
              <w:right w:val="nil"/>
            </w:tcBorders>
            <w:tcMar>
              <w:top w:w="0" w:type="dxa"/>
              <w:left w:w="0"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(0.59)</w:t>
            </w:r>
          </w:p>
        </w:tc>
        <w:tc>
          <w:tcPr>
            <w:tcW w:w="100" w:type="dxa"/>
            <w:tcBorders>
              <w:top w:val="nil"/>
              <w:left w:val="nil"/>
              <w:bottom w:val="nil"/>
              <w:right w:val="nil"/>
            </w:tcBorders>
            <w:tcMar>
              <w:top w:w="0" w:type="dxa"/>
              <w:left w:w="0" w:type="dxa"/>
              <w:bottom w:w="0" w:type="dxa"/>
              <w:right w:w="15" w:type="dxa"/>
            </w:tcMar>
            <w:vAlign w:val="bottom"/>
          </w:tcPr>
          <w:p w:rsidR="00181083" w:rsidRDefault="00181083">
            <w:pPr>
              <w:keepNext/>
              <w:spacing w:before="53" w:after="30"/>
              <w:jc w:val="right"/>
            </w:pPr>
          </w:p>
        </w:tc>
        <w:tc>
          <w:tcPr>
            <w:tcW w:w="75" w:type="dxa"/>
            <w:tcBorders>
              <w:top w:val="nil"/>
              <w:left w:val="nil"/>
              <w:bottom w:val="nil"/>
              <w:right w:val="nil"/>
            </w:tcBorders>
            <w:tcMar>
              <w:top w:w="0" w:type="dxa"/>
              <w:left w:w="0" w:type="dxa"/>
              <w:bottom w:w="0" w:type="dxa"/>
              <w:right w:w="0" w:type="dxa"/>
            </w:tcMar>
            <w:vAlign w:val="bottom"/>
          </w:tcPr>
          <w:p w:rsidR="00181083" w:rsidRDefault="00181083">
            <w:pPr>
              <w:keepNext/>
            </w:pPr>
          </w:p>
        </w:tc>
        <w:tc>
          <w:tcPr>
            <w:tcW w:w="160" w:type="dxa"/>
            <w:tcBorders>
              <w:top w:val="nil"/>
              <w:left w:val="nil"/>
              <w:bottom w:val="nil"/>
              <w:right w:val="nil"/>
            </w:tcBorders>
            <w:tcMar>
              <w:top w:w="0" w:type="dxa"/>
              <w:left w:w="53" w:type="dxa"/>
              <w:bottom w:w="0" w:type="dxa"/>
              <w:right w:w="0" w:type="dxa"/>
            </w:tcMar>
            <w:vAlign w:val="bottom"/>
          </w:tcPr>
          <w:p w:rsidR="00181083" w:rsidRDefault="0010173D">
            <w:pPr>
              <w:keepNext/>
              <w:spacing w:before="53" w:after="30"/>
            </w:pPr>
            <w:r>
              <w:rPr>
                <w:rFonts w:ascii="Arial" w:eastAsia="Arial" w:hAnsi="Arial" w:cs="Arial"/>
                <w:color w:val="000000"/>
                <w:sz w:val="18"/>
              </w:rPr>
              <w:t>$</w:t>
            </w:r>
          </w:p>
        </w:tc>
        <w:tc>
          <w:tcPr>
            <w:tcW w:w="955" w:type="dxa"/>
            <w:tcBorders>
              <w:top w:val="nil"/>
              <w:left w:val="nil"/>
              <w:bottom w:val="nil"/>
              <w:right w:val="nil"/>
            </w:tcBorders>
            <w:tcMar>
              <w:top w:w="0" w:type="dxa"/>
              <w:left w:w="0"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0.96 </w:t>
            </w:r>
          </w:p>
        </w:tc>
        <w:tc>
          <w:tcPr>
            <w:tcW w:w="100" w:type="dxa"/>
            <w:tcBorders>
              <w:top w:val="nil"/>
              <w:left w:val="nil"/>
              <w:bottom w:val="nil"/>
              <w:right w:val="nil"/>
            </w:tcBorders>
            <w:tcMar>
              <w:top w:w="0" w:type="dxa"/>
              <w:left w:w="0" w:type="dxa"/>
              <w:bottom w:w="0" w:type="dxa"/>
              <w:right w:w="15" w:type="dxa"/>
            </w:tcMar>
            <w:vAlign w:val="bottom"/>
          </w:tcPr>
          <w:p w:rsidR="00181083" w:rsidRDefault="00181083">
            <w:pPr>
              <w:keepNext/>
              <w:spacing w:before="53" w:after="30"/>
              <w:jc w:val="right"/>
            </w:pPr>
          </w:p>
        </w:tc>
        <w:tc>
          <w:tcPr>
            <w:tcW w:w="75" w:type="dxa"/>
            <w:tcBorders>
              <w:top w:val="nil"/>
              <w:left w:val="nil"/>
              <w:bottom w:val="nil"/>
              <w:right w:val="nil"/>
            </w:tcBorders>
            <w:tcMar>
              <w:top w:w="0" w:type="dxa"/>
              <w:left w:w="0" w:type="dxa"/>
              <w:bottom w:w="0" w:type="dxa"/>
              <w:right w:w="0" w:type="dxa"/>
            </w:tcMar>
            <w:vAlign w:val="bottom"/>
          </w:tcPr>
          <w:p w:rsidR="00181083" w:rsidRDefault="00181083">
            <w:pPr>
              <w:keepNext/>
            </w:pPr>
          </w:p>
        </w:tc>
        <w:tc>
          <w:tcPr>
            <w:tcW w:w="160" w:type="dxa"/>
            <w:tcBorders>
              <w:top w:val="nil"/>
              <w:left w:val="nil"/>
              <w:bottom w:val="nil"/>
              <w:right w:val="nil"/>
            </w:tcBorders>
            <w:tcMar>
              <w:top w:w="0" w:type="dxa"/>
              <w:left w:w="53" w:type="dxa"/>
              <w:bottom w:w="0" w:type="dxa"/>
              <w:right w:w="0" w:type="dxa"/>
            </w:tcMar>
            <w:vAlign w:val="bottom"/>
          </w:tcPr>
          <w:p w:rsidR="00181083" w:rsidRDefault="0010173D">
            <w:pPr>
              <w:keepNext/>
              <w:spacing w:before="53" w:after="30"/>
            </w:pPr>
            <w:r>
              <w:rPr>
                <w:rFonts w:ascii="Arial" w:eastAsia="Arial" w:hAnsi="Arial" w:cs="Arial"/>
                <w:color w:val="000000"/>
                <w:sz w:val="18"/>
              </w:rPr>
              <w:t>$</w:t>
            </w:r>
          </w:p>
        </w:tc>
        <w:tc>
          <w:tcPr>
            <w:tcW w:w="895" w:type="dxa"/>
            <w:tcBorders>
              <w:top w:val="nil"/>
              <w:left w:val="nil"/>
              <w:bottom w:val="nil"/>
              <w:right w:val="nil"/>
            </w:tcBorders>
            <w:tcMar>
              <w:top w:w="0" w:type="dxa"/>
              <w:left w:w="0"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(1.36)</w:t>
            </w:r>
          </w:p>
        </w:tc>
        <w:tc>
          <w:tcPr>
            <w:tcW w:w="100" w:type="dxa"/>
            <w:tcBorders>
              <w:top w:val="nil"/>
              <w:left w:val="nil"/>
              <w:bottom w:val="nil"/>
              <w:right w:val="nil"/>
            </w:tcBorders>
            <w:tcMar>
              <w:top w:w="0" w:type="dxa"/>
              <w:left w:w="0" w:type="dxa"/>
              <w:bottom w:w="0" w:type="dxa"/>
              <w:right w:w="15" w:type="dxa"/>
            </w:tcMar>
            <w:vAlign w:val="bottom"/>
          </w:tcPr>
          <w:p w:rsidR="00181083" w:rsidRDefault="00181083">
            <w:pPr>
              <w:keepNext/>
              <w:spacing w:before="53" w:after="30"/>
              <w:jc w:val="right"/>
            </w:pPr>
          </w:p>
        </w:tc>
        <w:tc>
          <w:tcPr>
            <w:tcW w:w="75" w:type="dxa"/>
            <w:tcBorders>
              <w:top w:val="nil"/>
              <w:left w:val="nil"/>
              <w:bottom w:val="nil"/>
              <w:right w:val="nil"/>
            </w:tcBorders>
            <w:tcMar>
              <w:top w:w="0" w:type="dxa"/>
              <w:left w:w="0" w:type="dxa"/>
              <w:bottom w:w="0" w:type="dxa"/>
              <w:right w:w="0" w:type="dxa"/>
            </w:tcMar>
            <w:vAlign w:val="bottom"/>
          </w:tcPr>
          <w:p w:rsidR="00181083" w:rsidRDefault="00181083">
            <w:pPr>
              <w:keepNext/>
            </w:pPr>
          </w:p>
        </w:tc>
      </w:tr>
      <w:tr w:rsidR="00181083">
        <w:trPr>
          <w:cantSplit/>
          <w:trHeight w:hRule="exact" w:val="285"/>
          <w:jc w:val="center"/>
        </w:trPr>
        <w:tc>
          <w:tcPr>
            <w:tcW w:w="5865" w:type="dxa"/>
            <w:tcBorders>
              <w:top w:val="nil"/>
              <w:left w:val="nil"/>
              <w:bottom w:val="single" w:sz="8" w:space="0" w:color="000000"/>
              <w:right w:val="nil"/>
            </w:tcBorders>
            <w:tcMar>
              <w:top w:w="0" w:type="dxa"/>
              <w:left w:w="53" w:type="dxa"/>
              <w:bottom w:w="0" w:type="dxa"/>
              <w:right w:w="53" w:type="dxa"/>
            </w:tcMar>
            <w:vAlign w:val="bottom"/>
          </w:tcPr>
          <w:p w:rsidR="00181083" w:rsidRDefault="0010173D">
            <w:pPr>
              <w:keepNext/>
              <w:spacing w:before="53" w:after="30"/>
              <w:ind w:left="225"/>
            </w:pPr>
            <w:r>
              <w:rPr>
                <w:rFonts w:ascii="Arial" w:eastAsia="Arial" w:hAnsi="Arial" w:cs="Arial"/>
                <w:color w:val="000000"/>
                <w:sz w:val="18"/>
              </w:rPr>
              <w:t>Disconti</w:t>
            </w:r>
            <w:r>
              <w:rPr>
                <w:rFonts w:ascii="Arial" w:eastAsia="Arial" w:hAnsi="Arial" w:cs="Arial"/>
                <w:color w:val="000000"/>
                <w:sz w:val="18"/>
              </w:rPr>
              <w:t>nued operations</w:t>
            </w:r>
          </w:p>
        </w:tc>
        <w:tc>
          <w:tcPr>
            <w:tcW w:w="1100" w:type="dxa"/>
            <w:gridSpan w:val="2"/>
            <w:tcBorders>
              <w:top w:val="nil"/>
              <w:left w:val="nil"/>
              <w:bottom w:val="single" w:sz="8" w:space="0" w:color="000000"/>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(0.01)</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181083" w:rsidRDefault="00181083">
            <w:pPr>
              <w:keepNext/>
              <w:spacing w:before="53" w:after="30"/>
              <w:jc w:val="right"/>
            </w:pPr>
          </w:p>
        </w:tc>
        <w:tc>
          <w:tcPr>
            <w:tcW w:w="75" w:type="dxa"/>
            <w:tcBorders>
              <w:top w:val="nil"/>
              <w:left w:val="nil"/>
              <w:bottom w:val="single" w:sz="8" w:space="0" w:color="000000"/>
              <w:right w:val="nil"/>
            </w:tcBorders>
            <w:tcMar>
              <w:top w:w="0" w:type="dxa"/>
              <w:left w:w="0" w:type="dxa"/>
              <w:bottom w:w="0" w:type="dxa"/>
              <w:right w:w="0" w:type="dxa"/>
            </w:tcMar>
            <w:vAlign w:val="bottom"/>
          </w:tcPr>
          <w:p w:rsidR="00181083" w:rsidRDefault="00181083">
            <w:pPr>
              <w:keepNext/>
            </w:pPr>
          </w:p>
        </w:tc>
        <w:tc>
          <w:tcPr>
            <w:tcW w:w="1115" w:type="dxa"/>
            <w:gridSpan w:val="2"/>
            <w:tcBorders>
              <w:top w:val="nil"/>
              <w:left w:val="nil"/>
              <w:bottom w:val="single" w:sz="8" w:space="0" w:color="000000"/>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(0.02)</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181083" w:rsidRDefault="00181083">
            <w:pPr>
              <w:keepNext/>
              <w:spacing w:before="53" w:after="30"/>
              <w:jc w:val="right"/>
            </w:pPr>
          </w:p>
        </w:tc>
        <w:tc>
          <w:tcPr>
            <w:tcW w:w="75" w:type="dxa"/>
            <w:tcBorders>
              <w:top w:val="nil"/>
              <w:left w:val="nil"/>
              <w:bottom w:val="single" w:sz="8" w:space="0" w:color="000000"/>
              <w:right w:val="nil"/>
            </w:tcBorders>
            <w:tcMar>
              <w:top w:w="0" w:type="dxa"/>
              <w:left w:w="0" w:type="dxa"/>
              <w:bottom w:w="0" w:type="dxa"/>
              <w:right w:w="0" w:type="dxa"/>
            </w:tcMar>
            <w:vAlign w:val="bottom"/>
          </w:tcPr>
          <w:p w:rsidR="00181083" w:rsidRDefault="00181083">
            <w:pPr>
              <w:keepNext/>
            </w:pPr>
          </w:p>
        </w:tc>
        <w:tc>
          <w:tcPr>
            <w:tcW w:w="1055" w:type="dxa"/>
            <w:gridSpan w:val="2"/>
            <w:tcBorders>
              <w:top w:val="nil"/>
              <w:left w:val="nil"/>
              <w:bottom w:val="single" w:sz="8" w:space="0" w:color="000000"/>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0.01 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181083" w:rsidRDefault="00181083">
            <w:pPr>
              <w:keepNext/>
              <w:spacing w:before="53" w:after="30"/>
              <w:jc w:val="right"/>
            </w:pPr>
          </w:p>
        </w:tc>
        <w:tc>
          <w:tcPr>
            <w:tcW w:w="75" w:type="dxa"/>
            <w:tcBorders>
              <w:top w:val="nil"/>
              <w:left w:val="nil"/>
              <w:bottom w:val="single" w:sz="8" w:space="0" w:color="000000"/>
              <w:right w:val="nil"/>
            </w:tcBorders>
            <w:tcMar>
              <w:top w:w="0" w:type="dxa"/>
              <w:left w:w="0" w:type="dxa"/>
              <w:bottom w:w="0" w:type="dxa"/>
              <w:right w:w="0" w:type="dxa"/>
            </w:tcMar>
            <w:vAlign w:val="bottom"/>
          </w:tcPr>
          <w:p w:rsidR="00181083" w:rsidRDefault="00181083">
            <w:pPr>
              <w:keepNext/>
            </w:pPr>
          </w:p>
        </w:tc>
      </w:tr>
      <w:tr w:rsidR="00181083">
        <w:trPr>
          <w:cantSplit/>
          <w:trHeight w:hRule="exact" w:val="285"/>
          <w:jc w:val="center"/>
        </w:trPr>
        <w:tc>
          <w:tcPr>
            <w:tcW w:w="5865" w:type="dxa"/>
            <w:tcBorders>
              <w:top w:val="single" w:sz="8" w:space="0" w:color="000000"/>
              <w:left w:val="nil"/>
              <w:bottom w:val="double" w:sz="8" w:space="0" w:color="000000"/>
              <w:right w:val="nil"/>
            </w:tcBorders>
            <w:tcMar>
              <w:top w:w="0" w:type="dxa"/>
              <w:left w:w="53" w:type="dxa"/>
              <w:bottom w:w="0" w:type="dxa"/>
              <w:right w:w="53" w:type="dxa"/>
            </w:tcMar>
            <w:vAlign w:val="bottom"/>
          </w:tcPr>
          <w:p w:rsidR="00181083" w:rsidRDefault="0010173D">
            <w:pPr>
              <w:keepNext/>
              <w:spacing w:before="33" w:after="30"/>
              <w:ind w:left="225"/>
            </w:pPr>
            <w:r>
              <w:rPr>
                <w:rFonts w:ascii="Arial" w:eastAsia="Arial" w:hAnsi="Arial" w:cs="Arial"/>
                <w:color w:val="000000"/>
                <w:sz w:val="18"/>
              </w:rPr>
              <w:t>Net income (loss)</w:t>
            </w:r>
          </w:p>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rsidR="00181083" w:rsidRDefault="0010173D">
            <w:pPr>
              <w:keepNext/>
              <w:spacing w:before="33" w:after="30"/>
            </w:pPr>
            <w:r>
              <w:rPr>
                <w:rFonts w:ascii="Arial" w:eastAsia="Arial" w:hAnsi="Arial" w:cs="Arial"/>
                <w:color w:val="000000"/>
                <w:sz w:val="18"/>
              </w:rPr>
              <w:t>$</w:t>
            </w:r>
          </w:p>
        </w:tc>
        <w:tc>
          <w:tcPr>
            <w:tcW w:w="940" w:type="dxa"/>
            <w:tcBorders>
              <w:top w:val="single" w:sz="8" w:space="0" w:color="000000"/>
              <w:left w:val="nil"/>
              <w:bottom w:val="double" w:sz="8" w:space="0" w:color="000000"/>
              <w:right w:val="nil"/>
            </w:tcBorders>
            <w:tcMar>
              <w:top w:w="0" w:type="dxa"/>
              <w:left w:w="0" w:type="dxa"/>
              <w:bottom w:w="0" w:type="dxa"/>
              <w:right w:w="0" w:type="dxa"/>
            </w:tcMar>
            <w:vAlign w:val="bottom"/>
          </w:tcPr>
          <w:p w:rsidR="00181083" w:rsidRDefault="0010173D">
            <w:pPr>
              <w:keepNext/>
              <w:spacing w:before="33" w:after="30"/>
              <w:jc w:val="right"/>
            </w:pPr>
            <w:r>
              <w:rPr>
                <w:rFonts w:ascii="Arial" w:eastAsia="Arial" w:hAnsi="Arial" w:cs="Arial"/>
                <w:color w:val="000000"/>
                <w:sz w:val="18"/>
              </w:rPr>
              <w:t>(0.60)</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rsidR="00181083" w:rsidRDefault="00181083">
            <w:pPr>
              <w:keepNext/>
              <w:spacing w:before="33" w:after="30"/>
              <w:jc w:val="right"/>
            </w:pPr>
          </w:p>
        </w:tc>
        <w:tc>
          <w:tcPr>
            <w:tcW w:w="75" w:type="dxa"/>
            <w:tcBorders>
              <w:top w:val="single" w:sz="8" w:space="0" w:color="000000"/>
              <w:left w:val="nil"/>
              <w:bottom w:val="double" w:sz="8" w:space="0" w:color="000000"/>
              <w:right w:val="nil"/>
            </w:tcBorders>
            <w:tcMar>
              <w:top w:w="0" w:type="dxa"/>
              <w:left w:w="0" w:type="dxa"/>
              <w:bottom w:w="0" w:type="dxa"/>
              <w:right w:w="0" w:type="dxa"/>
            </w:tcMar>
            <w:vAlign w:val="bottom"/>
          </w:tcPr>
          <w:p w:rsidR="00181083" w:rsidRDefault="00181083">
            <w:pPr>
              <w:keepNext/>
            </w:pPr>
          </w:p>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rsidR="00181083" w:rsidRDefault="0010173D">
            <w:pPr>
              <w:keepNext/>
              <w:spacing w:before="33" w:after="30"/>
            </w:pPr>
            <w:r>
              <w:rPr>
                <w:rFonts w:ascii="Arial" w:eastAsia="Arial" w:hAnsi="Arial" w:cs="Arial"/>
                <w:color w:val="000000"/>
                <w:sz w:val="18"/>
              </w:rPr>
              <w:t>$</w:t>
            </w:r>
          </w:p>
        </w:tc>
        <w:tc>
          <w:tcPr>
            <w:tcW w:w="955" w:type="dxa"/>
            <w:tcBorders>
              <w:top w:val="single" w:sz="8" w:space="0" w:color="000000"/>
              <w:left w:val="nil"/>
              <w:bottom w:val="double" w:sz="8" w:space="0" w:color="000000"/>
              <w:right w:val="nil"/>
            </w:tcBorders>
            <w:tcMar>
              <w:top w:w="0" w:type="dxa"/>
              <w:left w:w="0" w:type="dxa"/>
              <w:bottom w:w="0" w:type="dxa"/>
              <w:right w:w="0" w:type="dxa"/>
            </w:tcMar>
            <w:vAlign w:val="bottom"/>
          </w:tcPr>
          <w:p w:rsidR="00181083" w:rsidRDefault="0010173D">
            <w:pPr>
              <w:keepNext/>
              <w:spacing w:before="33" w:after="30"/>
              <w:jc w:val="right"/>
            </w:pPr>
            <w:r>
              <w:rPr>
                <w:rFonts w:ascii="Arial" w:eastAsia="Arial" w:hAnsi="Arial" w:cs="Arial"/>
                <w:color w:val="000000"/>
                <w:sz w:val="18"/>
              </w:rPr>
              <w:t>0.94 </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rsidR="00181083" w:rsidRDefault="00181083">
            <w:pPr>
              <w:keepNext/>
              <w:spacing w:before="33" w:after="30"/>
              <w:jc w:val="right"/>
            </w:pPr>
          </w:p>
        </w:tc>
        <w:tc>
          <w:tcPr>
            <w:tcW w:w="75" w:type="dxa"/>
            <w:tcBorders>
              <w:top w:val="single" w:sz="8" w:space="0" w:color="000000"/>
              <w:left w:val="nil"/>
              <w:bottom w:val="double" w:sz="8" w:space="0" w:color="000000"/>
              <w:right w:val="nil"/>
            </w:tcBorders>
            <w:tcMar>
              <w:top w:w="0" w:type="dxa"/>
              <w:left w:w="0" w:type="dxa"/>
              <w:bottom w:w="0" w:type="dxa"/>
              <w:right w:w="0" w:type="dxa"/>
            </w:tcMar>
            <w:vAlign w:val="bottom"/>
          </w:tcPr>
          <w:p w:rsidR="00181083" w:rsidRDefault="00181083">
            <w:pPr>
              <w:keepNext/>
            </w:pPr>
          </w:p>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rsidR="00181083" w:rsidRDefault="0010173D">
            <w:pPr>
              <w:keepNext/>
              <w:spacing w:before="33" w:after="30"/>
            </w:pPr>
            <w:r>
              <w:rPr>
                <w:rFonts w:ascii="Arial" w:eastAsia="Arial" w:hAnsi="Arial" w:cs="Arial"/>
                <w:color w:val="000000"/>
                <w:sz w:val="18"/>
              </w:rPr>
              <w:t>$</w:t>
            </w:r>
          </w:p>
        </w:tc>
        <w:tc>
          <w:tcPr>
            <w:tcW w:w="895" w:type="dxa"/>
            <w:tcBorders>
              <w:top w:val="single" w:sz="8" w:space="0" w:color="000000"/>
              <w:left w:val="nil"/>
              <w:bottom w:val="double" w:sz="8" w:space="0" w:color="000000"/>
              <w:right w:val="nil"/>
            </w:tcBorders>
            <w:tcMar>
              <w:top w:w="0" w:type="dxa"/>
              <w:left w:w="0" w:type="dxa"/>
              <w:bottom w:w="0" w:type="dxa"/>
              <w:right w:w="0" w:type="dxa"/>
            </w:tcMar>
            <w:vAlign w:val="bottom"/>
          </w:tcPr>
          <w:p w:rsidR="00181083" w:rsidRDefault="0010173D">
            <w:pPr>
              <w:keepNext/>
              <w:spacing w:before="33" w:after="30"/>
              <w:jc w:val="right"/>
            </w:pPr>
            <w:r>
              <w:rPr>
                <w:rFonts w:ascii="Arial" w:eastAsia="Arial" w:hAnsi="Arial" w:cs="Arial"/>
                <w:color w:val="000000"/>
                <w:sz w:val="18"/>
              </w:rPr>
              <w:t>(1.35)</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rsidR="00181083" w:rsidRDefault="00181083">
            <w:pPr>
              <w:keepNext/>
              <w:spacing w:before="33" w:after="30"/>
              <w:jc w:val="right"/>
            </w:pPr>
          </w:p>
        </w:tc>
        <w:tc>
          <w:tcPr>
            <w:tcW w:w="75" w:type="dxa"/>
            <w:tcBorders>
              <w:top w:val="single" w:sz="8" w:space="0" w:color="000000"/>
              <w:left w:val="nil"/>
              <w:bottom w:val="double" w:sz="8" w:space="0" w:color="000000"/>
              <w:right w:val="nil"/>
            </w:tcBorders>
            <w:tcMar>
              <w:top w:w="0" w:type="dxa"/>
              <w:left w:w="0" w:type="dxa"/>
              <w:bottom w:w="0" w:type="dxa"/>
              <w:right w:w="0" w:type="dxa"/>
            </w:tcMar>
            <w:vAlign w:val="bottom"/>
          </w:tcPr>
          <w:p w:rsidR="00181083" w:rsidRDefault="00181083">
            <w:pPr>
              <w:keepNext/>
            </w:pPr>
          </w:p>
        </w:tc>
      </w:tr>
      <w:tr w:rsidR="00181083">
        <w:trPr>
          <w:cantSplit/>
          <w:trHeight w:hRule="exact" w:val="300"/>
          <w:jc w:val="center"/>
        </w:trPr>
        <w:tc>
          <w:tcPr>
            <w:tcW w:w="5865" w:type="dxa"/>
            <w:tcBorders>
              <w:top w:val="double" w:sz="8" w:space="0" w:color="000000"/>
              <w:left w:val="nil"/>
              <w:bottom w:val="nil"/>
              <w:right w:val="nil"/>
            </w:tcBorders>
            <w:tcMar>
              <w:top w:w="0" w:type="dxa"/>
              <w:left w:w="0" w:type="dxa"/>
              <w:bottom w:w="0" w:type="dxa"/>
              <w:right w:w="0" w:type="dxa"/>
            </w:tcMar>
            <w:vAlign w:val="bottom"/>
          </w:tcPr>
          <w:p w:rsidR="00181083" w:rsidRDefault="00181083">
            <w:pPr>
              <w:keepNext/>
            </w:pPr>
          </w:p>
        </w:tc>
        <w:tc>
          <w:tcPr>
            <w:tcW w:w="1200" w:type="dxa"/>
            <w:gridSpan w:val="3"/>
            <w:tcBorders>
              <w:top w:val="double" w:sz="8" w:space="0" w:color="000000"/>
              <w:left w:val="nil"/>
              <w:bottom w:val="nil"/>
              <w:right w:val="nil"/>
            </w:tcBorders>
            <w:tcMar>
              <w:top w:w="0" w:type="dxa"/>
              <w:left w:w="0" w:type="dxa"/>
              <w:bottom w:w="0" w:type="dxa"/>
              <w:right w:w="0" w:type="dxa"/>
            </w:tcMar>
            <w:vAlign w:val="bottom"/>
          </w:tcPr>
          <w:p w:rsidR="00181083" w:rsidRDefault="00181083">
            <w:pPr>
              <w:keepNext/>
            </w:pPr>
          </w:p>
        </w:tc>
        <w:tc>
          <w:tcPr>
            <w:tcW w:w="75" w:type="dxa"/>
            <w:tcBorders>
              <w:top w:val="double" w:sz="8" w:space="0" w:color="000000"/>
              <w:left w:val="nil"/>
              <w:bottom w:val="nil"/>
              <w:right w:val="nil"/>
            </w:tcBorders>
            <w:tcMar>
              <w:top w:w="0" w:type="dxa"/>
              <w:left w:w="0" w:type="dxa"/>
              <w:bottom w:w="0" w:type="dxa"/>
              <w:right w:w="0" w:type="dxa"/>
            </w:tcMar>
            <w:vAlign w:val="bottom"/>
          </w:tcPr>
          <w:p w:rsidR="00181083" w:rsidRDefault="00181083">
            <w:pPr>
              <w:keepNext/>
            </w:pPr>
          </w:p>
        </w:tc>
        <w:tc>
          <w:tcPr>
            <w:tcW w:w="1215" w:type="dxa"/>
            <w:gridSpan w:val="3"/>
            <w:tcBorders>
              <w:top w:val="double" w:sz="8" w:space="0" w:color="000000"/>
              <w:left w:val="nil"/>
              <w:bottom w:val="nil"/>
              <w:right w:val="nil"/>
            </w:tcBorders>
            <w:tcMar>
              <w:top w:w="0" w:type="dxa"/>
              <w:left w:w="0" w:type="dxa"/>
              <w:bottom w:w="0" w:type="dxa"/>
              <w:right w:w="0" w:type="dxa"/>
            </w:tcMar>
            <w:vAlign w:val="bottom"/>
          </w:tcPr>
          <w:p w:rsidR="00181083" w:rsidRDefault="00181083">
            <w:pPr>
              <w:keepNext/>
            </w:pPr>
          </w:p>
        </w:tc>
        <w:tc>
          <w:tcPr>
            <w:tcW w:w="75" w:type="dxa"/>
            <w:tcBorders>
              <w:top w:val="double" w:sz="8" w:space="0" w:color="000000"/>
              <w:left w:val="nil"/>
              <w:bottom w:val="nil"/>
              <w:right w:val="nil"/>
            </w:tcBorders>
            <w:tcMar>
              <w:top w:w="0" w:type="dxa"/>
              <w:left w:w="0" w:type="dxa"/>
              <w:bottom w:w="0" w:type="dxa"/>
              <w:right w:w="0" w:type="dxa"/>
            </w:tcMar>
            <w:vAlign w:val="bottom"/>
          </w:tcPr>
          <w:p w:rsidR="00181083" w:rsidRDefault="00181083">
            <w:pPr>
              <w:keepNext/>
            </w:pPr>
          </w:p>
        </w:tc>
        <w:tc>
          <w:tcPr>
            <w:tcW w:w="1155" w:type="dxa"/>
            <w:gridSpan w:val="3"/>
            <w:tcBorders>
              <w:top w:val="double" w:sz="8" w:space="0" w:color="000000"/>
              <w:left w:val="nil"/>
              <w:bottom w:val="nil"/>
              <w:right w:val="nil"/>
            </w:tcBorders>
            <w:tcMar>
              <w:top w:w="0" w:type="dxa"/>
              <w:left w:w="0" w:type="dxa"/>
              <w:bottom w:w="0" w:type="dxa"/>
              <w:right w:w="0" w:type="dxa"/>
            </w:tcMar>
            <w:vAlign w:val="bottom"/>
          </w:tcPr>
          <w:p w:rsidR="00181083" w:rsidRDefault="00181083">
            <w:pPr>
              <w:keepNext/>
            </w:pPr>
          </w:p>
        </w:tc>
        <w:tc>
          <w:tcPr>
            <w:tcW w:w="75" w:type="dxa"/>
            <w:tcBorders>
              <w:top w:val="double" w:sz="8" w:space="0" w:color="000000"/>
              <w:left w:val="nil"/>
              <w:bottom w:val="nil"/>
              <w:right w:val="nil"/>
            </w:tcBorders>
            <w:tcMar>
              <w:top w:w="0" w:type="dxa"/>
              <w:left w:w="0" w:type="dxa"/>
              <w:bottom w:w="0" w:type="dxa"/>
              <w:right w:w="0" w:type="dxa"/>
            </w:tcMar>
            <w:vAlign w:val="bottom"/>
          </w:tcPr>
          <w:p w:rsidR="00181083" w:rsidRDefault="00181083">
            <w:pPr>
              <w:keepNext/>
            </w:pPr>
          </w:p>
        </w:tc>
      </w:tr>
      <w:tr w:rsidR="00181083">
        <w:trPr>
          <w:cantSplit/>
          <w:trHeight w:hRule="exact" w:val="285"/>
          <w:jc w:val="center"/>
        </w:trPr>
        <w:tc>
          <w:tcPr>
            <w:tcW w:w="5865" w:type="dxa"/>
            <w:tcBorders>
              <w:top w:val="nil"/>
              <w:left w:val="nil"/>
              <w:bottom w:val="nil"/>
              <w:right w:val="nil"/>
            </w:tcBorders>
            <w:tcMar>
              <w:top w:w="0" w:type="dxa"/>
              <w:left w:w="53" w:type="dxa"/>
              <w:bottom w:w="0" w:type="dxa"/>
              <w:right w:w="53" w:type="dxa"/>
            </w:tcMar>
            <w:vAlign w:val="bottom"/>
          </w:tcPr>
          <w:p w:rsidR="00181083" w:rsidRDefault="0010173D">
            <w:pPr>
              <w:keepNext/>
              <w:spacing w:before="53" w:after="30"/>
            </w:pPr>
            <w:r>
              <w:rPr>
                <w:rFonts w:ascii="Arial" w:eastAsia="Arial" w:hAnsi="Arial" w:cs="Arial"/>
                <w:color w:val="000000"/>
                <w:sz w:val="18"/>
              </w:rPr>
              <w:t>DILUTED EARNINGS (LOSS) PER SHARE:</w:t>
            </w:r>
          </w:p>
        </w:tc>
        <w:tc>
          <w:tcPr>
            <w:tcW w:w="1200" w:type="dxa"/>
            <w:gridSpan w:val="3"/>
            <w:tcBorders>
              <w:top w:val="nil"/>
              <w:left w:val="nil"/>
              <w:bottom w:val="nil"/>
              <w:right w:val="nil"/>
            </w:tcBorders>
            <w:tcMar>
              <w:top w:w="0" w:type="dxa"/>
              <w:left w:w="0" w:type="dxa"/>
              <w:bottom w:w="0" w:type="dxa"/>
              <w:right w:w="0" w:type="dxa"/>
            </w:tcMar>
            <w:vAlign w:val="bottom"/>
          </w:tcPr>
          <w:p w:rsidR="00181083" w:rsidRDefault="00181083">
            <w:pPr>
              <w:keepNext/>
            </w:pPr>
          </w:p>
        </w:tc>
        <w:tc>
          <w:tcPr>
            <w:tcW w:w="75" w:type="dxa"/>
            <w:tcBorders>
              <w:top w:val="nil"/>
              <w:left w:val="nil"/>
              <w:bottom w:val="nil"/>
              <w:right w:val="nil"/>
            </w:tcBorders>
            <w:tcMar>
              <w:top w:w="0" w:type="dxa"/>
              <w:left w:w="0" w:type="dxa"/>
              <w:bottom w:w="0" w:type="dxa"/>
              <w:right w:w="0" w:type="dxa"/>
            </w:tcMar>
            <w:vAlign w:val="bottom"/>
          </w:tcPr>
          <w:p w:rsidR="00181083" w:rsidRDefault="00181083">
            <w:pPr>
              <w:keepNext/>
            </w:pPr>
          </w:p>
        </w:tc>
        <w:tc>
          <w:tcPr>
            <w:tcW w:w="1215" w:type="dxa"/>
            <w:gridSpan w:val="3"/>
            <w:tcBorders>
              <w:top w:val="nil"/>
              <w:left w:val="nil"/>
              <w:bottom w:val="nil"/>
              <w:right w:val="nil"/>
            </w:tcBorders>
            <w:tcMar>
              <w:top w:w="0" w:type="dxa"/>
              <w:left w:w="0" w:type="dxa"/>
              <w:bottom w:w="0" w:type="dxa"/>
              <w:right w:w="0" w:type="dxa"/>
            </w:tcMar>
            <w:vAlign w:val="bottom"/>
          </w:tcPr>
          <w:p w:rsidR="00181083" w:rsidRDefault="00181083">
            <w:pPr>
              <w:keepNext/>
            </w:pPr>
          </w:p>
        </w:tc>
        <w:tc>
          <w:tcPr>
            <w:tcW w:w="75" w:type="dxa"/>
            <w:tcBorders>
              <w:top w:val="nil"/>
              <w:left w:val="nil"/>
              <w:bottom w:val="nil"/>
              <w:right w:val="nil"/>
            </w:tcBorders>
            <w:tcMar>
              <w:top w:w="0" w:type="dxa"/>
              <w:left w:w="0" w:type="dxa"/>
              <w:bottom w:w="0" w:type="dxa"/>
              <w:right w:w="0" w:type="dxa"/>
            </w:tcMar>
            <w:vAlign w:val="bottom"/>
          </w:tcPr>
          <w:p w:rsidR="00181083" w:rsidRDefault="00181083">
            <w:pPr>
              <w:keepNext/>
            </w:pPr>
          </w:p>
        </w:tc>
        <w:tc>
          <w:tcPr>
            <w:tcW w:w="1155" w:type="dxa"/>
            <w:gridSpan w:val="3"/>
            <w:tcBorders>
              <w:top w:val="nil"/>
              <w:left w:val="nil"/>
              <w:bottom w:val="nil"/>
              <w:right w:val="nil"/>
            </w:tcBorders>
            <w:tcMar>
              <w:top w:w="0" w:type="dxa"/>
              <w:left w:w="0" w:type="dxa"/>
              <w:bottom w:w="0" w:type="dxa"/>
              <w:right w:w="0" w:type="dxa"/>
            </w:tcMar>
            <w:vAlign w:val="bottom"/>
          </w:tcPr>
          <w:p w:rsidR="00181083" w:rsidRDefault="00181083">
            <w:pPr>
              <w:keepNext/>
            </w:pPr>
          </w:p>
        </w:tc>
        <w:tc>
          <w:tcPr>
            <w:tcW w:w="75" w:type="dxa"/>
            <w:tcBorders>
              <w:top w:val="nil"/>
              <w:left w:val="nil"/>
              <w:bottom w:val="nil"/>
              <w:right w:val="nil"/>
            </w:tcBorders>
            <w:tcMar>
              <w:top w:w="0" w:type="dxa"/>
              <w:left w:w="0" w:type="dxa"/>
              <w:bottom w:w="0" w:type="dxa"/>
              <w:right w:w="0" w:type="dxa"/>
            </w:tcMar>
            <w:vAlign w:val="bottom"/>
          </w:tcPr>
          <w:p w:rsidR="00181083" w:rsidRDefault="00181083">
            <w:pPr>
              <w:keepNext/>
            </w:pPr>
          </w:p>
        </w:tc>
      </w:tr>
      <w:tr w:rsidR="00181083">
        <w:trPr>
          <w:cantSplit/>
          <w:trHeight w:hRule="exact" w:val="285"/>
          <w:jc w:val="center"/>
        </w:trPr>
        <w:tc>
          <w:tcPr>
            <w:tcW w:w="5865" w:type="dxa"/>
            <w:tcBorders>
              <w:top w:val="nil"/>
              <w:left w:val="nil"/>
              <w:bottom w:val="nil"/>
              <w:right w:val="nil"/>
            </w:tcBorders>
            <w:tcMar>
              <w:top w:w="0" w:type="dxa"/>
              <w:left w:w="53" w:type="dxa"/>
              <w:bottom w:w="0" w:type="dxa"/>
              <w:right w:w="53" w:type="dxa"/>
            </w:tcMar>
            <w:vAlign w:val="bottom"/>
          </w:tcPr>
          <w:p w:rsidR="00181083" w:rsidRDefault="0010173D">
            <w:pPr>
              <w:keepNext/>
              <w:spacing w:before="53" w:after="30"/>
              <w:ind w:left="225"/>
            </w:pPr>
            <w:r>
              <w:rPr>
                <w:rFonts w:ascii="Arial" w:eastAsia="Arial" w:hAnsi="Arial" w:cs="Arial"/>
                <w:color w:val="000000"/>
                <w:sz w:val="18"/>
              </w:rPr>
              <w:t>Continuing operations</w:t>
            </w:r>
          </w:p>
        </w:tc>
        <w:tc>
          <w:tcPr>
            <w:tcW w:w="160" w:type="dxa"/>
            <w:tcBorders>
              <w:top w:val="nil"/>
              <w:left w:val="nil"/>
              <w:bottom w:val="nil"/>
              <w:right w:val="nil"/>
            </w:tcBorders>
            <w:tcMar>
              <w:top w:w="0" w:type="dxa"/>
              <w:left w:w="53" w:type="dxa"/>
              <w:bottom w:w="0" w:type="dxa"/>
              <w:right w:w="0" w:type="dxa"/>
            </w:tcMar>
            <w:vAlign w:val="bottom"/>
          </w:tcPr>
          <w:p w:rsidR="00181083" w:rsidRDefault="0010173D">
            <w:pPr>
              <w:keepNext/>
              <w:spacing w:before="53" w:after="30"/>
            </w:pPr>
            <w:r>
              <w:rPr>
                <w:rFonts w:ascii="Arial" w:eastAsia="Arial" w:hAnsi="Arial" w:cs="Arial"/>
                <w:color w:val="000000"/>
                <w:sz w:val="18"/>
              </w:rPr>
              <w:t>$</w:t>
            </w:r>
          </w:p>
        </w:tc>
        <w:tc>
          <w:tcPr>
            <w:tcW w:w="940" w:type="dxa"/>
            <w:tcBorders>
              <w:top w:val="nil"/>
              <w:left w:val="nil"/>
              <w:bottom w:val="nil"/>
              <w:right w:val="nil"/>
            </w:tcBorders>
            <w:tcMar>
              <w:top w:w="0" w:type="dxa"/>
              <w:left w:w="0"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(0.59)</w:t>
            </w:r>
          </w:p>
        </w:tc>
        <w:tc>
          <w:tcPr>
            <w:tcW w:w="100" w:type="dxa"/>
            <w:tcBorders>
              <w:top w:val="nil"/>
              <w:left w:val="nil"/>
              <w:bottom w:val="nil"/>
              <w:right w:val="nil"/>
            </w:tcBorders>
            <w:tcMar>
              <w:top w:w="0" w:type="dxa"/>
              <w:left w:w="0" w:type="dxa"/>
              <w:bottom w:w="0" w:type="dxa"/>
              <w:right w:w="15" w:type="dxa"/>
            </w:tcMar>
            <w:vAlign w:val="bottom"/>
          </w:tcPr>
          <w:p w:rsidR="00181083" w:rsidRDefault="00181083">
            <w:pPr>
              <w:keepNext/>
              <w:spacing w:before="53" w:after="30"/>
              <w:jc w:val="right"/>
            </w:pPr>
          </w:p>
        </w:tc>
        <w:tc>
          <w:tcPr>
            <w:tcW w:w="75" w:type="dxa"/>
            <w:tcBorders>
              <w:top w:val="nil"/>
              <w:left w:val="nil"/>
              <w:bottom w:val="nil"/>
              <w:right w:val="nil"/>
            </w:tcBorders>
            <w:tcMar>
              <w:top w:w="0" w:type="dxa"/>
              <w:left w:w="0" w:type="dxa"/>
              <w:bottom w:w="0" w:type="dxa"/>
              <w:right w:w="0" w:type="dxa"/>
            </w:tcMar>
            <w:vAlign w:val="bottom"/>
          </w:tcPr>
          <w:p w:rsidR="00181083" w:rsidRDefault="00181083">
            <w:pPr>
              <w:keepNext/>
            </w:pPr>
          </w:p>
        </w:tc>
        <w:tc>
          <w:tcPr>
            <w:tcW w:w="160" w:type="dxa"/>
            <w:tcBorders>
              <w:top w:val="nil"/>
              <w:left w:val="nil"/>
              <w:bottom w:val="nil"/>
              <w:right w:val="nil"/>
            </w:tcBorders>
            <w:tcMar>
              <w:top w:w="0" w:type="dxa"/>
              <w:left w:w="53" w:type="dxa"/>
              <w:bottom w:w="0" w:type="dxa"/>
              <w:right w:w="0" w:type="dxa"/>
            </w:tcMar>
            <w:vAlign w:val="bottom"/>
          </w:tcPr>
          <w:p w:rsidR="00181083" w:rsidRDefault="0010173D">
            <w:pPr>
              <w:keepNext/>
              <w:spacing w:before="53" w:after="30"/>
            </w:pPr>
            <w:r>
              <w:rPr>
                <w:rFonts w:ascii="Arial" w:eastAsia="Arial" w:hAnsi="Arial" w:cs="Arial"/>
                <w:color w:val="000000"/>
                <w:sz w:val="18"/>
              </w:rPr>
              <w:t>$</w:t>
            </w:r>
          </w:p>
        </w:tc>
        <w:tc>
          <w:tcPr>
            <w:tcW w:w="955" w:type="dxa"/>
            <w:tcBorders>
              <w:top w:val="nil"/>
              <w:left w:val="nil"/>
              <w:bottom w:val="nil"/>
              <w:right w:val="nil"/>
            </w:tcBorders>
            <w:tcMar>
              <w:top w:w="0" w:type="dxa"/>
              <w:left w:w="0"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0.95 </w:t>
            </w:r>
          </w:p>
        </w:tc>
        <w:tc>
          <w:tcPr>
            <w:tcW w:w="100" w:type="dxa"/>
            <w:tcBorders>
              <w:top w:val="nil"/>
              <w:left w:val="nil"/>
              <w:bottom w:val="nil"/>
              <w:right w:val="nil"/>
            </w:tcBorders>
            <w:tcMar>
              <w:top w:w="0" w:type="dxa"/>
              <w:left w:w="0" w:type="dxa"/>
              <w:bottom w:w="0" w:type="dxa"/>
              <w:right w:w="15" w:type="dxa"/>
            </w:tcMar>
            <w:vAlign w:val="bottom"/>
          </w:tcPr>
          <w:p w:rsidR="00181083" w:rsidRDefault="00181083">
            <w:pPr>
              <w:keepNext/>
              <w:spacing w:before="53" w:after="30"/>
              <w:jc w:val="right"/>
            </w:pPr>
          </w:p>
        </w:tc>
        <w:tc>
          <w:tcPr>
            <w:tcW w:w="75" w:type="dxa"/>
            <w:tcBorders>
              <w:top w:val="nil"/>
              <w:left w:val="nil"/>
              <w:bottom w:val="nil"/>
              <w:right w:val="nil"/>
            </w:tcBorders>
            <w:tcMar>
              <w:top w:w="0" w:type="dxa"/>
              <w:left w:w="0" w:type="dxa"/>
              <w:bottom w:w="0" w:type="dxa"/>
              <w:right w:w="0" w:type="dxa"/>
            </w:tcMar>
            <w:vAlign w:val="bottom"/>
          </w:tcPr>
          <w:p w:rsidR="00181083" w:rsidRDefault="00181083">
            <w:pPr>
              <w:keepNext/>
            </w:pPr>
          </w:p>
        </w:tc>
        <w:tc>
          <w:tcPr>
            <w:tcW w:w="160" w:type="dxa"/>
            <w:tcBorders>
              <w:top w:val="nil"/>
              <w:left w:val="nil"/>
              <w:bottom w:val="nil"/>
              <w:right w:val="nil"/>
            </w:tcBorders>
            <w:tcMar>
              <w:top w:w="0" w:type="dxa"/>
              <w:left w:w="53" w:type="dxa"/>
              <w:bottom w:w="0" w:type="dxa"/>
              <w:right w:w="0" w:type="dxa"/>
            </w:tcMar>
            <w:vAlign w:val="bottom"/>
          </w:tcPr>
          <w:p w:rsidR="00181083" w:rsidRDefault="0010173D">
            <w:pPr>
              <w:keepNext/>
              <w:spacing w:before="53" w:after="30"/>
            </w:pPr>
            <w:r>
              <w:rPr>
                <w:rFonts w:ascii="Arial" w:eastAsia="Arial" w:hAnsi="Arial" w:cs="Arial"/>
                <w:color w:val="000000"/>
                <w:sz w:val="18"/>
              </w:rPr>
              <w:t>$</w:t>
            </w:r>
          </w:p>
        </w:tc>
        <w:tc>
          <w:tcPr>
            <w:tcW w:w="895" w:type="dxa"/>
            <w:tcBorders>
              <w:top w:val="nil"/>
              <w:left w:val="nil"/>
              <w:bottom w:val="nil"/>
              <w:right w:val="nil"/>
            </w:tcBorders>
            <w:tcMar>
              <w:top w:w="0" w:type="dxa"/>
              <w:left w:w="0"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(1.36)</w:t>
            </w:r>
          </w:p>
        </w:tc>
        <w:tc>
          <w:tcPr>
            <w:tcW w:w="100" w:type="dxa"/>
            <w:tcBorders>
              <w:top w:val="nil"/>
              <w:left w:val="nil"/>
              <w:bottom w:val="nil"/>
              <w:right w:val="nil"/>
            </w:tcBorders>
            <w:tcMar>
              <w:top w:w="0" w:type="dxa"/>
              <w:left w:w="0" w:type="dxa"/>
              <w:bottom w:w="0" w:type="dxa"/>
              <w:right w:w="15" w:type="dxa"/>
            </w:tcMar>
            <w:vAlign w:val="bottom"/>
          </w:tcPr>
          <w:p w:rsidR="00181083" w:rsidRDefault="00181083">
            <w:pPr>
              <w:keepNext/>
              <w:spacing w:before="53" w:after="30"/>
              <w:jc w:val="right"/>
            </w:pPr>
          </w:p>
        </w:tc>
        <w:tc>
          <w:tcPr>
            <w:tcW w:w="75" w:type="dxa"/>
            <w:tcBorders>
              <w:top w:val="nil"/>
              <w:left w:val="nil"/>
              <w:bottom w:val="nil"/>
              <w:right w:val="nil"/>
            </w:tcBorders>
            <w:tcMar>
              <w:top w:w="0" w:type="dxa"/>
              <w:left w:w="0" w:type="dxa"/>
              <w:bottom w:w="0" w:type="dxa"/>
              <w:right w:w="0" w:type="dxa"/>
            </w:tcMar>
            <w:vAlign w:val="bottom"/>
          </w:tcPr>
          <w:p w:rsidR="00181083" w:rsidRDefault="00181083">
            <w:pPr>
              <w:keepNext/>
            </w:pPr>
          </w:p>
        </w:tc>
      </w:tr>
      <w:tr w:rsidR="00181083">
        <w:trPr>
          <w:cantSplit/>
          <w:trHeight w:hRule="exact" w:val="285"/>
          <w:jc w:val="center"/>
        </w:trPr>
        <w:tc>
          <w:tcPr>
            <w:tcW w:w="5865" w:type="dxa"/>
            <w:tcBorders>
              <w:top w:val="nil"/>
              <w:left w:val="nil"/>
              <w:bottom w:val="single" w:sz="8" w:space="0" w:color="000000"/>
              <w:right w:val="nil"/>
            </w:tcBorders>
            <w:tcMar>
              <w:top w:w="0" w:type="dxa"/>
              <w:left w:w="53" w:type="dxa"/>
              <w:bottom w:w="0" w:type="dxa"/>
              <w:right w:w="53" w:type="dxa"/>
            </w:tcMar>
            <w:vAlign w:val="bottom"/>
          </w:tcPr>
          <w:p w:rsidR="00181083" w:rsidRDefault="0010173D">
            <w:pPr>
              <w:keepNext/>
              <w:spacing w:before="53" w:after="30"/>
              <w:ind w:left="225"/>
            </w:pPr>
            <w:r>
              <w:rPr>
                <w:rFonts w:ascii="Arial" w:eastAsia="Arial" w:hAnsi="Arial" w:cs="Arial"/>
                <w:color w:val="000000"/>
                <w:sz w:val="18"/>
              </w:rPr>
              <w:t>Disconti</w:t>
            </w:r>
            <w:r>
              <w:rPr>
                <w:rFonts w:ascii="Arial" w:eastAsia="Arial" w:hAnsi="Arial" w:cs="Arial"/>
                <w:color w:val="000000"/>
                <w:sz w:val="18"/>
              </w:rPr>
              <w:t>nued operations</w:t>
            </w:r>
          </w:p>
        </w:tc>
        <w:tc>
          <w:tcPr>
            <w:tcW w:w="1100" w:type="dxa"/>
            <w:gridSpan w:val="2"/>
            <w:tcBorders>
              <w:top w:val="nil"/>
              <w:left w:val="nil"/>
              <w:bottom w:val="single" w:sz="8" w:space="0" w:color="000000"/>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(0.01)</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181083" w:rsidRDefault="00181083">
            <w:pPr>
              <w:keepNext/>
              <w:spacing w:before="53" w:after="30"/>
              <w:jc w:val="right"/>
            </w:pPr>
          </w:p>
        </w:tc>
        <w:tc>
          <w:tcPr>
            <w:tcW w:w="75" w:type="dxa"/>
            <w:tcBorders>
              <w:top w:val="nil"/>
              <w:left w:val="nil"/>
              <w:bottom w:val="single" w:sz="8" w:space="0" w:color="000000"/>
              <w:right w:val="nil"/>
            </w:tcBorders>
            <w:tcMar>
              <w:top w:w="0" w:type="dxa"/>
              <w:left w:w="0" w:type="dxa"/>
              <w:bottom w:w="0" w:type="dxa"/>
              <w:right w:w="0" w:type="dxa"/>
            </w:tcMar>
            <w:vAlign w:val="bottom"/>
          </w:tcPr>
          <w:p w:rsidR="00181083" w:rsidRDefault="00181083">
            <w:pPr>
              <w:keepNext/>
            </w:pPr>
          </w:p>
        </w:tc>
        <w:tc>
          <w:tcPr>
            <w:tcW w:w="1115" w:type="dxa"/>
            <w:gridSpan w:val="2"/>
            <w:tcBorders>
              <w:top w:val="nil"/>
              <w:left w:val="nil"/>
              <w:bottom w:val="single" w:sz="8" w:space="0" w:color="000000"/>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(0.02)</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181083" w:rsidRDefault="00181083">
            <w:pPr>
              <w:keepNext/>
              <w:spacing w:before="53" w:after="30"/>
              <w:jc w:val="right"/>
            </w:pPr>
          </w:p>
        </w:tc>
        <w:tc>
          <w:tcPr>
            <w:tcW w:w="75" w:type="dxa"/>
            <w:tcBorders>
              <w:top w:val="nil"/>
              <w:left w:val="nil"/>
              <w:bottom w:val="single" w:sz="8" w:space="0" w:color="000000"/>
              <w:right w:val="nil"/>
            </w:tcBorders>
            <w:tcMar>
              <w:top w:w="0" w:type="dxa"/>
              <w:left w:w="0" w:type="dxa"/>
              <w:bottom w:w="0" w:type="dxa"/>
              <w:right w:w="0" w:type="dxa"/>
            </w:tcMar>
            <w:vAlign w:val="bottom"/>
          </w:tcPr>
          <w:p w:rsidR="00181083" w:rsidRDefault="00181083">
            <w:pPr>
              <w:keepNext/>
            </w:pPr>
          </w:p>
        </w:tc>
        <w:tc>
          <w:tcPr>
            <w:tcW w:w="1055" w:type="dxa"/>
            <w:gridSpan w:val="2"/>
            <w:tcBorders>
              <w:top w:val="nil"/>
              <w:left w:val="nil"/>
              <w:bottom w:val="single" w:sz="8" w:space="0" w:color="000000"/>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0.01 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181083" w:rsidRDefault="00181083">
            <w:pPr>
              <w:keepNext/>
              <w:spacing w:before="53" w:after="30"/>
              <w:jc w:val="right"/>
            </w:pPr>
          </w:p>
        </w:tc>
        <w:tc>
          <w:tcPr>
            <w:tcW w:w="75" w:type="dxa"/>
            <w:tcBorders>
              <w:top w:val="nil"/>
              <w:left w:val="nil"/>
              <w:bottom w:val="single" w:sz="8" w:space="0" w:color="000000"/>
              <w:right w:val="nil"/>
            </w:tcBorders>
            <w:tcMar>
              <w:top w:w="0" w:type="dxa"/>
              <w:left w:w="0" w:type="dxa"/>
              <w:bottom w:w="0" w:type="dxa"/>
              <w:right w:w="0" w:type="dxa"/>
            </w:tcMar>
            <w:vAlign w:val="bottom"/>
          </w:tcPr>
          <w:p w:rsidR="00181083" w:rsidRDefault="00181083">
            <w:pPr>
              <w:keepNext/>
            </w:pPr>
          </w:p>
        </w:tc>
      </w:tr>
      <w:tr w:rsidR="00181083">
        <w:trPr>
          <w:cantSplit/>
          <w:trHeight w:hRule="exact" w:val="285"/>
          <w:jc w:val="center"/>
        </w:trPr>
        <w:tc>
          <w:tcPr>
            <w:tcW w:w="5865" w:type="dxa"/>
            <w:tcBorders>
              <w:top w:val="single" w:sz="8" w:space="0" w:color="000000"/>
              <w:left w:val="nil"/>
              <w:bottom w:val="double" w:sz="8" w:space="0" w:color="000000"/>
              <w:right w:val="nil"/>
            </w:tcBorders>
            <w:tcMar>
              <w:top w:w="0" w:type="dxa"/>
              <w:left w:w="53" w:type="dxa"/>
              <w:bottom w:w="0" w:type="dxa"/>
              <w:right w:w="53" w:type="dxa"/>
            </w:tcMar>
            <w:vAlign w:val="bottom"/>
          </w:tcPr>
          <w:p w:rsidR="00181083" w:rsidRDefault="0010173D">
            <w:pPr>
              <w:keepNext/>
              <w:spacing w:before="33" w:after="30"/>
              <w:ind w:left="225"/>
            </w:pPr>
            <w:r>
              <w:rPr>
                <w:rFonts w:ascii="Arial" w:eastAsia="Arial" w:hAnsi="Arial" w:cs="Arial"/>
                <w:color w:val="000000"/>
                <w:sz w:val="18"/>
              </w:rPr>
              <w:t>Net income (loss)</w:t>
            </w:r>
          </w:p>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rsidR="00181083" w:rsidRDefault="0010173D">
            <w:pPr>
              <w:keepNext/>
              <w:spacing w:before="33" w:after="30"/>
            </w:pPr>
            <w:r>
              <w:rPr>
                <w:rFonts w:ascii="Arial" w:eastAsia="Arial" w:hAnsi="Arial" w:cs="Arial"/>
                <w:color w:val="000000"/>
                <w:sz w:val="18"/>
              </w:rPr>
              <w:t>$</w:t>
            </w:r>
          </w:p>
        </w:tc>
        <w:tc>
          <w:tcPr>
            <w:tcW w:w="940" w:type="dxa"/>
            <w:tcBorders>
              <w:top w:val="single" w:sz="8" w:space="0" w:color="000000"/>
              <w:left w:val="nil"/>
              <w:bottom w:val="double" w:sz="8" w:space="0" w:color="000000"/>
              <w:right w:val="nil"/>
            </w:tcBorders>
            <w:tcMar>
              <w:top w:w="0" w:type="dxa"/>
              <w:left w:w="0" w:type="dxa"/>
              <w:bottom w:w="0" w:type="dxa"/>
              <w:right w:w="0" w:type="dxa"/>
            </w:tcMar>
            <w:vAlign w:val="bottom"/>
          </w:tcPr>
          <w:p w:rsidR="00181083" w:rsidRDefault="0010173D">
            <w:pPr>
              <w:keepNext/>
              <w:spacing w:before="33" w:after="30"/>
              <w:jc w:val="right"/>
            </w:pPr>
            <w:r>
              <w:rPr>
                <w:rFonts w:ascii="Arial" w:eastAsia="Arial" w:hAnsi="Arial" w:cs="Arial"/>
                <w:color w:val="000000"/>
                <w:sz w:val="18"/>
              </w:rPr>
              <w:t>(0.60)</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rsidR="00181083" w:rsidRDefault="00181083">
            <w:pPr>
              <w:keepNext/>
              <w:spacing w:before="33" w:after="30"/>
              <w:jc w:val="right"/>
            </w:pPr>
          </w:p>
        </w:tc>
        <w:tc>
          <w:tcPr>
            <w:tcW w:w="75" w:type="dxa"/>
            <w:tcBorders>
              <w:top w:val="single" w:sz="8" w:space="0" w:color="000000"/>
              <w:left w:val="nil"/>
              <w:bottom w:val="double" w:sz="8" w:space="0" w:color="000000"/>
              <w:right w:val="nil"/>
            </w:tcBorders>
            <w:tcMar>
              <w:top w:w="0" w:type="dxa"/>
              <w:left w:w="0" w:type="dxa"/>
              <w:bottom w:w="0" w:type="dxa"/>
              <w:right w:w="0" w:type="dxa"/>
            </w:tcMar>
            <w:vAlign w:val="bottom"/>
          </w:tcPr>
          <w:p w:rsidR="00181083" w:rsidRDefault="00181083">
            <w:pPr>
              <w:keepNext/>
            </w:pPr>
          </w:p>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rsidR="00181083" w:rsidRDefault="0010173D">
            <w:pPr>
              <w:keepNext/>
              <w:spacing w:before="33" w:after="30"/>
            </w:pPr>
            <w:r>
              <w:rPr>
                <w:rFonts w:ascii="Arial" w:eastAsia="Arial" w:hAnsi="Arial" w:cs="Arial"/>
                <w:color w:val="000000"/>
                <w:sz w:val="18"/>
              </w:rPr>
              <w:t>$</w:t>
            </w:r>
          </w:p>
        </w:tc>
        <w:tc>
          <w:tcPr>
            <w:tcW w:w="955" w:type="dxa"/>
            <w:tcBorders>
              <w:top w:val="single" w:sz="8" w:space="0" w:color="000000"/>
              <w:left w:val="nil"/>
              <w:bottom w:val="double" w:sz="8" w:space="0" w:color="000000"/>
              <w:right w:val="nil"/>
            </w:tcBorders>
            <w:tcMar>
              <w:top w:w="0" w:type="dxa"/>
              <w:left w:w="0" w:type="dxa"/>
              <w:bottom w:w="0" w:type="dxa"/>
              <w:right w:w="0" w:type="dxa"/>
            </w:tcMar>
            <w:vAlign w:val="bottom"/>
          </w:tcPr>
          <w:p w:rsidR="00181083" w:rsidRDefault="0010173D">
            <w:pPr>
              <w:keepNext/>
              <w:spacing w:before="33" w:after="30"/>
              <w:jc w:val="right"/>
            </w:pPr>
            <w:r>
              <w:rPr>
                <w:rFonts w:ascii="Arial" w:eastAsia="Arial" w:hAnsi="Arial" w:cs="Arial"/>
                <w:color w:val="000000"/>
                <w:sz w:val="18"/>
              </w:rPr>
              <w:t>0.93 </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rsidR="00181083" w:rsidRDefault="00181083">
            <w:pPr>
              <w:keepNext/>
              <w:spacing w:before="33" w:after="30"/>
              <w:jc w:val="right"/>
            </w:pPr>
          </w:p>
        </w:tc>
        <w:tc>
          <w:tcPr>
            <w:tcW w:w="75" w:type="dxa"/>
            <w:tcBorders>
              <w:top w:val="single" w:sz="8" w:space="0" w:color="000000"/>
              <w:left w:val="nil"/>
              <w:bottom w:val="double" w:sz="8" w:space="0" w:color="000000"/>
              <w:right w:val="nil"/>
            </w:tcBorders>
            <w:tcMar>
              <w:top w:w="0" w:type="dxa"/>
              <w:left w:w="0" w:type="dxa"/>
              <w:bottom w:w="0" w:type="dxa"/>
              <w:right w:w="0" w:type="dxa"/>
            </w:tcMar>
            <w:vAlign w:val="bottom"/>
          </w:tcPr>
          <w:p w:rsidR="00181083" w:rsidRDefault="00181083">
            <w:pPr>
              <w:keepNext/>
            </w:pPr>
          </w:p>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rsidR="00181083" w:rsidRDefault="0010173D">
            <w:pPr>
              <w:keepNext/>
              <w:spacing w:before="33" w:after="30"/>
            </w:pPr>
            <w:r>
              <w:rPr>
                <w:rFonts w:ascii="Arial" w:eastAsia="Arial" w:hAnsi="Arial" w:cs="Arial"/>
                <w:color w:val="000000"/>
                <w:sz w:val="18"/>
              </w:rPr>
              <w:t>$</w:t>
            </w:r>
          </w:p>
        </w:tc>
        <w:tc>
          <w:tcPr>
            <w:tcW w:w="895" w:type="dxa"/>
            <w:tcBorders>
              <w:top w:val="single" w:sz="8" w:space="0" w:color="000000"/>
              <w:left w:val="nil"/>
              <w:bottom w:val="double" w:sz="8" w:space="0" w:color="000000"/>
              <w:right w:val="nil"/>
            </w:tcBorders>
            <w:tcMar>
              <w:top w:w="0" w:type="dxa"/>
              <w:left w:w="0" w:type="dxa"/>
              <w:bottom w:w="0" w:type="dxa"/>
              <w:right w:w="0" w:type="dxa"/>
            </w:tcMar>
            <w:vAlign w:val="bottom"/>
          </w:tcPr>
          <w:p w:rsidR="00181083" w:rsidRDefault="0010173D">
            <w:pPr>
              <w:keepNext/>
              <w:spacing w:before="33" w:after="30"/>
              <w:jc w:val="right"/>
            </w:pPr>
            <w:r>
              <w:rPr>
                <w:rFonts w:ascii="Arial" w:eastAsia="Arial" w:hAnsi="Arial" w:cs="Arial"/>
                <w:color w:val="000000"/>
                <w:sz w:val="18"/>
              </w:rPr>
              <w:t>(1.35)</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rsidR="00181083" w:rsidRDefault="00181083">
            <w:pPr>
              <w:keepNext/>
              <w:spacing w:before="33" w:after="30"/>
              <w:jc w:val="right"/>
            </w:pPr>
          </w:p>
        </w:tc>
        <w:tc>
          <w:tcPr>
            <w:tcW w:w="75" w:type="dxa"/>
            <w:tcBorders>
              <w:top w:val="single" w:sz="8" w:space="0" w:color="000000"/>
              <w:left w:val="nil"/>
              <w:bottom w:val="double" w:sz="8" w:space="0" w:color="000000"/>
              <w:right w:val="nil"/>
            </w:tcBorders>
            <w:tcMar>
              <w:top w:w="0" w:type="dxa"/>
              <w:left w:w="0" w:type="dxa"/>
              <w:bottom w:w="0" w:type="dxa"/>
              <w:right w:w="0" w:type="dxa"/>
            </w:tcMar>
            <w:vAlign w:val="bottom"/>
          </w:tcPr>
          <w:p w:rsidR="00181083" w:rsidRDefault="00181083">
            <w:pPr>
              <w:keepNext/>
            </w:pPr>
          </w:p>
        </w:tc>
      </w:tr>
      <w:tr w:rsidR="00181083">
        <w:trPr>
          <w:cantSplit/>
          <w:trHeight w:hRule="exact" w:val="240"/>
          <w:jc w:val="center"/>
        </w:trPr>
        <w:tc>
          <w:tcPr>
            <w:tcW w:w="5865" w:type="dxa"/>
            <w:tcBorders>
              <w:top w:val="double" w:sz="8" w:space="0" w:color="000000"/>
              <w:left w:val="nil"/>
              <w:bottom w:val="nil"/>
              <w:right w:val="nil"/>
            </w:tcBorders>
            <w:tcMar>
              <w:top w:w="0" w:type="dxa"/>
              <w:left w:w="0" w:type="dxa"/>
              <w:bottom w:w="0" w:type="dxa"/>
              <w:right w:w="0" w:type="dxa"/>
            </w:tcMar>
            <w:vAlign w:val="bottom"/>
          </w:tcPr>
          <w:p w:rsidR="00181083" w:rsidRDefault="00181083">
            <w:pPr>
              <w:keepNext/>
            </w:pPr>
          </w:p>
        </w:tc>
        <w:tc>
          <w:tcPr>
            <w:tcW w:w="1200" w:type="dxa"/>
            <w:gridSpan w:val="3"/>
            <w:tcBorders>
              <w:top w:val="double" w:sz="8" w:space="0" w:color="000000"/>
              <w:left w:val="nil"/>
              <w:bottom w:val="nil"/>
              <w:right w:val="nil"/>
            </w:tcBorders>
            <w:tcMar>
              <w:top w:w="0" w:type="dxa"/>
              <w:left w:w="0" w:type="dxa"/>
              <w:bottom w:w="0" w:type="dxa"/>
              <w:right w:w="0" w:type="dxa"/>
            </w:tcMar>
            <w:vAlign w:val="bottom"/>
          </w:tcPr>
          <w:p w:rsidR="00181083" w:rsidRDefault="00181083">
            <w:pPr>
              <w:keepNext/>
            </w:pPr>
          </w:p>
        </w:tc>
        <w:tc>
          <w:tcPr>
            <w:tcW w:w="75" w:type="dxa"/>
            <w:tcBorders>
              <w:top w:val="double" w:sz="8" w:space="0" w:color="000000"/>
              <w:left w:val="nil"/>
              <w:bottom w:val="nil"/>
              <w:right w:val="nil"/>
            </w:tcBorders>
            <w:tcMar>
              <w:top w:w="0" w:type="dxa"/>
              <w:left w:w="0" w:type="dxa"/>
              <w:bottom w:w="0" w:type="dxa"/>
              <w:right w:w="0" w:type="dxa"/>
            </w:tcMar>
            <w:vAlign w:val="bottom"/>
          </w:tcPr>
          <w:p w:rsidR="00181083" w:rsidRDefault="00181083">
            <w:pPr>
              <w:keepNext/>
            </w:pPr>
          </w:p>
        </w:tc>
        <w:tc>
          <w:tcPr>
            <w:tcW w:w="1215" w:type="dxa"/>
            <w:gridSpan w:val="3"/>
            <w:tcBorders>
              <w:top w:val="double" w:sz="8" w:space="0" w:color="000000"/>
              <w:left w:val="nil"/>
              <w:bottom w:val="nil"/>
              <w:right w:val="nil"/>
            </w:tcBorders>
            <w:tcMar>
              <w:top w:w="0" w:type="dxa"/>
              <w:left w:w="0" w:type="dxa"/>
              <w:bottom w:w="0" w:type="dxa"/>
              <w:right w:w="0" w:type="dxa"/>
            </w:tcMar>
            <w:vAlign w:val="bottom"/>
          </w:tcPr>
          <w:p w:rsidR="00181083" w:rsidRDefault="00181083">
            <w:pPr>
              <w:keepNext/>
            </w:pPr>
          </w:p>
        </w:tc>
        <w:tc>
          <w:tcPr>
            <w:tcW w:w="75" w:type="dxa"/>
            <w:tcBorders>
              <w:top w:val="double" w:sz="8" w:space="0" w:color="000000"/>
              <w:left w:val="nil"/>
              <w:bottom w:val="nil"/>
              <w:right w:val="nil"/>
            </w:tcBorders>
            <w:tcMar>
              <w:top w:w="0" w:type="dxa"/>
              <w:left w:w="0" w:type="dxa"/>
              <w:bottom w:w="0" w:type="dxa"/>
              <w:right w:w="0" w:type="dxa"/>
            </w:tcMar>
            <w:vAlign w:val="bottom"/>
          </w:tcPr>
          <w:p w:rsidR="00181083" w:rsidRDefault="00181083">
            <w:pPr>
              <w:keepNext/>
            </w:pPr>
          </w:p>
        </w:tc>
        <w:tc>
          <w:tcPr>
            <w:tcW w:w="1155" w:type="dxa"/>
            <w:gridSpan w:val="3"/>
            <w:tcBorders>
              <w:top w:val="double" w:sz="8" w:space="0" w:color="000000"/>
              <w:left w:val="nil"/>
              <w:bottom w:val="nil"/>
              <w:right w:val="nil"/>
            </w:tcBorders>
            <w:tcMar>
              <w:top w:w="0" w:type="dxa"/>
              <w:left w:w="0" w:type="dxa"/>
              <w:bottom w:w="0" w:type="dxa"/>
              <w:right w:w="0" w:type="dxa"/>
            </w:tcMar>
            <w:vAlign w:val="bottom"/>
          </w:tcPr>
          <w:p w:rsidR="00181083" w:rsidRDefault="00181083">
            <w:pPr>
              <w:keepNext/>
            </w:pPr>
          </w:p>
        </w:tc>
        <w:tc>
          <w:tcPr>
            <w:tcW w:w="75" w:type="dxa"/>
            <w:tcBorders>
              <w:top w:val="double" w:sz="8" w:space="0" w:color="000000"/>
              <w:left w:val="nil"/>
              <w:bottom w:val="nil"/>
              <w:right w:val="nil"/>
            </w:tcBorders>
            <w:tcMar>
              <w:top w:w="0" w:type="dxa"/>
              <w:left w:w="0" w:type="dxa"/>
              <w:bottom w:w="0" w:type="dxa"/>
              <w:right w:w="0" w:type="dxa"/>
            </w:tcMar>
            <w:vAlign w:val="bottom"/>
          </w:tcPr>
          <w:p w:rsidR="00181083" w:rsidRDefault="00181083">
            <w:pPr>
              <w:keepNext/>
            </w:pPr>
          </w:p>
        </w:tc>
      </w:tr>
      <w:tr w:rsidR="00181083">
        <w:trPr>
          <w:cantSplit/>
          <w:trHeight w:hRule="exact" w:val="285"/>
          <w:jc w:val="center"/>
        </w:trPr>
        <w:tc>
          <w:tcPr>
            <w:tcW w:w="5865" w:type="dxa"/>
            <w:tcBorders>
              <w:top w:val="nil"/>
              <w:left w:val="nil"/>
              <w:bottom w:val="nil"/>
              <w:right w:val="nil"/>
            </w:tcBorders>
            <w:tcMar>
              <w:top w:w="0" w:type="dxa"/>
              <w:left w:w="53" w:type="dxa"/>
              <w:bottom w:w="0" w:type="dxa"/>
              <w:right w:w="53" w:type="dxa"/>
            </w:tcMar>
            <w:vAlign w:val="bottom"/>
          </w:tcPr>
          <w:p w:rsidR="00181083" w:rsidRDefault="0010173D">
            <w:pPr>
              <w:keepNext/>
              <w:spacing w:before="53" w:after="30"/>
            </w:pPr>
            <w:r>
              <w:rPr>
                <w:rFonts w:ascii="Arial" w:eastAsia="Arial" w:hAnsi="Arial" w:cs="Arial"/>
                <w:color w:val="000000"/>
                <w:sz w:val="18"/>
              </w:rPr>
              <w:t>Weighted-average shares outstanding:</w:t>
            </w:r>
          </w:p>
        </w:tc>
        <w:tc>
          <w:tcPr>
            <w:tcW w:w="1200" w:type="dxa"/>
            <w:gridSpan w:val="3"/>
            <w:tcBorders>
              <w:top w:val="nil"/>
              <w:left w:val="nil"/>
              <w:bottom w:val="nil"/>
              <w:right w:val="nil"/>
            </w:tcBorders>
            <w:tcMar>
              <w:top w:w="0" w:type="dxa"/>
              <w:left w:w="0" w:type="dxa"/>
              <w:bottom w:w="0" w:type="dxa"/>
              <w:right w:w="0" w:type="dxa"/>
            </w:tcMar>
            <w:vAlign w:val="bottom"/>
          </w:tcPr>
          <w:p w:rsidR="00181083" w:rsidRDefault="00181083">
            <w:pPr>
              <w:keepNext/>
            </w:pPr>
          </w:p>
        </w:tc>
        <w:tc>
          <w:tcPr>
            <w:tcW w:w="75" w:type="dxa"/>
            <w:tcBorders>
              <w:top w:val="nil"/>
              <w:left w:val="nil"/>
              <w:bottom w:val="nil"/>
              <w:right w:val="nil"/>
            </w:tcBorders>
            <w:tcMar>
              <w:top w:w="0" w:type="dxa"/>
              <w:left w:w="0" w:type="dxa"/>
              <w:bottom w:w="0" w:type="dxa"/>
              <w:right w:w="0" w:type="dxa"/>
            </w:tcMar>
            <w:vAlign w:val="bottom"/>
          </w:tcPr>
          <w:p w:rsidR="00181083" w:rsidRDefault="00181083">
            <w:pPr>
              <w:keepNext/>
            </w:pPr>
          </w:p>
        </w:tc>
        <w:tc>
          <w:tcPr>
            <w:tcW w:w="1215" w:type="dxa"/>
            <w:gridSpan w:val="3"/>
            <w:tcBorders>
              <w:top w:val="nil"/>
              <w:left w:val="nil"/>
              <w:bottom w:val="nil"/>
              <w:right w:val="nil"/>
            </w:tcBorders>
            <w:tcMar>
              <w:top w:w="0" w:type="dxa"/>
              <w:left w:w="0" w:type="dxa"/>
              <w:bottom w:w="0" w:type="dxa"/>
              <w:right w:w="0" w:type="dxa"/>
            </w:tcMar>
            <w:vAlign w:val="bottom"/>
          </w:tcPr>
          <w:p w:rsidR="00181083" w:rsidRDefault="00181083">
            <w:pPr>
              <w:keepNext/>
            </w:pPr>
          </w:p>
        </w:tc>
        <w:tc>
          <w:tcPr>
            <w:tcW w:w="75" w:type="dxa"/>
            <w:tcBorders>
              <w:top w:val="nil"/>
              <w:left w:val="nil"/>
              <w:bottom w:val="nil"/>
              <w:right w:val="nil"/>
            </w:tcBorders>
            <w:tcMar>
              <w:top w:w="0" w:type="dxa"/>
              <w:left w:w="0" w:type="dxa"/>
              <w:bottom w:w="0" w:type="dxa"/>
              <w:right w:w="0" w:type="dxa"/>
            </w:tcMar>
            <w:vAlign w:val="bottom"/>
          </w:tcPr>
          <w:p w:rsidR="00181083" w:rsidRDefault="00181083">
            <w:pPr>
              <w:keepNext/>
            </w:pPr>
          </w:p>
        </w:tc>
        <w:tc>
          <w:tcPr>
            <w:tcW w:w="1155" w:type="dxa"/>
            <w:gridSpan w:val="3"/>
            <w:tcBorders>
              <w:top w:val="nil"/>
              <w:left w:val="nil"/>
              <w:bottom w:val="nil"/>
              <w:right w:val="nil"/>
            </w:tcBorders>
            <w:tcMar>
              <w:top w:w="0" w:type="dxa"/>
              <w:left w:w="0" w:type="dxa"/>
              <w:bottom w:w="0" w:type="dxa"/>
              <w:right w:w="0" w:type="dxa"/>
            </w:tcMar>
            <w:vAlign w:val="bottom"/>
          </w:tcPr>
          <w:p w:rsidR="00181083" w:rsidRDefault="00181083">
            <w:pPr>
              <w:keepNext/>
            </w:pPr>
          </w:p>
        </w:tc>
        <w:tc>
          <w:tcPr>
            <w:tcW w:w="75" w:type="dxa"/>
            <w:tcBorders>
              <w:top w:val="nil"/>
              <w:left w:val="nil"/>
              <w:bottom w:val="nil"/>
              <w:right w:val="nil"/>
            </w:tcBorders>
            <w:tcMar>
              <w:top w:w="0" w:type="dxa"/>
              <w:left w:w="0" w:type="dxa"/>
              <w:bottom w:w="0" w:type="dxa"/>
              <w:right w:w="0" w:type="dxa"/>
            </w:tcMar>
            <w:vAlign w:val="bottom"/>
          </w:tcPr>
          <w:p w:rsidR="00181083" w:rsidRDefault="00181083">
            <w:pPr>
              <w:keepNext/>
            </w:pPr>
          </w:p>
        </w:tc>
      </w:tr>
      <w:tr w:rsidR="00181083">
        <w:trPr>
          <w:cantSplit/>
          <w:trHeight w:hRule="exact" w:val="285"/>
          <w:jc w:val="center"/>
        </w:trPr>
        <w:tc>
          <w:tcPr>
            <w:tcW w:w="5865" w:type="dxa"/>
            <w:tcBorders>
              <w:top w:val="nil"/>
              <w:left w:val="nil"/>
              <w:bottom w:val="nil"/>
              <w:right w:val="nil"/>
            </w:tcBorders>
            <w:tcMar>
              <w:top w:w="0" w:type="dxa"/>
              <w:left w:w="53" w:type="dxa"/>
              <w:bottom w:w="0" w:type="dxa"/>
              <w:right w:w="53" w:type="dxa"/>
            </w:tcMar>
            <w:vAlign w:val="bottom"/>
          </w:tcPr>
          <w:p w:rsidR="00181083" w:rsidRDefault="0010173D">
            <w:pPr>
              <w:keepNext/>
              <w:spacing w:before="53" w:after="30"/>
              <w:ind w:left="225"/>
            </w:pPr>
            <w:r>
              <w:rPr>
                <w:rFonts w:ascii="Arial" w:eastAsia="Arial" w:hAnsi="Arial" w:cs="Arial"/>
                <w:color w:val="000000"/>
                <w:sz w:val="18"/>
              </w:rPr>
              <w:t>Basic</w:t>
            </w:r>
          </w:p>
        </w:tc>
        <w:tc>
          <w:tcPr>
            <w:tcW w:w="1100" w:type="dxa"/>
            <w:gridSpan w:val="2"/>
            <w:tcBorders>
              <w:top w:val="nil"/>
              <w:left w:val="nil"/>
              <w:bottom w:val="nil"/>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15,316 </w:t>
            </w:r>
          </w:p>
        </w:tc>
        <w:tc>
          <w:tcPr>
            <w:tcW w:w="100" w:type="dxa"/>
            <w:tcBorders>
              <w:top w:val="nil"/>
              <w:left w:val="nil"/>
              <w:bottom w:val="nil"/>
              <w:right w:val="nil"/>
            </w:tcBorders>
            <w:tcMar>
              <w:top w:w="0" w:type="dxa"/>
              <w:left w:w="0" w:type="dxa"/>
              <w:bottom w:w="0" w:type="dxa"/>
              <w:right w:w="15" w:type="dxa"/>
            </w:tcMar>
            <w:vAlign w:val="bottom"/>
          </w:tcPr>
          <w:p w:rsidR="00181083" w:rsidRDefault="00181083">
            <w:pPr>
              <w:keepNext/>
              <w:spacing w:before="53" w:after="30"/>
              <w:jc w:val="right"/>
            </w:pPr>
          </w:p>
        </w:tc>
        <w:tc>
          <w:tcPr>
            <w:tcW w:w="75" w:type="dxa"/>
            <w:tcBorders>
              <w:top w:val="nil"/>
              <w:left w:val="nil"/>
              <w:bottom w:val="nil"/>
              <w:right w:val="nil"/>
            </w:tcBorders>
            <w:tcMar>
              <w:top w:w="0" w:type="dxa"/>
              <w:left w:w="0" w:type="dxa"/>
              <w:bottom w:w="0" w:type="dxa"/>
              <w:right w:w="0" w:type="dxa"/>
            </w:tcMar>
            <w:vAlign w:val="bottom"/>
          </w:tcPr>
          <w:p w:rsidR="00181083" w:rsidRDefault="00181083">
            <w:pPr>
              <w:keepNext/>
            </w:pPr>
          </w:p>
        </w:tc>
        <w:tc>
          <w:tcPr>
            <w:tcW w:w="1115" w:type="dxa"/>
            <w:gridSpan w:val="2"/>
            <w:tcBorders>
              <w:top w:val="nil"/>
              <w:left w:val="nil"/>
              <w:bottom w:val="nil"/>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15,822 </w:t>
            </w:r>
          </w:p>
        </w:tc>
        <w:tc>
          <w:tcPr>
            <w:tcW w:w="100" w:type="dxa"/>
            <w:tcBorders>
              <w:top w:val="nil"/>
              <w:left w:val="nil"/>
              <w:bottom w:val="nil"/>
              <w:right w:val="nil"/>
            </w:tcBorders>
            <w:tcMar>
              <w:top w:w="0" w:type="dxa"/>
              <w:left w:w="0" w:type="dxa"/>
              <w:bottom w:w="0" w:type="dxa"/>
              <w:right w:w="15" w:type="dxa"/>
            </w:tcMar>
            <w:vAlign w:val="bottom"/>
          </w:tcPr>
          <w:p w:rsidR="00181083" w:rsidRDefault="00181083">
            <w:pPr>
              <w:keepNext/>
              <w:spacing w:before="53" w:after="30"/>
              <w:jc w:val="right"/>
            </w:pPr>
          </w:p>
        </w:tc>
        <w:tc>
          <w:tcPr>
            <w:tcW w:w="75" w:type="dxa"/>
            <w:tcBorders>
              <w:top w:val="nil"/>
              <w:left w:val="nil"/>
              <w:bottom w:val="nil"/>
              <w:right w:val="nil"/>
            </w:tcBorders>
            <w:tcMar>
              <w:top w:w="0" w:type="dxa"/>
              <w:left w:w="0" w:type="dxa"/>
              <w:bottom w:w="0" w:type="dxa"/>
              <w:right w:w="0" w:type="dxa"/>
            </w:tcMar>
            <w:vAlign w:val="bottom"/>
          </w:tcPr>
          <w:p w:rsidR="00181083" w:rsidRDefault="00181083">
            <w:pPr>
              <w:keepNext/>
            </w:pPr>
          </w:p>
        </w:tc>
        <w:tc>
          <w:tcPr>
            <w:tcW w:w="1055" w:type="dxa"/>
            <w:gridSpan w:val="2"/>
            <w:tcBorders>
              <w:top w:val="nil"/>
              <w:left w:val="nil"/>
              <w:bottom w:val="nil"/>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15,764 </w:t>
            </w:r>
          </w:p>
        </w:tc>
        <w:tc>
          <w:tcPr>
            <w:tcW w:w="100" w:type="dxa"/>
            <w:tcBorders>
              <w:top w:val="nil"/>
              <w:left w:val="nil"/>
              <w:bottom w:val="nil"/>
              <w:right w:val="nil"/>
            </w:tcBorders>
            <w:tcMar>
              <w:top w:w="0" w:type="dxa"/>
              <w:left w:w="0" w:type="dxa"/>
              <w:bottom w:w="0" w:type="dxa"/>
              <w:right w:w="15" w:type="dxa"/>
            </w:tcMar>
            <w:vAlign w:val="bottom"/>
          </w:tcPr>
          <w:p w:rsidR="00181083" w:rsidRDefault="00181083">
            <w:pPr>
              <w:keepNext/>
              <w:spacing w:before="53" w:after="30"/>
              <w:jc w:val="right"/>
            </w:pPr>
          </w:p>
        </w:tc>
        <w:tc>
          <w:tcPr>
            <w:tcW w:w="75" w:type="dxa"/>
            <w:tcBorders>
              <w:top w:val="nil"/>
              <w:left w:val="nil"/>
              <w:bottom w:val="nil"/>
              <w:right w:val="nil"/>
            </w:tcBorders>
            <w:tcMar>
              <w:top w:w="0" w:type="dxa"/>
              <w:left w:w="0" w:type="dxa"/>
              <w:bottom w:w="0" w:type="dxa"/>
              <w:right w:w="0" w:type="dxa"/>
            </w:tcMar>
            <w:vAlign w:val="bottom"/>
          </w:tcPr>
          <w:p w:rsidR="00181083" w:rsidRDefault="00181083">
            <w:pPr>
              <w:keepNext/>
            </w:pPr>
          </w:p>
        </w:tc>
      </w:tr>
      <w:tr w:rsidR="00181083">
        <w:trPr>
          <w:cantSplit/>
          <w:trHeight w:hRule="exact" w:val="285"/>
          <w:jc w:val="center"/>
        </w:trPr>
        <w:tc>
          <w:tcPr>
            <w:tcW w:w="5865" w:type="dxa"/>
            <w:tcBorders>
              <w:top w:val="nil"/>
              <w:left w:val="nil"/>
              <w:bottom w:val="double" w:sz="8" w:space="0" w:color="000000"/>
              <w:right w:val="nil"/>
            </w:tcBorders>
            <w:tcMar>
              <w:top w:w="0" w:type="dxa"/>
              <w:left w:w="53" w:type="dxa"/>
              <w:bottom w:w="0" w:type="dxa"/>
              <w:right w:w="53" w:type="dxa"/>
            </w:tcMar>
            <w:vAlign w:val="bottom"/>
          </w:tcPr>
          <w:p w:rsidR="00181083" w:rsidRDefault="0010173D">
            <w:pPr>
              <w:keepNext/>
              <w:spacing w:before="53" w:after="30"/>
              <w:ind w:left="225"/>
            </w:pPr>
            <w:r>
              <w:rPr>
                <w:rFonts w:ascii="Arial" w:eastAsia="Arial" w:hAnsi="Arial" w:cs="Arial"/>
                <w:color w:val="000000"/>
                <w:sz w:val="18"/>
              </w:rPr>
              <w:t>Diluted</w:t>
            </w:r>
          </w:p>
        </w:tc>
        <w:tc>
          <w:tcPr>
            <w:tcW w:w="1100" w:type="dxa"/>
            <w:gridSpan w:val="2"/>
            <w:tcBorders>
              <w:top w:val="nil"/>
              <w:left w:val="nil"/>
              <w:bottom w:val="double" w:sz="8" w:space="0" w:color="000000"/>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15,316 </w:t>
            </w:r>
          </w:p>
        </w:tc>
        <w:tc>
          <w:tcPr>
            <w:tcW w:w="100" w:type="dxa"/>
            <w:tcBorders>
              <w:top w:val="nil"/>
              <w:left w:val="nil"/>
              <w:bottom w:val="double" w:sz="8" w:space="0" w:color="000000"/>
              <w:right w:val="nil"/>
            </w:tcBorders>
            <w:tcMar>
              <w:top w:w="0" w:type="dxa"/>
              <w:left w:w="0" w:type="dxa"/>
              <w:bottom w:w="0" w:type="dxa"/>
              <w:right w:w="15" w:type="dxa"/>
            </w:tcMar>
            <w:vAlign w:val="bottom"/>
          </w:tcPr>
          <w:p w:rsidR="00181083" w:rsidRDefault="00181083">
            <w:pPr>
              <w:keepNext/>
              <w:spacing w:before="53" w:after="30"/>
              <w:jc w:val="right"/>
            </w:pPr>
          </w:p>
        </w:tc>
        <w:tc>
          <w:tcPr>
            <w:tcW w:w="75" w:type="dxa"/>
            <w:tcBorders>
              <w:top w:val="nil"/>
              <w:left w:val="nil"/>
              <w:bottom w:val="double" w:sz="8" w:space="0" w:color="000000"/>
              <w:right w:val="nil"/>
            </w:tcBorders>
            <w:tcMar>
              <w:top w:w="0" w:type="dxa"/>
              <w:left w:w="0" w:type="dxa"/>
              <w:bottom w:w="0" w:type="dxa"/>
              <w:right w:w="0" w:type="dxa"/>
            </w:tcMar>
            <w:vAlign w:val="bottom"/>
          </w:tcPr>
          <w:p w:rsidR="00181083" w:rsidRDefault="00181083">
            <w:pPr>
              <w:keepNext/>
            </w:pPr>
          </w:p>
        </w:tc>
        <w:tc>
          <w:tcPr>
            <w:tcW w:w="1115" w:type="dxa"/>
            <w:gridSpan w:val="2"/>
            <w:tcBorders>
              <w:top w:val="nil"/>
              <w:left w:val="nil"/>
              <w:bottom w:val="double" w:sz="8" w:space="0" w:color="000000"/>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15,926 </w:t>
            </w:r>
          </w:p>
        </w:tc>
        <w:tc>
          <w:tcPr>
            <w:tcW w:w="100" w:type="dxa"/>
            <w:tcBorders>
              <w:top w:val="nil"/>
              <w:left w:val="nil"/>
              <w:bottom w:val="double" w:sz="8" w:space="0" w:color="000000"/>
              <w:right w:val="nil"/>
            </w:tcBorders>
            <w:tcMar>
              <w:top w:w="0" w:type="dxa"/>
              <w:left w:w="0" w:type="dxa"/>
              <w:bottom w:w="0" w:type="dxa"/>
              <w:right w:w="15" w:type="dxa"/>
            </w:tcMar>
            <w:vAlign w:val="bottom"/>
          </w:tcPr>
          <w:p w:rsidR="00181083" w:rsidRDefault="00181083">
            <w:pPr>
              <w:keepNext/>
              <w:spacing w:before="53" w:after="30"/>
              <w:jc w:val="right"/>
            </w:pPr>
          </w:p>
        </w:tc>
        <w:tc>
          <w:tcPr>
            <w:tcW w:w="75" w:type="dxa"/>
            <w:tcBorders>
              <w:top w:val="nil"/>
              <w:left w:val="nil"/>
              <w:bottom w:val="double" w:sz="8" w:space="0" w:color="000000"/>
              <w:right w:val="nil"/>
            </w:tcBorders>
            <w:tcMar>
              <w:top w:w="0" w:type="dxa"/>
              <w:left w:w="0" w:type="dxa"/>
              <w:bottom w:w="0" w:type="dxa"/>
              <w:right w:w="0" w:type="dxa"/>
            </w:tcMar>
            <w:vAlign w:val="bottom"/>
          </w:tcPr>
          <w:p w:rsidR="00181083" w:rsidRDefault="00181083">
            <w:pPr>
              <w:keepNext/>
            </w:pPr>
          </w:p>
        </w:tc>
        <w:tc>
          <w:tcPr>
            <w:tcW w:w="1055" w:type="dxa"/>
            <w:gridSpan w:val="2"/>
            <w:tcBorders>
              <w:top w:val="nil"/>
              <w:left w:val="nil"/>
              <w:bottom w:val="double" w:sz="8" w:space="0" w:color="000000"/>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15,764 </w:t>
            </w:r>
          </w:p>
        </w:tc>
        <w:tc>
          <w:tcPr>
            <w:tcW w:w="100" w:type="dxa"/>
            <w:tcBorders>
              <w:top w:val="nil"/>
              <w:left w:val="nil"/>
              <w:bottom w:val="double" w:sz="8" w:space="0" w:color="000000"/>
              <w:right w:val="nil"/>
            </w:tcBorders>
            <w:tcMar>
              <w:top w:w="0" w:type="dxa"/>
              <w:left w:w="0" w:type="dxa"/>
              <w:bottom w:w="0" w:type="dxa"/>
              <w:right w:w="15" w:type="dxa"/>
            </w:tcMar>
            <w:vAlign w:val="bottom"/>
          </w:tcPr>
          <w:p w:rsidR="00181083" w:rsidRDefault="00181083">
            <w:pPr>
              <w:keepNext/>
              <w:spacing w:before="53" w:after="30"/>
              <w:jc w:val="right"/>
            </w:pPr>
          </w:p>
        </w:tc>
        <w:tc>
          <w:tcPr>
            <w:tcW w:w="75" w:type="dxa"/>
            <w:tcBorders>
              <w:top w:val="nil"/>
              <w:left w:val="nil"/>
              <w:bottom w:val="double" w:sz="8" w:space="0" w:color="000000"/>
              <w:right w:val="nil"/>
            </w:tcBorders>
            <w:tcMar>
              <w:top w:w="0" w:type="dxa"/>
              <w:left w:w="0" w:type="dxa"/>
              <w:bottom w:w="0" w:type="dxa"/>
              <w:right w:w="0" w:type="dxa"/>
            </w:tcMar>
            <w:vAlign w:val="bottom"/>
          </w:tcPr>
          <w:p w:rsidR="00181083" w:rsidRDefault="00181083">
            <w:pPr>
              <w:keepNext/>
            </w:pPr>
          </w:p>
        </w:tc>
      </w:tr>
      <w:tr w:rsidR="00181083">
        <w:trPr>
          <w:cantSplit/>
          <w:trHeight w:hRule="exact" w:val="300"/>
          <w:jc w:val="center"/>
        </w:trPr>
        <w:tc>
          <w:tcPr>
            <w:tcW w:w="5865" w:type="dxa"/>
            <w:tcBorders>
              <w:top w:val="double" w:sz="8" w:space="0" w:color="000000"/>
              <w:left w:val="nil"/>
              <w:bottom w:val="nil"/>
              <w:right w:val="nil"/>
            </w:tcBorders>
            <w:tcMar>
              <w:top w:w="0" w:type="dxa"/>
              <w:left w:w="0" w:type="dxa"/>
              <w:bottom w:w="0" w:type="dxa"/>
              <w:right w:w="0" w:type="dxa"/>
            </w:tcMar>
            <w:vAlign w:val="bottom"/>
          </w:tcPr>
          <w:p w:rsidR="00181083" w:rsidRDefault="00181083"/>
        </w:tc>
        <w:tc>
          <w:tcPr>
            <w:tcW w:w="1200" w:type="dxa"/>
            <w:gridSpan w:val="3"/>
            <w:tcBorders>
              <w:top w:val="double" w:sz="8" w:space="0" w:color="000000"/>
              <w:left w:val="nil"/>
              <w:bottom w:val="nil"/>
              <w:right w:val="nil"/>
            </w:tcBorders>
            <w:tcMar>
              <w:top w:w="0" w:type="dxa"/>
              <w:left w:w="0" w:type="dxa"/>
              <w:bottom w:w="0" w:type="dxa"/>
              <w:right w:w="0" w:type="dxa"/>
            </w:tcMar>
            <w:vAlign w:val="bottom"/>
          </w:tcPr>
          <w:p w:rsidR="00181083" w:rsidRDefault="00181083"/>
        </w:tc>
        <w:tc>
          <w:tcPr>
            <w:tcW w:w="75" w:type="dxa"/>
            <w:tcBorders>
              <w:top w:val="double" w:sz="8" w:space="0" w:color="000000"/>
              <w:left w:val="nil"/>
              <w:bottom w:val="nil"/>
              <w:right w:val="nil"/>
            </w:tcBorders>
            <w:tcMar>
              <w:top w:w="0" w:type="dxa"/>
              <w:left w:w="0" w:type="dxa"/>
              <w:bottom w:w="0" w:type="dxa"/>
              <w:right w:w="0" w:type="dxa"/>
            </w:tcMar>
            <w:vAlign w:val="bottom"/>
          </w:tcPr>
          <w:p w:rsidR="00181083" w:rsidRDefault="00181083"/>
        </w:tc>
        <w:tc>
          <w:tcPr>
            <w:tcW w:w="1215" w:type="dxa"/>
            <w:gridSpan w:val="3"/>
            <w:tcBorders>
              <w:top w:val="double" w:sz="8" w:space="0" w:color="000000"/>
              <w:left w:val="nil"/>
              <w:bottom w:val="nil"/>
              <w:right w:val="nil"/>
            </w:tcBorders>
            <w:tcMar>
              <w:top w:w="0" w:type="dxa"/>
              <w:left w:w="0" w:type="dxa"/>
              <w:bottom w:w="0" w:type="dxa"/>
              <w:right w:w="0" w:type="dxa"/>
            </w:tcMar>
            <w:vAlign w:val="bottom"/>
          </w:tcPr>
          <w:p w:rsidR="00181083" w:rsidRDefault="00181083"/>
        </w:tc>
        <w:tc>
          <w:tcPr>
            <w:tcW w:w="75" w:type="dxa"/>
            <w:tcBorders>
              <w:top w:val="double" w:sz="8" w:space="0" w:color="000000"/>
              <w:left w:val="nil"/>
              <w:bottom w:val="nil"/>
              <w:right w:val="nil"/>
            </w:tcBorders>
            <w:tcMar>
              <w:top w:w="0" w:type="dxa"/>
              <w:left w:w="0" w:type="dxa"/>
              <w:bottom w:w="0" w:type="dxa"/>
              <w:right w:w="0" w:type="dxa"/>
            </w:tcMar>
            <w:vAlign w:val="bottom"/>
          </w:tcPr>
          <w:p w:rsidR="00181083" w:rsidRDefault="00181083"/>
        </w:tc>
        <w:tc>
          <w:tcPr>
            <w:tcW w:w="1155" w:type="dxa"/>
            <w:gridSpan w:val="3"/>
            <w:tcBorders>
              <w:top w:val="double" w:sz="8" w:space="0" w:color="000000"/>
              <w:left w:val="nil"/>
              <w:bottom w:val="nil"/>
              <w:right w:val="nil"/>
            </w:tcBorders>
            <w:tcMar>
              <w:top w:w="0" w:type="dxa"/>
              <w:left w:w="0" w:type="dxa"/>
              <w:bottom w:w="0" w:type="dxa"/>
              <w:right w:w="0" w:type="dxa"/>
            </w:tcMar>
            <w:vAlign w:val="bottom"/>
          </w:tcPr>
          <w:p w:rsidR="00181083" w:rsidRDefault="00181083"/>
        </w:tc>
        <w:tc>
          <w:tcPr>
            <w:tcW w:w="75" w:type="dxa"/>
            <w:tcBorders>
              <w:top w:val="double" w:sz="8" w:space="0" w:color="000000"/>
              <w:left w:val="nil"/>
              <w:bottom w:val="nil"/>
              <w:right w:val="nil"/>
            </w:tcBorders>
            <w:tcMar>
              <w:top w:w="0" w:type="dxa"/>
              <w:left w:w="0" w:type="dxa"/>
              <w:bottom w:w="0" w:type="dxa"/>
              <w:right w:w="0" w:type="dxa"/>
            </w:tcMar>
            <w:vAlign w:val="bottom"/>
          </w:tcPr>
          <w:p w:rsidR="00181083" w:rsidRDefault="00181083"/>
        </w:tc>
      </w:tr>
    </w:tbl>
    <w:p w:rsidR="00181083" w:rsidRDefault="0010173D">
      <w:pPr>
        <w:spacing w:line="288" w:lineRule="auto"/>
        <w:jc w:val="center"/>
        <w:rPr>
          <w:sz w:val="20"/>
        </w:rPr>
      </w:pPr>
      <w:r>
        <w:rPr>
          <w:sz w:val="20"/>
        </w:rPr>
        <w:t xml:space="preserve"> </w:t>
      </w:r>
    </w:p>
    <w:p w:rsidR="00181083" w:rsidRDefault="00181083">
      <w:pPr>
        <w:spacing w:line="288" w:lineRule="auto"/>
        <w:rPr>
          <w:sz w:val="20"/>
        </w:rPr>
      </w:pPr>
    </w:p>
    <w:p w:rsidR="00181083" w:rsidRDefault="00181083">
      <w:pPr>
        <w:spacing w:line="288" w:lineRule="auto"/>
        <w:jc w:val="center"/>
        <w:rPr>
          <w:sz w:val="20"/>
        </w:rPr>
      </w:pPr>
    </w:p>
    <w:p w:rsidR="00181083" w:rsidRDefault="00181083">
      <w:pPr>
        <w:spacing w:line="288" w:lineRule="auto"/>
        <w:jc w:val="center"/>
        <w:rPr>
          <w:sz w:val="20"/>
        </w:rPr>
        <w:sectPr w:rsidR="00181083">
          <w:headerReference w:type="default" r:id="rId12"/>
          <w:pgSz w:w="12240" w:h="15840"/>
          <w:pgMar w:top="1350" w:right="1260" w:bottom="900" w:left="990" w:header="270" w:footer="270" w:gutter="0"/>
          <w:pgNumType w:start="3"/>
          <w:cols w:space="708"/>
        </w:sectPr>
      </w:pPr>
    </w:p>
    <w:p w:rsidR="00181083" w:rsidRDefault="00181083">
      <w:pPr>
        <w:spacing w:line="288" w:lineRule="auto"/>
        <w:rPr>
          <w:rFonts w:ascii="Arial" w:eastAsia="Arial" w:hAnsi="Arial" w:cs="Arial"/>
          <w:b/>
          <w:sz w:val="18"/>
        </w:rPr>
      </w:pPr>
      <w:bookmarkStart w:id="5" w:name="Section5"/>
      <w:bookmarkEnd w:id="5"/>
    </w:p>
    <w:p w:rsidR="00181083" w:rsidRDefault="0010173D">
      <w:pPr>
        <w:spacing w:line="288" w:lineRule="auto"/>
        <w:rPr>
          <w:rFonts w:ascii="Arial" w:eastAsia="Arial" w:hAnsi="Arial" w:cs="Arial"/>
          <w:b/>
          <w:sz w:val="18"/>
        </w:rPr>
      </w:pPr>
      <w:r>
        <w:rPr>
          <w:rFonts w:ascii="Arial" w:eastAsia="Arial" w:hAnsi="Arial" w:cs="Arial"/>
          <w:b/>
          <w:sz w:val="18"/>
        </w:rPr>
        <w:t>THE DIXIE GROUP, INC.</w:t>
      </w:r>
    </w:p>
    <w:p w:rsidR="00181083" w:rsidRDefault="0010173D">
      <w:pPr>
        <w:spacing w:line="288" w:lineRule="auto"/>
        <w:rPr>
          <w:rFonts w:ascii="Arial" w:eastAsia="Arial" w:hAnsi="Arial" w:cs="Arial"/>
          <w:b/>
          <w:sz w:val="18"/>
        </w:rPr>
      </w:pPr>
      <w:r>
        <w:rPr>
          <w:rFonts w:ascii="Arial" w:eastAsia="Arial" w:hAnsi="Arial" w:cs="Arial"/>
          <w:b/>
          <w:sz w:val="18"/>
        </w:rPr>
        <w:t>Consolidated Condensed Balance Sheets</w:t>
      </w:r>
    </w:p>
    <w:p w:rsidR="00181083" w:rsidRDefault="0010173D">
      <w:pPr>
        <w:spacing w:after="100" w:line="288" w:lineRule="auto"/>
        <w:rPr>
          <w:rFonts w:ascii="Arial" w:eastAsia="Arial" w:hAnsi="Arial" w:cs="Arial"/>
          <w:b/>
          <w:i/>
          <w:sz w:val="18"/>
        </w:rPr>
      </w:pPr>
      <w:r>
        <w:rPr>
          <w:rFonts w:ascii="Arial" w:eastAsia="Arial" w:hAnsi="Arial" w:cs="Arial"/>
          <w:b/>
          <w:i/>
          <w:sz w:val="18"/>
        </w:rPr>
        <w:t>(in thousands)</w:t>
      </w:r>
    </w:p>
    <w:tbl>
      <w:tblPr>
        <w:tblW w:w="10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4"/>
        <w:gridCol w:w="163"/>
        <w:gridCol w:w="1081"/>
        <w:gridCol w:w="102"/>
        <w:gridCol w:w="199"/>
        <w:gridCol w:w="163"/>
        <w:gridCol w:w="1081"/>
        <w:gridCol w:w="102"/>
      </w:tblGrid>
      <w:tr w:rsidR="00181083">
        <w:trPr>
          <w:cantSplit/>
          <w:trHeight w:hRule="exact" w:val="465"/>
          <w:jc w:val="center"/>
        </w:trPr>
        <w:tc>
          <w:tcPr>
            <w:tcW w:w="7425" w:type="dxa"/>
            <w:tcBorders>
              <w:top w:val="single" w:sz="8" w:space="0" w:color="000000"/>
              <w:left w:val="nil"/>
              <w:bottom w:val="single" w:sz="8" w:space="0" w:color="000000"/>
              <w:right w:val="nil"/>
            </w:tcBorders>
            <w:tcMar>
              <w:top w:w="0" w:type="dxa"/>
              <w:left w:w="53" w:type="dxa"/>
              <w:bottom w:w="0" w:type="dxa"/>
              <w:right w:w="53" w:type="dxa"/>
            </w:tcMar>
            <w:vAlign w:val="bottom"/>
          </w:tcPr>
          <w:p w:rsidR="00181083" w:rsidRDefault="0010173D">
            <w:pPr>
              <w:keepNext/>
              <w:spacing w:before="33" w:after="30"/>
            </w:pPr>
            <w:r>
              <w:rPr>
                <w:rFonts w:ascii="Arial" w:eastAsia="Arial" w:hAnsi="Arial" w:cs="Arial"/>
                <w:color w:val="000000"/>
                <w:sz w:val="18"/>
              </w:rPr>
              <w:t> </w:t>
            </w:r>
          </w:p>
        </w:tc>
        <w:tc>
          <w:tcPr>
            <w:tcW w:w="1320"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rsidR="00181083" w:rsidRDefault="0010173D">
            <w:pPr>
              <w:keepNext/>
              <w:spacing w:before="33" w:after="30"/>
              <w:jc w:val="center"/>
            </w:pPr>
            <w:r>
              <w:rPr>
                <w:rFonts w:ascii="Arial" w:eastAsia="Arial" w:hAnsi="Arial" w:cs="Arial"/>
                <w:color w:val="000000"/>
                <w:sz w:val="18"/>
              </w:rPr>
              <w:t>December 26,</w:t>
            </w:r>
            <w:r>
              <w:br/>
            </w:r>
            <w:r>
              <w:rPr>
                <w:rFonts w:ascii="Arial" w:eastAsia="Arial" w:hAnsi="Arial" w:cs="Arial"/>
                <w:color w:val="000000"/>
                <w:sz w:val="18"/>
              </w:rPr>
              <w:t>2020</w:t>
            </w:r>
          </w:p>
        </w:tc>
        <w:tc>
          <w:tcPr>
            <w:tcW w:w="195" w:type="dxa"/>
            <w:tcBorders>
              <w:top w:val="single" w:sz="8" w:space="0" w:color="000000"/>
              <w:left w:val="nil"/>
              <w:bottom w:val="single" w:sz="8" w:space="0" w:color="000000"/>
              <w:right w:val="nil"/>
            </w:tcBorders>
            <w:tcMar>
              <w:top w:w="0" w:type="dxa"/>
              <w:left w:w="0" w:type="dxa"/>
              <w:bottom w:w="0" w:type="dxa"/>
              <w:right w:w="0" w:type="dxa"/>
            </w:tcMar>
            <w:vAlign w:val="bottom"/>
          </w:tcPr>
          <w:p w:rsidR="00181083" w:rsidRDefault="00181083">
            <w:pPr>
              <w:keepNext/>
            </w:pPr>
          </w:p>
        </w:tc>
        <w:tc>
          <w:tcPr>
            <w:tcW w:w="1320"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rsidR="00181083" w:rsidRDefault="0010173D">
            <w:pPr>
              <w:keepNext/>
              <w:spacing w:before="33" w:after="30"/>
              <w:jc w:val="center"/>
            </w:pPr>
            <w:r>
              <w:rPr>
                <w:rFonts w:ascii="Arial" w:eastAsia="Arial" w:hAnsi="Arial" w:cs="Arial"/>
                <w:color w:val="000000"/>
                <w:sz w:val="18"/>
              </w:rPr>
              <w:t>December 28,</w:t>
            </w:r>
            <w:r>
              <w:br/>
            </w:r>
            <w:r>
              <w:rPr>
                <w:rFonts w:ascii="Arial" w:eastAsia="Arial" w:hAnsi="Arial" w:cs="Arial"/>
                <w:color w:val="000000"/>
                <w:sz w:val="18"/>
              </w:rPr>
              <w:t>2019</w:t>
            </w:r>
          </w:p>
        </w:tc>
      </w:tr>
      <w:tr w:rsidR="00181083">
        <w:trPr>
          <w:cantSplit/>
          <w:trHeight w:hRule="exact" w:val="285"/>
          <w:jc w:val="center"/>
        </w:trPr>
        <w:tc>
          <w:tcPr>
            <w:tcW w:w="7425" w:type="dxa"/>
            <w:tcBorders>
              <w:top w:val="single" w:sz="8" w:space="0" w:color="000000"/>
              <w:left w:val="nil"/>
              <w:bottom w:val="nil"/>
              <w:right w:val="nil"/>
            </w:tcBorders>
            <w:tcMar>
              <w:top w:w="0" w:type="dxa"/>
              <w:left w:w="53" w:type="dxa"/>
              <w:bottom w:w="0" w:type="dxa"/>
              <w:right w:w="53" w:type="dxa"/>
            </w:tcMar>
            <w:vAlign w:val="bottom"/>
          </w:tcPr>
          <w:p w:rsidR="00181083" w:rsidRDefault="0010173D">
            <w:pPr>
              <w:keepNext/>
              <w:spacing w:before="33" w:after="30"/>
            </w:pPr>
            <w:r>
              <w:rPr>
                <w:rFonts w:ascii="Arial" w:eastAsia="Arial" w:hAnsi="Arial" w:cs="Arial"/>
                <w:color w:val="000000"/>
                <w:sz w:val="18"/>
              </w:rPr>
              <w:t>ASSETS</w:t>
            </w:r>
          </w:p>
        </w:tc>
        <w:tc>
          <w:tcPr>
            <w:tcW w:w="1320" w:type="dxa"/>
            <w:gridSpan w:val="3"/>
            <w:tcBorders>
              <w:top w:val="single" w:sz="8" w:space="0" w:color="000000"/>
              <w:left w:val="nil"/>
              <w:bottom w:val="nil"/>
              <w:right w:val="nil"/>
            </w:tcBorders>
            <w:tcMar>
              <w:top w:w="0" w:type="dxa"/>
              <w:left w:w="0" w:type="dxa"/>
              <w:bottom w:w="0" w:type="dxa"/>
              <w:right w:w="0" w:type="dxa"/>
            </w:tcMar>
            <w:vAlign w:val="bottom"/>
          </w:tcPr>
          <w:p w:rsidR="00181083" w:rsidRDefault="00181083">
            <w:pPr>
              <w:keepNext/>
            </w:pPr>
          </w:p>
        </w:tc>
        <w:tc>
          <w:tcPr>
            <w:tcW w:w="195" w:type="dxa"/>
            <w:tcBorders>
              <w:top w:val="single" w:sz="8" w:space="0" w:color="000000"/>
              <w:left w:val="nil"/>
              <w:bottom w:val="nil"/>
              <w:right w:val="nil"/>
            </w:tcBorders>
            <w:tcMar>
              <w:top w:w="0" w:type="dxa"/>
              <w:left w:w="0" w:type="dxa"/>
              <w:bottom w:w="0" w:type="dxa"/>
              <w:right w:w="0" w:type="dxa"/>
            </w:tcMar>
            <w:vAlign w:val="bottom"/>
          </w:tcPr>
          <w:p w:rsidR="00181083" w:rsidRDefault="00181083">
            <w:pPr>
              <w:keepNext/>
            </w:pPr>
          </w:p>
        </w:tc>
        <w:tc>
          <w:tcPr>
            <w:tcW w:w="1320" w:type="dxa"/>
            <w:gridSpan w:val="3"/>
            <w:tcBorders>
              <w:top w:val="single" w:sz="8" w:space="0" w:color="000000"/>
              <w:left w:val="nil"/>
              <w:bottom w:val="nil"/>
              <w:right w:val="nil"/>
            </w:tcBorders>
            <w:tcMar>
              <w:top w:w="0" w:type="dxa"/>
              <w:left w:w="53" w:type="dxa"/>
              <w:bottom w:w="0" w:type="dxa"/>
              <w:right w:w="53" w:type="dxa"/>
            </w:tcMar>
            <w:vAlign w:val="bottom"/>
          </w:tcPr>
          <w:p w:rsidR="00181083" w:rsidRDefault="00181083">
            <w:pPr>
              <w:keepNext/>
              <w:spacing w:before="33" w:after="30"/>
            </w:pPr>
          </w:p>
        </w:tc>
      </w:tr>
      <w:tr w:rsidR="00181083">
        <w:trPr>
          <w:cantSplit/>
          <w:trHeight w:hRule="exact" w:val="285"/>
          <w:jc w:val="center"/>
        </w:trPr>
        <w:tc>
          <w:tcPr>
            <w:tcW w:w="7425" w:type="dxa"/>
            <w:tcBorders>
              <w:top w:val="nil"/>
              <w:left w:val="nil"/>
              <w:bottom w:val="nil"/>
              <w:right w:val="nil"/>
            </w:tcBorders>
            <w:tcMar>
              <w:top w:w="0" w:type="dxa"/>
              <w:left w:w="53" w:type="dxa"/>
              <w:bottom w:w="0" w:type="dxa"/>
              <w:right w:w="53" w:type="dxa"/>
            </w:tcMar>
            <w:vAlign w:val="bottom"/>
          </w:tcPr>
          <w:p w:rsidR="00181083" w:rsidRDefault="0010173D">
            <w:pPr>
              <w:keepNext/>
              <w:spacing w:before="53" w:after="30"/>
            </w:pPr>
            <w:r>
              <w:rPr>
                <w:rFonts w:ascii="Arial" w:eastAsia="Arial" w:hAnsi="Arial" w:cs="Arial"/>
                <w:color w:val="000000"/>
                <w:sz w:val="18"/>
              </w:rPr>
              <w:t>Current Assets</w:t>
            </w:r>
          </w:p>
        </w:tc>
        <w:tc>
          <w:tcPr>
            <w:tcW w:w="1320" w:type="dxa"/>
            <w:gridSpan w:val="3"/>
            <w:tcBorders>
              <w:top w:val="nil"/>
              <w:left w:val="nil"/>
              <w:bottom w:val="nil"/>
              <w:right w:val="nil"/>
            </w:tcBorders>
            <w:tcMar>
              <w:top w:w="0" w:type="dxa"/>
              <w:left w:w="0" w:type="dxa"/>
              <w:bottom w:w="0" w:type="dxa"/>
              <w:right w:w="0" w:type="dxa"/>
            </w:tcMar>
            <w:vAlign w:val="bottom"/>
          </w:tcPr>
          <w:p w:rsidR="00181083" w:rsidRDefault="00181083">
            <w:pPr>
              <w:keepNext/>
            </w:pPr>
          </w:p>
        </w:tc>
        <w:tc>
          <w:tcPr>
            <w:tcW w:w="195" w:type="dxa"/>
            <w:tcBorders>
              <w:top w:val="nil"/>
              <w:left w:val="nil"/>
              <w:bottom w:val="nil"/>
              <w:right w:val="nil"/>
            </w:tcBorders>
            <w:tcMar>
              <w:top w:w="0" w:type="dxa"/>
              <w:left w:w="0" w:type="dxa"/>
              <w:bottom w:w="0" w:type="dxa"/>
              <w:right w:w="0" w:type="dxa"/>
            </w:tcMar>
            <w:vAlign w:val="bottom"/>
          </w:tcPr>
          <w:p w:rsidR="00181083" w:rsidRDefault="00181083">
            <w:pPr>
              <w:keepNext/>
            </w:pPr>
          </w:p>
        </w:tc>
        <w:tc>
          <w:tcPr>
            <w:tcW w:w="1320" w:type="dxa"/>
            <w:gridSpan w:val="3"/>
            <w:tcBorders>
              <w:top w:val="nil"/>
              <w:left w:val="nil"/>
              <w:bottom w:val="nil"/>
              <w:right w:val="nil"/>
            </w:tcBorders>
            <w:tcMar>
              <w:top w:w="0" w:type="dxa"/>
              <w:left w:w="53" w:type="dxa"/>
              <w:bottom w:w="0" w:type="dxa"/>
              <w:right w:w="53" w:type="dxa"/>
            </w:tcMar>
            <w:vAlign w:val="bottom"/>
          </w:tcPr>
          <w:p w:rsidR="00181083" w:rsidRDefault="00181083">
            <w:pPr>
              <w:keepNext/>
              <w:spacing w:before="53" w:after="30"/>
            </w:pPr>
          </w:p>
        </w:tc>
      </w:tr>
      <w:tr w:rsidR="00181083">
        <w:trPr>
          <w:cantSplit/>
          <w:trHeight w:hRule="exact" w:val="285"/>
          <w:jc w:val="center"/>
        </w:trPr>
        <w:tc>
          <w:tcPr>
            <w:tcW w:w="7425" w:type="dxa"/>
            <w:tcBorders>
              <w:top w:val="nil"/>
              <w:left w:val="nil"/>
              <w:bottom w:val="nil"/>
              <w:right w:val="nil"/>
            </w:tcBorders>
            <w:tcMar>
              <w:top w:w="0" w:type="dxa"/>
              <w:left w:w="53" w:type="dxa"/>
              <w:bottom w:w="0" w:type="dxa"/>
              <w:right w:w="53" w:type="dxa"/>
            </w:tcMar>
            <w:vAlign w:val="bottom"/>
          </w:tcPr>
          <w:p w:rsidR="00181083" w:rsidRDefault="0010173D">
            <w:pPr>
              <w:keepNext/>
              <w:spacing w:before="53" w:after="30"/>
              <w:ind w:left="225"/>
            </w:pPr>
            <w:r>
              <w:rPr>
                <w:rFonts w:ascii="Arial" w:eastAsia="Arial" w:hAnsi="Arial" w:cs="Arial"/>
                <w:color w:val="000000"/>
                <w:sz w:val="18"/>
              </w:rPr>
              <w:t>Cash and cash equivalents</w:t>
            </w:r>
          </w:p>
        </w:tc>
        <w:tc>
          <w:tcPr>
            <w:tcW w:w="160" w:type="dxa"/>
            <w:tcBorders>
              <w:top w:val="nil"/>
              <w:left w:val="nil"/>
              <w:bottom w:val="nil"/>
              <w:right w:val="nil"/>
            </w:tcBorders>
            <w:tcMar>
              <w:top w:w="0" w:type="dxa"/>
              <w:left w:w="53" w:type="dxa"/>
              <w:bottom w:w="0" w:type="dxa"/>
              <w:right w:w="0" w:type="dxa"/>
            </w:tcMar>
            <w:vAlign w:val="bottom"/>
          </w:tcPr>
          <w:p w:rsidR="00181083" w:rsidRDefault="0010173D">
            <w:pPr>
              <w:keepNext/>
              <w:spacing w:before="53" w:after="30"/>
            </w:pPr>
            <w:r>
              <w:rPr>
                <w:rFonts w:ascii="Arial" w:eastAsia="Arial" w:hAnsi="Arial" w:cs="Arial"/>
                <w:color w:val="000000"/>
                <w:sz w:val="18"/>
              </w:rPr>
              <w:t>$</w:t>
            </w:r>
          </w:p>
        </w:tc>
        <w:tc>
          <w:tcPr>
            <w:tcW w:w="1060" w:type="dxa"/>
            <w:tcBorders>
              <w:top w:val="nil"/>
              <w:left w:val="nil"/>
              <w:bottom w:val="nil"/>
              <w:right w:val="nil"/>
            </w:tcBorders>
            <w:tcMar>
              <w:top w:w="0" w:type="dxa"/>
              <w:left w:w="0"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1,920 </w:t>
            </w:r>
          </w:p>
        </w:tc>
        <w:tc>
          <w:tcPr>
            <w:tcW w:w="100" w:type="dxa"/>
            <w:tcBorders>
              <w:top w:val="nil"/>
              <w:left w:val="nil"/>
              <w:bottom w:val="nil"/>
              <w:right w:val="nil"/>
            </w:tcBorders>
            <w:tcMar>
              <w:top w:w="0" w:type="dxa"/>
              <w:left w:w="0" w:type="dxa"/>
              <w:bottom w:w="0" w:type="dxa"/>
              <w:right w:w="15" w:type="dxa"/>
            </w:tcMar>
            <w:vAlign w:val="bottom"/>
          </w:tcPr>
          <w:p w:rsidR="00181083" w:rsidRDefault="00181083">
            <w:pPr>
              <w:keepNext/>
              <w:spacing w:before="53" w:after="30"/>
              <w:jc w:val="right"/>
            </w:pPr>
          </w:p>
        </w:tc>
        <w:tc>
          <w:tcPr>
            <w:tcW w:w="195" w:type="dxa"/>
            <w:tcBorders>
              <w:top w:val="nil"/>
              <w:left w:val="nil"/>
              <w:bottom w:val="nil"/>
              <w:right w:val="nil"/>
            </w:tcBorders>
            <w:tcMar>
              <w:top w:w="0" w:type="dxa"/>
              <w:left w:w="0" w:type="dxa"/>
              <w:bottom w:w="0" w:type="dxa"/>
              <w:right w:w="0" w:type="dxa"/>
            </w:tcMar>
            <w:vAlign w:val="bottom"/>
          </w:tcPr>
          <w:p w:rsidR="00181083" w:rsidRDefault="00181083">
            <w:pPr>
              <w:keepNext/>
            </w:pPr>
          </w:p>
        </w:tc>
        <w:tc>
          <w:tcPr>
            <w:tcW w:w="160" w:type="dxa"/>
            <w:tcBorders>
              <w:top w:val="nil"/>
              <w:left w:val="nil"/>
              <w:bottom w:val="nil"/>
              <w:right w:val="nil"/>
            </w:tcBorders>
            <w:tcMar>
              <w:top w:w="0" w:type="dxa"/>
              <w:left w:w="53" w:type="dxa"/>
              <w:bottom w:w="0" w:type="dxa"/>
              <w:right w:w="0" w:type="dxa"/>
            </w:tcMar>
            <w:vAlign w:val="bottom"/>
          </w:tcPr>
          <w:p w:rsidR="00181083" w:rsidRDefault="0010173D">
            <w:pPr>
              <w:keepNext/>
              <w:spacing w:before="53" w:after="30"/>
            </w:pPr>
            <w:r>
              <w:rPr>
                <w:rFonts w:ascii="Arial" w:eastAsia="Arial" w:hAnsi="Arial" w:cs="Arial"/>
                <w:color w:val="000000"/>
                <w:sz w:val="18"/>
              </w:rPr>
              <w:t>$</w:t>
            </w:r>
          </w:p>
        </w:tc>
        <w:tc>
          <w:tcPr>
            <w:tcW w:w="1060" w:type="dxa"/>
            <w:tcBorders>
              <w:top w:val="nil"/>
              <w:left w:val="nil"/>
              <w:bottom w:val="nil"/>
              <w:right w:val="nil"/>
            </w:tcBorders>
            <w:tcMar>
              <w:top w:w="0" w:type="dxa"/>
              <w:left w:w="0"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769 </w:t>
            </w:r>
          </w:p>
        </w:tc>
        <w:tc>
          <w:tcPr>
            <w:tcW w:w="100" w:type="dxa"/>
            <w:tcBorders>
              <w:top w:val="nil"/>
              <w:left w:val="nil"/>
              <w:bottom w:val="nil"/>
              <w:right w:val="nil"/>
            </w:tcBorders>
            <w:tcMar>
              <w:top w:w="0" w:type="dxa"/>
              <w:left w:w="0" w:type="dxa"/>
              <w:bottom w:w="0" w:type="dxa"/>
              <w:right w:w="15" w:type="dxa"/>
            </w:tcMar>
            <w:vAlign w:val="bottom"/>
          </w:tcPr>
          <w:p w:rsidR="00181083" w:rsidRDefault="00181083">
            <w:pPr>
              <w:keepNext/>
              <w:spacing w:before="53" w:after="30"/>
              <w:jc w:val="right"/>
            </w:pPr>
          </w:p>
        </w:tc>
      </w:tr>
      <w:tr w:rsidR="00181083">
        <w:trPr>
          <w:cantSplit/>
          <w:trHeight w:hRule="exact" w:val="285"/>
          <w:jc w:val="center"/>
        </w:trPr>
        <w:tc>
          <w:tcPr>
            <w:tcW w:w="7425" w:type="dxa"/>
            <w:tcBorders>
              <w:top w:val="nil"/>
              <w:left w:val="nil"/>
              <w:bottom w:val="nil"/>
              <w:right w:val="nil"/>
            </w:tcBorders>
            <w:tcMar>
              <w:top w:w="0" w:type="dxa"/>
              <w:left w:w="53" w:type="dxa"/>
              <w:bottom w:w="0" w:type="dxa"/>
              <w:right w:w="53" w:type="dxa"/>
            </w:tcMar>
            <w:vAlign w:val="bottom"/>
          </w:tcPr>
          <w:p w:rsidR="00181083" w:rsidRDefault="0010173D">
            <w:pPr>
              <w:keepNext/>
              <w:spacing w:before="53" w:after="30"/>
              <w:ind w:left="225"/>
            </w:pPr>
            <w:r>
              <w:rPr>
                <w:rFonts w:ascii="Arial" w:eastAsia="Arial" w:hAnsi="Arial" w:cs="Arial"/>
                <w:color w:val="000000"/>
                <w:sz w:val="18"/>
              </w:rPr>
              <w:t>Receivables, net</w:t>
            </w:r>
          </w:p>
        </w:tc>
        <w:tc>
          <w:tcPr>
            <w:tcW w:w="1220" w:type="dxa"/>
            <w:gridSpan w:val="2"/>
            <w:tcBorders>
              <w:top w:val="nil"/>
              <w:left w:val="nil"/>
              <w:bottom w:val="nil"/>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37,716 </w:t>
            </w:r>
          </w:p>
        </w:tc>
        <w:tc>
          <w:tcPr>
            <w:tcW w:w="100" w:type="dxa"/>
            <w:tcBorders>
              <w:top w:val="nil"/>
              <w:left w:val="nil"/>
              <w:bottom w:val="nil"/>
              <w:right w:val="nil"/>
            </w:tcBorders>
            <w:tcMar>
              <w:top w:w="0" w:type="dxa"/>
              <w:left w:w="0" w:type="dxa"/>
              <w:bottom w:w="0" w:type="dxa"/>
              <w:right w:w="15" w:type="dxa"/>
            </w:tcMar>
            <w:vAlign w:val="bottom"/>
          </w:tcPr>
          <w:p w:rsidR="00181083" w:rsidRDefault="00181083">
            <w:pPr>
              <w:keepNext/>
              <w:spacing w:before="53" w:after="30"/>
              <w:jc w:val="right"/>
            </w:pPr>
          </w:p>
        </w:tc>
        <w:tc>
          <w:tcPr>
            <w:tcW w:w="195" w:type="dxa"/>
            <w:tcBorders>
              <w:top w:val="nil"/>
              <w:left w:val="nil"/>
              <w:bottom w:val="nil"/>
              <w:right w:val="nil"/>
            </w:tcBorders>
            <w:tcMar>
              <w:top w:w="0" w:type="dxa"/>
              <w:left w:w="0" w:type="dxa"/>
              <w:bottom w:w="0" w:type="dxa"/>
              <w:right w:w="0" w:type="dxa"/>
            </w:tcMar>
            <w:vAlign w:val="bottom"/>
          </w:tcPr>
          <w:p w:rsidR="00181083" w:rsidRDefault="00181083">
            <w:pPr>
              <w:keepNext/>
            </w:pPr>
          </w:p>
        </w:tc>
        <w:tc>
          <w:tcPr>
            <w:tcW w:w="1220" w:type="dxa"/>
            <w:gridSpan w:val="2"/>
            <w:tcBorders>
              <w:top w:val="nil"/>
              <w:left w:val="nil"/>
              <w:bottom w:val="nil"/>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37,138 </w:t>
            </w:r>
          </w:p>
        </w:tc>
        <w:tc>
          <w:tcPr>
            <w:tcW w:w="100" w:type="dxa"/>
            <w:tcBorders>
              <w:top w:val="nil"/>
              <w:left w:val="nil"/>
              <w:bottom w:val="nil"/>
              <w:right w:val="nil"/>
            </w:tcBorders>
            <w:tcMar>
              <w:top w:w="0" w:type="dxa"/>
              <w:left w:w="0" w:type="dxa"/>
              <w:bottom w:w="0" w:type="dxa"/>
              <w:right w:w="15" w:type="dxa"/>
            </w:tcMar>
            <w:vAlign w:val="bottom"/>
          </w:tcPr>
          <w:p w:rsidR="00181083" w:rsidRDefault="00181083">
            <w:pPr>
              <w:keepNext/>
              <w:spacing w:before="53" w:after="30"/>
              <w:jc w:val="right"/>
            </w:pPr>
          </w:p>
        </w:tc>
      </w:tr>
      <w:tr w:rsidR="00181083">
        <w:trPr>
          <w:cantSplit/>
          <w:trHeight w:hRule="exact" w:val="285"/>
          <w:jc w:val="center"/>
        </w:trPr>
        <w:tc>
          <w:tcPr>
            <w:tcW w:w="7425" w:type="dxa"/>
            <w:tcBorders>
              <w:top w:val="nil"/>
              <w:left w:val="nil"/>
              <w:bottom w:val="nil"/>
              <w:right w:val="nil"/>
            </w:tcBorders>
            <w:tcMar>
              <w:top w:w="0" w:type="dxa"/>
              <w:left w:w="53" w:type="dxa"/>
              <w:bottom w:w="0" w:type="dxa"/>
              <w:right w:w="53" w:type="dxa"/>
            </w:tcMar>
            <w:vAlign w:val="bottom"/>
          </w:tcPr>
          <w:p w:rsidR="00181083" w:rsidRDefault="0010173D">
            <w:pPr>
              <w:keepNext/>
              <w:spacing w:before="53" w:after="30"/>
              <w:ind w:left="225"/>
            </w:pPr>
            <w:r>
              <w:rPr>
                <w:rFonts w:ascii="Arial" w:eastAsia="Arial" w:hAnsi="Arial" w:cs="Arial"/>
                <w:color w:val="000000"/>
                <w:sz w:val="18"/>
              </w:rPr>
              <w:t>Inventories, net</w:t>
            </w:r>
          </w:p>
        </w:tc>
        <w:tc>
          <w:tcPr>
            <w:tcW w:w="1220" w:type="dxa"/>
            <w:gridSpan w:val="2"/>
            <w:tcBorders>
              <w:top w:val="nil"/>
              <w:left w:val="nil"/>
              <w:bottom w:val="nil"/>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85,399 </w:t>
            </w:r>
          </w:p>
        </w:tc>
        <w:tc>
          <w:tcPr>
            <w:tcW w:w="100" w:type="dxa"/>
            <w:tcBorders>
              <w:top w:val="nil"/>
              <w:left w:val="nil"/>
              <w:bottom w:val="nil"/>
              <w:right w:val="nil"/>
            </w:tcBorders>
            <w:tcMar>
              <w:top w:w="0" w:type="dxa"/>
              <w:left w:w="0" w:type="dxa"/>
              <w:bottom w:w="0" w:type="dxa"/>
              <w:right w:w="15" w:type="dxa"/>
            </w:tcMar>
            <w:vAlign w:val="bottom"/>
          </w:tcPr>
          <w:p w:rsidR="00181083" w:rsidRDefault="00181083">
            <w:pPr>
              <w:keepNext/>
              <w:spacing w:before="53" w:after="30"/>
              <w:jc w:val="right"/>
            </w:pPr>
          </w:p>
        </w:tc>
        <w:tc>
          <w:tcPr>
            <w:tcW w:w="195" w:type="dxa"/>
            <w:tcBorders>
              <w:top w:val="nil"/>
              <w:left w:val="nil"/>
              <w:bottom w:val="nil"/>
              <w:right w:val="nil"/>
            </w:tcBorders>
            <w:tcMar>
              <w:top w:w="0" w:type="dxa"/>
              <w:left w:w="0" w:type="dxa"/>
              <w:bottom w:w="0" w:type="dxa"/>
              <w:right w:w="0" w:type="dxa"/>
            </w:tcMar>
            <w:vAlign w:val="bottom"/>
          </w:tcPr>
          <w:p w:rsidR="00181083" w:rsidRDefault="00181083">
            <w:pPr>
              <w:keepNext/>
            </w:pPr>
          </w:p>
        </w:tc>
        <w:tc>
          <w:tcPr>
            <w:tcW w:w="1220" w:type="dxa"/>
            <w:gridSpan w:val="2"/>
            <w:tcBorders>
              <w:top w:val="nil"/>
              <w:left w:val="nil"/>
              <w:bottom w:val="nil"/>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95,509 </w:t>
            </w:r>
          </w:p>
        </w:tc>
        <w:tc>
          <w:tcPr>
            <w:tcW w:w="100" w:type="dxa"/>
            <w:tcBorders>
              <w:top w:val="nil"/>
              <w:left w:val="nil"/>
              <w:bottom w:val="nil"/>
              <w:right w:val="nil"/>
            </w:tcBorders>
            <w:tcMar>
              <w:top w:w="0" w:type="dxa"/>
              <w:left w:w="0" w:type="dxa"/>
              <w:bottom w:w="0" w:type="dxa"/>
              <w:right w:w="15" w:type="dxa"/>
            </w:tcMar>
            <w:vAlign w:val="bottom"/>
          </w:tcPr>
          <w:p w:rsidR="00181083" w:rsidRDefault="00181083">
            <w:pPr>
              <w:keepNext/>
              <w:spacing w:before="53" w:after="30"/>
              <w:jc w:val="right"/>
            </w:pPr>
          </w:p>
        </w:tc>
      </w:tr>
      <w:tr w:rsidR="00181083">
        <w:trPr>
          <w:cantSplit/>
          <w:trHeight w:hRule="exact" w:val="285"/>
          <w:jc w:val="center"/>
        </w:trPr>
        <w:tc>
          <w:tcPr>
            <w:tcW w:w="7425" w:type="dxa"/>
            <w:tcBorders>
              <w:top w:val="nil"/>
              <w:left w:val="nil"/>
              <w:bottom w:val="single" w:sz="8" w:space="0" w:color="000000"/>
              <w:right w:val="nil"/>
            </w:tcBorders>
            <w:tcMar>
              <w:top w:w="0" w:type="dxa"/>
              <w:left w:w="53" w:type="dxa"/>
              <w:bottom w:w="0" w:type="dxa"/>
              <w:right w:w="53" w:type="dxa"/>
            </w:tcMar>
            <w:vAlign w:val="bottom"/>
          </w:tcPr>
          <w:p w:rsidR="00181083" w:rsidRDefault="0010173D">
            <w:pPr>
              <w:keepNext/>
              <w:spacing w:before="53" w:after="30"/>
              <w:ind w:left="225"/>
            </w:pPr>
            <w:r>
              <w:rPr>
                <w:rFonts w:ascii="Arial" w:eastAsia="Arial" w:hAnsi="Arial" w:cs="Arial"/>
                <w:color w:val="000000"/>
                <w:sz w:val="18"/>
              </w:rPr>
              <w:t xml:space="preserve">Prepaid </w:t>
            </w:r>
            <w:r>
              <w:rPr>
                <w:rFonts w:ascii="Arial" w:eastAsia="Arial" w:hAnsi="Arial" w:cs="Arial"/>
                <w:color w:val="000000"/>
                <w:sz w:val="18"/>
              </w:rPr>
              <w:t>expenses</w:t>
            </w:r>
          </w:p>
        </w:tc>
        <w:tc>
          <w:tcPr>
            <w:tcW w:w="1220" w:type="dxa"/>
            <w:gridSpan w:val="2"/>
            <w:tcBorders>
              <w:top w:val="nil"/>
              <w:left w:val="nil"/>
              <w:bottom w:val="single" w:sz="8" w:space="0" w:color="000000"/>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8,296 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181083" w:rsidRDefault="00181083">
            <w:pPr>
              <w:keepNext/>
              <w:spacing w:before="53" w:after="30"/>
              <w:jc w:val="right"/>
            </w:pPr>
          </w:p>
        </w:tc>
        <w:tc>
          <w:tcPr>
            <w:tcW w:w="195" w:type="dxa"/>
            <w:tcBorders>
              <w:top w:val="nil"/>
              <w:left w:val="nil"/>
              <w:bottom w:val="single" w:sz="8" w:space="0" w:color="000000"/>
              <w:right w:val="nil"/>
            </w:tcBorders>
            <w:tcMar>
              <w:top w:w="0" w:type="dxa"/>
              <w:left w:w="0" w:type="dxa"/>
              <w:bottom w:w="0" w:type="dxa"/>
              <w:right w:w="0" w:type="dxa"/>
            </w:tcMar>
            <w:vAlign w:val="bottom"/>
          </w:tcPr>
          <w:p w:rsidR="00181083" w:rsidRDefault="00181083">
            <w:pPr>
              <w:keepNext/>
            </w:pPr>
          </w:p>
        </w:tc>
        <w:tc>
          <w:tcPr>
            <w:tcW w:w="1220" w:type="dxa"/>
            <w:gridSpan w:val="2"/>
            <w:tcBorders>
              <w:top w:val="nil"/>
              <w:left w:val="nil"/>
              <w:bottom w:val="single" w:sz="8" w:space="0" w:color="000000"/>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6,179 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181083" w:rsidRDefault="00181083">
            <w:pPr>
              <w:keepNext/>
              <w:spacing w:before="53" w:after="30"/>
              <w:jc w:val="right"/>
            </w:pPr>
          </w:p>
        </w:tc>
      </w:tr>
      <w:tr w:rsidR="00181083">
        <w:trPr>
          <w:cantSplit/>
          <w:trHeight w:hRule="exact" w:val="285"/>
          <w:jc w:val="center"/>
        </w:trPr>
        <w:tc>
          <w:tcPr>
            <w:tcW w:w="7425" w:type="dxa"/>
            <w:tcBorders>
              <w:top w:val="single" w:sz="8" w:space="0" w:color="000000"/>
              <w:left w:val="nil"/>
              <w:bottom w:val="nil"/>
              <w:right w:val="nil"/>
            </w:tcBorders>
            <w:tcMar>
              <w:top w:w="0" w:type="dxa"/>
              <w:left w:w="53" w:type="dxa"/>
              <w:bottom w:w="0" w:type="dxa"/>
              <w:right w:w="53" w:type="dxa"/>
            </w:tcMar>
            <w:vAlign w:val="bottom"/>
          </w:tcPr>
          <w:p w:rsidR="00181083" w:rsidRDefault="0010173D">
            <w:pPr>
              <w:keepNext/>
              <w:spacing w:before="33" w:after="30"/>
              <w:ind w:left="495"/>
            </w:pPr>
            <w:r>
              <w:rPr>
                <w:rFonts w:ascii="Arial" w:eastAsia="Arial" w:hAnsi="Arial" w:cs="Arial"/>
                <w:color w:val="000000"/>
                <w:sz w:val="18"/>
              </w:rPr>
              <w:t>Total Current Assets</w:t>
            </w:r>
          </w:p>
        </w:tc>
        <w:tc>
          <w:tcPr>
            <w:tcW w:w="1220" w:type="dxa"/>
            <w:gridSpan w:val="2"/>
            <w:tcBorders>
              <w:top w:val="single" w:sz="8" w:space="0" w:color="000000"/>
              <w:left w:val="nil"/>
              <w:bottom w:val="nil"/>
              <w:right w:val="nil"/>
            </w:tcBorders>
            <w:tcMar>
              <w:top w:w="0" w:type="dxa"/>
              <w:left w:w="53" w:type="dxa"/>
              <w:bottom w:w="0" w:type="dxa"/>
              <w:right w:w="0" w:type="dxa"/>
            </w:tcMar>
            <w:vAlign w:val="bottom"/>
          </w:tcPr>
          <w:p w:rsidR="00181083" w:rsidRDefault="0010173D">
            <w:pPr>
              <w:keepNext/>
              <w:spacing w:before="33" w:after="30"/>
              <w:jc w:val="right"/>
            </w:pPr>
            <w:r>
              <w:rPr>
                <w:rFonts w:ascii="Arial" w:eastAsia="Arial" w:hAnsi="Arial" w:cs="Arial"/>
                <w:color w:val="000000"/>
                <w:sz w:val="18"/>
              </w:rPr>
              <w:t>133,331 </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181083" w:rsidRDefault="00181083">
            <w:pPr>
              <w:keepNext/>
              <w:spacing w:before="33" w:after="30"/>
              <w:jc w:val="right"/>
            </w:pPr>
          </w:p>
        </w:tc>
        <w:tc>
          <w:tcPr>
            <w:tcW w:w="195" w:type="dxa"/>
            <w:tcBorders>
              <w:top w:val="single" w:sz="8" w:space="0" w:color="000000"/>
              <w:left w:val="nil"/>
              <w:bottom w:val="nil"/>
              <w:right w:val="nil"/>
            </w:tcBorders>
            <w:tcMar>
              <w:top w:w="0" w:type="dxa"/>
              <w:left w:w="0" w:type="dxa"/>
              <w:bottom w:w="0" w:type="dxa"/>
              <w:right w:w="0" w:type="dxa"/>
            </w:tcMar>
            <w:vAlign w:val="bottom"/>
          </w:tcPr>
          <w:p w:rsidR="00181083" w:rsidRDefault="00181083">
            <w:pPr>
              <w:keepNext/>
            </w:pPr>
          </w:p>
        </w:tc>
        <w:tc>
          <w:tcPr>
            <w:tcW w:w="1220" w:type="dxa"/>
            <w:gridSpan w:val="2"/>
            <w:tcBorders>
              <w:top w:val="single" w:sz="8" w:space="0" w:color="000000"/>
              <w:left w:val="nil"/>
              <w:bottom w:val="nil"/>
              <w:right w:val="nil"/>
            </w:tcBorders>
            <w:tcMar>
              <w:top w:w="0" w:type="dxa"/>
              <w:left w:w="53" w:type="dxa"/>
              <w:bottom w:w="0" w:type="dxa"/>
              <w:right w:w="0" w:type="dxa"/>
            </w:tcMar>
            <w:vAlign w:val="bottom"/>
          </w:tcPr>
          <w:p w:rsidR="00181083" w:rsidRDefault="0010173D">
            <w:pPr>
              <w:keepNext/>
              <w:spacing w:before="33" w:after="30"/>
              <w:jc w:val="right"/>
            </w:pPr>
            <w:r>
              <w:rPr>
                <w:rFonts w:ascii="Arial" w:eastAsia="Arial" w:hAnsi="Arial" w:cs="Arial"/>
                <w:color w:val="000000"/>
                <w:sz w:val="18"/>
              </w:rPr>
              <w:t>139,595 </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181083" w:rsidRDefault="00181083">
            <w:pPr>
              <w:keepNext/>
              <w:spacing w:before="33" w:after="30"/>
              <w:jc w:val="right"/>
            </w:pPr>
          </w:p>
        </w:tc>
      </w:tr>
      <w:tr w:rsidR="00181083">
        <w:trPr>
          <w:cantSplit/>
          <w:trHeight w:hRule="exact" w:val="255"/>
          <w:jc w:val="center"/>
        </w:trPr>
        <w:tc>
          <w:tcPr>
            <w:tcW w:w="7425" w:type="dxa"/>
            <w:tcBorders>
              <w:top w:val="nil"/>
              <w:left w:val="nil"/>
              <w:bottom w:val="nil"/>
              <w:right w:val="nil"/>
            </w:tcBorders>
            <w:tcMar>
              <w:top w:w="0" w:type="dxa"/>
              <w:left w:w="0" w:type="dxa"/>
              <w:bottom w:w="0" w:type="dxa"/>
              <w:right w:w="0" w:type="dxa"/>
            </w:tcMar>
            <w:vAlign w:val="bottom"/>
          </w:tcPr>
          <w:p w:rsidR="00181083" w:rsidRDefault="00181083">
            <w:pPr>
              <w:keepNext/>
            </w:pPr>
          </w:p>
        </w:tc>
        <w:tc>
          <w:tcPr>
            <w:tcW w:w="1320" w:type="dxa"/>
            <w:gridSpan w:val="3"/>
            <w:tcBorders>
              <w:top w:val="nil"/>
              <w:left w:val="nil"/>
              <w:bottom w:val="nil"/>
              <w:right w:val="nil"/>
            </w:tcBorders>
            <w:tcMar>
              <w:top w:w="0" w:type="dxa"/>
              <w:left w:w="0" w:type="dxa"/>
              <w:bottom w:w="0" w:type="dxa"/>
              <w:right w:w="0" w:type="dxa"/>
            </w:tcMar>
            <w:vAlign w:val="bottom"/>
          </w:tcPr>
          <w:p w:rsidR="00181083" w:rsidRDefault="00181083">
            <w:pPr>
              <w:keepNext/>
            </w:pPr>
          </w:p>
        </w:tc>
        <w:tc>
          <w:tcPr>
            <w:tcW w:w="195" w:type="dxa"/>
            <w:tcBorders>
              <w:top w:val="nil"/>
              <w:left w:val="nil"/>
              <w:bottom w:val="nil"/>
              <w:right w:val="nil"/>
            </w:tcBorders>
            <w:tcMar>
              <w:top w:w="0" w:type="dxa"/>
              <w:left w:w="0" w:type="dxa"/>
              <w:bottom w:w="0" w:type="dxa"/>
              <w:right w:w="0" w:type="dxa"/>
            </w:tcMar>
            <w:vAlign w:val="bottom"/>
          </w:tcPr>
          <w:p w:rsidR="00181083" w:rsidRDefault="00181083">
            <w:pPr>
              <w:keepNext/>
            </w:pPr>
          </w:p>
        </w:tc>
        <w:tc>
          <w:tcPr>
            <w:tcW w:w="1320" w:type="dxa"/>
            <w:gridSpan w:val="3"/>
            <w:tcBorders>
              <w:top w:val="nil"/>
              <w:left w:val="nil"/>
              <w:bottom w:val="nil"/>
              <w:right w:val="nil"/>
            </w:tcBorders>
            <w:tcMar>
              <w:top w:w="0" w:type="dxa"/>
              <w:left w:w="53" w:type="dxa"/>
              <w:bottom w:w="0" w:type="dxa"/>
              <w:right w:w="53" w:type="dxa"/>
            </w:tcMar>
            <w:vAlign w:val="bottom"/>
          </w:tcPr>
          <w:p w:rsidR="00181083" w:rsidRDefault="00181083">
            <w:pPr>
              <w:keepNext/>
              <w:spacing w:before="53" w:after="30"/>
            </w:pPr>
          </w:p>
        </w:tc>
      </w:tr>
      <w:tr w:rsidR="00181083">
        <w:trPr>
          <w:cantSplit/>
          <w:trHeight w:hRule="exact" w:val="285"/>
          <w:jc w:val="center"/>
        </w:trPr>
        <w:tc>
          <w:tcPr>
            <w:tcW w:w="7425" w:type="dxa"/>
            <w:tcBorders>
              <w:top w:val="nil"/>
              <w:left w:val="nil"/>
              <w:bottom w:val="nil"/>
              <w:right w:val="nil"/>
            </w:tcBorders>
            <w:tcMar>
              <w:top w:w="0" w:type="dxa"/>
              <w:left w:w="53" w:type="dxa"/>
              <w:bottom w:w="0" w:type="dxa"/>
              <w:right w:w="53" w:type="dxa"/>
            </w:tcMar>
            <w:vAlign w:val="bottom"/>
          </w:tcPr>
          <w:p w:rsidR="00181083" w:rsidRDefault="0010173D">
            <w:pPr>
              <w:keepNext/>
              <w:spacing w:before="53" w:after="30"/>
            </w:pPr>
            <w:r>
              <w:rPr>
                <w:rFonts w:ascii="Arial" w:eastAsia="Arial" w:hAnsi="Arial" w:cs="Arial"/>
                <w:color w:val="000000"/>
                <w:sz w:val="18"/>
              </w:rPr>
              <w:t>Property, Plant and Equipment, Net</w:t>
            </w:r>
          </w:p>
        </w:tc>
        <w:tc>
          <w:tcPr>
            <w:tcW w:w="1220" w:type="dxa"/>
            <w:gridSpan w:val="2"/>
            <w:tcBorders>
              <w:top w:val="nil"/>
              <w:left w:val="nil"/>
              <w:bottom w:val="nil"/>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57,904 </w:t>
            </w:r>
          </w:p>
        </w:tc>
        <w:tc>
          <w:tcPr>
            <w:tcW w:w="100" w:type="dxa"/>
            <w:tcBorders>
              <w:top w:val="nil"/>
              <w:left w:val="nil"/>
              <w:bottom w:val="nil"/>
              <w:right w:val="nil"/>
            </w:tcBorders>
            <w:tcMar>
              <w:top w:w="0" w:type="dxa"/>
              <w:left w:w="0" w:type="dxa"/>
              <w:bottom w:w="0" w:type="dxa"/>
              <w:right w:w="15" w:type="dxa"/>
            </w:tcMar>
            <w:vAlign w:val="bottom"/>
          </w:tcPr>
          <w:p w:rsidR="00181083" w:rsidRDefault="00181083">
            <w:pPr>
              <w:keepNext/>
              <w:spacing w:before="53" w:after="30"/>
              <w:jc w:val="right"/>
            </w:pPr>
          </w:p>
        </w:tc>
        <w:tc>
          <w:tcPr>
            <w:tcW w:w="195" w:type="dxa"/>
            <w:tcBorders>
              <w:top w:val="nil"/>
              <w:left w:val="nil"/>
              <w:bottom w:val="nil"/>
              <w:right w:val="nil"/>
            </w:tcBorders>
            <w:tcMar>
              <w:top w:w="0" w:type="dxa"/>
              <w:left w:w="0" w:type="dxa"/>
              <w:bottom w:w="0" w:type="dxa"/>
              <w:right w:w="0" w:type="dxa"/>
            </w:tcMar>
            <w:vAlign w:val="bottom"/>
          </w:tcPr>
          <w:p w:rsidR="00181083" w:rsidRDefault="00181083">
            <w:pPr>
              <w:keepNext/>
            </w:pPr>
          </w:p>
        </w:tc>
        <w:tc>
          <w:tcPr>
            <w:tcW w:w="1220" w:type="dxa"/>
            <w:gridSpan w:val="2"/>
            <w:tcBorders>
              <w:top w:val="nil"/>
              <w:left w:val="nil"/>
              <w:bottom w:val="nil"/>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65,442 </w:t>
            </w:r>
          </w:p>
        </w:tc>
        <w:tc>
          <w:tcPr>
            <w:tcW w:w="100" w:type="dxa"/>
            <w:tcBorders>
              <w:top w:val="nil"/>
              <w:left w:val="nil"/>
              <w:bottom w:val="nil"/>
              <w:right w:val="nil"/>
            </w:tcBorders>
            <w:tcMar>
              <w:top w:w="0" w:type="dxa"/>
              <w:left w:w="0" w:type="dxa"/>
              <w:bottom w:w="0" w:type="dxa"/>
              <w:right w:w="15" w:type="dxa"/>
            </w:tcMar>
            <w:vAlign w:val="bottom"/>
          </w:tcPr>
          <w:p w:rsidR="00181083" w:rsidRDefault="00181083">
            <w:pPr>
              <w:keepNext/>
              <w:spacing w:before="53" w:after="30"/>
              <w:jc w:val="right"/>
            </w:pPr>
          </w:p>
        </w:tc>
      </w:tr>
      <w:tr w:rsidR="00181083">
        <w:trPr>
          <w:cantSplit/>
          <w:trHeight w:hRule="exact" w:val="285"/>
          <w:jc w:val="center"/>
        </w:trPr>
        <w:tc>
          <w:tcPr>
            <w:tcW w:w="7425" w:type="dxa"/>
            <w:tcBorders>
              <w:top w:val="nil"/>
              <w:left w:val="nil"/>
              <w:bottom w:val="nil"/>
              <w:right w:val="nil"/>
            </w:tcBorders>
            <w:tcMar>
              <w:top w:w="0" w:type="dxa"/>
              <w:left w:w="53" w:type="dxa"/>
              <w:bottom w:w="0" w:type="dxa"/>
              <w:right w:w="53" w:type="dxa"/>
            </w:tcMar>
            <w:vAlign w:val="bottom"/>
          </w:tcPr>
          <w:p w:rsidR="00181083" w:rsidRDefault="0010173D">
            <w:pPr>
              <w:keepNext/>
              <w:spacing w:before="53" w:after="30"/>
            </w:pPr>
            <w:r>
              <w:rPr>
                <w:rFonts w:ascii="Arial" w:eastAsia="Arial" w:hAnsi="Arial" w:cs="Arial"/>
                <w:color w:val="000000"/>
                <w:sz w:val="18"/>
              </w:rPr>
              <w:t>Operating Lease Right-Of-Use Assets</w:t>
            </w:r>
          </w:p>
        </w:tc>
        <w:tc>
          <w:tcPr>
            <w:tcW w:w="1220" w:type="dxa"/>
            <w:gridSpan w:val="2"/>
            <w:tcBorders>
              <w:top w:val="nil"/>
              <w:left w:val="nil"/>
              <w:bottom w:val="nil"/>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22,074 </w:t>
            </w:r>
          </w:p>
        </w:tc>
        <w:tc>
          <w:tcPr>
            <w:tcW w:w="100" w:type="dxa"/>
            <w:tcBorders>
              <w:top w:val="nil"/>
              <w:left w:val="nil"/>
              <w:bottom w:val="nil"/>
              <w:right w:val="nil"/>
            </w:tcBorders>
            <w:tcMar>
              <w:top w:w="0" w:type="dxa"/>
              <w:left w:w="0" w:type="dxa"/>
              <w:bottom w:w="0" w:type="dxa"/>
              <w:right w:w="15" w:type="dxa"/>
            </w:tcMar>
            <w:vAlign w:val="bottom"/>
          </w:tcPr>
          <w:p w:rsidR="00181083" w:rsidRDefault="00181083">
            <w:pPr>
              <w:keepNext/>
              <w:spacing w:before="53" w:after="30"/>
              <w:jc w:val="right"/>
            </w:pPr>
          </w:p>
        </w:tc>
        <w:tc>
          <w:tcPr>
            <w:tcW w:w="195" w:type="dxa"/>
            <w:tcBorders>
              <w:top w:val="nil"/>
              <w:left w:val="nil"/>
              <w:bottom w:val="nil"/>
              <w:right w:val="nil"/>
            </w:tcBorders>
            <w:tcMar>
              <w:top w:w="0" w:type="dxa"/>
              <w:left w:w="0" w:type="dxa"/>
              <w:bottom w:w="0" w:type="dxa"/>
              <w:right w:w="0" w:type="dxa"/>
            </w:tcMar>
            <w:vAlign w:val="bottom"/>
          </w:tcPr>
          <w:p w:rsidR="00181083" w:rsidRDefault="00181083">
            <w:pPr>
              <w:keepNext/>
            </w:pPr>
          </w:p>
        </w:tc>
        <w:tc>
          <w:tcPr>
            <w:tcW w:w="1220" w:type="dxa"/>
            <w:gridSpan w:val="2"/>
            <w:tcBorders>
              <w:top w:val="nil"/>
              <w:left w:val="nil"/>
              <w:bottom w:val="nil"/>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24,835 </w:t>
            </w:r>
          </w:p>
        </w:tc>
        <w:tc>
          <w:tcPr>
            <w:tcW w:w="100" w:type="dxa"/>
            <w:tcBorders>
              <w:top w:val="nil"/>
              <w:left w:val="nil"/>
              <w:bottom w:val="nil"/>
              <w:right w:val="nil"/>
            </w:tcBorders>
            <w:tcMar>
              <w:top w:w="0" w:type="dxa"/>
              <w:left w:w="0" w:type="dxa"/>
              <w:bottom w:w="0" w:type="dxa"/>
              <w:right w:w="15" w:type="dxa"/>
            </w:tcMar>
            <w:vAlign w:val="bottom"/>
          </w:tcPr>
          <w:p w:rsidR="00181083" w:rsidRDefault="00181083">
            <w:pPr>
              <w:keepNext/>
              <w:spacing w:before="53" w:after="30"/>
              <w:jc w:val="right"/>
            </w:pPr>
          </w:p>
        </w:tc>
      </w:tr>
      <w:tr w:rsidR="00181083">
        <w:trPr>
          <w:cantSplit/>
          <w:trHeight w:hRule="exact" w:val="285"/>
          <w:jc w:val="center"/>
        </w:trPr>
        <w:tc>
          <w:tcPr>
            <w:tcW w:w="7425" w:type="dxa"/>
            <w:tcBorders>
              <w:top w:val="nil"/>
              <w:left w:val="nil"/>
              <w:bottom w:val="single" w:sz="8" w:space="0" w:color="000000"/>
              <w:right w:val="nil"/>
            </w:tcBorders>
            <w:tcMar>
              <w:top w:w="0" w:type="dxa"/>
              <w:left w:w="53" w:type="dxa"/>
              <w:bottom w:w="0" w:type="dxa"/>
              <w:right w:w="53" w:type="dxa"/>
            </w:tcMar>
            <w:vAlign w:val="bottom"/>
          </w:tcPr>
          <w:p w:rsidR="00181083" w:rsidRDefault="0010173D">
            <w:pPr>
              <w:keepNext/>
              <w:spacing w:before="53" w:after="30"/>
            </w:pPr>
            <w:r>
              <w:rPr>
                <w:rFonts w:ascii="Arial" w:eastAsia="Arial" w:hAnsi="Arial" w:cs="Arial"/>
                <w:color w:val="000000"/>
                <w:sz w:val="18"/>
              </w:rPr>
              <w:t>Other Assets</w:t>
            </w:r>
          </w:p>
        </w:tc>
        <w:tc>
          <w:tcPr>
            <w:tcW w:w="1220" w:type="dxa"/>
            <w:gridSpan w:val="2"/>
            <w:tcBorders>
              <w:top w:val="nil"/>
              <w:left w:val="nil"/>
              <w:bottom w:val="single" w:sz="8" w:space="0" w:color="000000"/>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19,559 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181083" w:rsidRDefault="00181083">
            <w:pPr>
              <w:keepNext/>
              <w:spacing w:before="53" w:after="30"/>
              <w:jc w:val="right"/>
            </w:pPr>
          </w:p>
        </w:tc>
        <w:tc>
          <w:tcPr>
            <w:tcW w:w="195" w:type="dxa"/>
            <w:tcBorders>
              <w:top w:val="nil"/>
              <w:left w:val="nil"/>
              <w:bottom w:val="single" w:sz="8" w:space="0" w:color="000000"/>
              <w:right w:val="nil"/>
            </w:tcBorders>
            <w:tcMar>
              <w:top w:w="0" w:type="dxa"/>
              <w:left w:w="0" w:type="dxa"/>
              <w:bottom w:w="0" w:type="dxa"/>
              <w:right w:w="0" w:type="dxa"/>
            </w:tcMar>
            <w:vAlign w:val="bottom"/>
          </w:tcPr>
          <w:p w:rsidR="00181083" w:rsidRDefault="00181083">
            <w:pPr>
              <w:keepNext/>
            </w:pPr>
          </w:p>
        </w:tc>
        <w:tc>
          <w:tcPr>
            <w:tcW w:w="1220" w:type="dxa"/>
            <w:gridSpan w:val="2"/>
            <w:tcBorders>
              <w:top w:val="nil"/>
              <w:left w:val="nil"/>
              <w:bottom w:val="single" w:sz="8" w:space="0" w:color="000000"/>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17,787 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181083" w:rsidRDefault="00181083">
            <w:pPr>
              <w:keepNext/>
              <w:spacing w:before="53" w:after="30"/>
              <w:jc w:val="right"/>
            </w:pPr>
          </w:p>
        </w:tc>
      </w:tr>
      <w:tr w:rsidR="00181083">
        <w:trPr>
          <w:cantSplit/>
          <w:trHeight w:hRule="exact" w:val="285"/>
          <w:jc w:val="center"/>
        </w:trPr>
        <w:tc>
          <w:tcPr>
            <w:tcW w:w="7425" w:type="dxa"/>
            <w:tcBorders>
              <w:top w:val="single" w:sz="8" w:space="0" w:color="000000"/>
              <w:left w:val="nil"/>
              <w:bottom w:val="double" w:sz="8" w:space="0" w:color="000000"/>
              <w:right w:val="nil"/>
            </w:tcBorders>
            <w:tcMar>
              <w:top w:w="0" w:type="dxa"/>
              <w:left w:w="53" w:type="dxa"/>
              <w:bottom w:w="0" w:type="dxa"/>
              <w:right w:w="53" w:type="dxa"/>
            </w:tcMar>
            <w:vAlign w:val="bottom"/>
          </w:tcPr>
          <w:p w:rsidR="00181083" w:rsidRDefault="0010173D">
            <w:pPr>
              <w:keepNext/>
              <w:spacing w:before="33" w:after="30"/>
            </w:pPr>
            <w:r>
              <w:rPr>
                <w:rFonts w:ascii="Arial" w:eastAsia="Arial" w:hAnsi="Arial" w:cs="Arial"/>
                <w:color w:val="000000"/>
                <w:sz w:val="18"/>
              </w:rPr>
              <w:t>TOTAL ASSETS</w:t>
            </w:r>
          </w:p>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rsidR="00181083" w:rsidRDefault="0010173D">
            <w:pPr>
              <w:keepNext/>
              <w:spacing w:before="33" w:after="30"/>
            </w:pPr>
            <w:r>
              <w:rPr>
                <w:rFonts w:ascii="Arial" w:eastAsia="Arial" w:hAnsi="Arial" w:cs="Arial"/>
                <w:color w:val="000000"/>
                <w:sz w:val="18"/>
              </w:rPr>
              <w:t>$</w:t>
            </w:r>
          </w:p>
        </w:tc>
        <w:tc>
          <w:tcPr>
            <w:tcW w:w="1060" w:type="dxa"/>
            <w:tcBorders>
              <w:top w:val="single" w:sz="8" w:space="0" w:color="000000"/>
              <w:left w:val="nil"/>
              <w:bottom w:val="double" w:sz="8" w:space="0" w:color="000000"/>
              <w:right w:val="nil"/>
            </w:tcBorders>
            <w:tcMar>
              <w:top w:w="0" w:type="dxa"/>
              <w:left w:w="0" w:type="dxa"/>
              <w:bottom w:w="0" w:type="dxa"/>
              <w:right w:w="0" w:type="dxa"/>
            </w:tcMar>
            <w:vAlign w:val="bottom"/>
          </w:tcPr>
          <w:p w:rsidR="00181083" w:rsidRDefault="0010173D">
            <w:pPr>
              <w:keepNext/>
              <w:spacing w:before="33" w:after="30"/>
              <w:jc w:val="right"/>
            </w:pPr>
            <w:r>
              <w:rPr>
                <w:rFonts w:ascii="Arial" w:eastAsia="Arial" w:hAnsi="Arial" w:cs="Arial"/>
                <w:color w:val="000000"/>
                <w:sz w:val="18"/>
              </w:rPr>
              <w:t>232,868 </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rsidR="00181083" w:rsidRDefault="00181083">
            <w:pPr>
              <w:keepNext/>
              <w:spacing w:before="33" w:after="30"/>
              <w:jc w:val="right"/>
            </w:pPr>
          </w:p>
        </w:tc>
        <w:tc>
          <w:tcPr>
            <w:tcW w:w="195" w:type="dxa"/>
            <w:tcBorders>
              <w:top w:val="single" w:sz="8" w:space="0" w:color="000000"/>
              <w:left w:val="nil"/>
              <w:bottom w:val="double" w:sz="8" w:space="0" w:color="000000"/>
              <w:right w:val="nil"/>
            </w:tcBorders>
            <w:tcMar>
              <w:top w:w="0" w:type="dxa"/>
              <w:left w:w="0" w:type="dxa"/>
              <w:bottom w:w="0" w:type="dxa"/>
              <w:right w:w="0" w:type="dxa"/>
            </w:tcMar>
            <w:vAlign w:val="bottom"/>
          </w:tcPr>
          <w:p w:rsidR="00181083" w:rsidRDefault="00181083">
            <w:pPr>
              <w:keepNext/>
            </w:pPr>
          </w:p>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rsidR="00181083" w:rsidRDefault="0010173D">
            <w:pPr>
              <w:keepNext/>
              <w:spacing w:before="33" w:after="30"/>
            </w:pPr>
            <w:r>
              <w:rPr>
                <w:rFonts w:ascii="Arial" w:eastAsia="Arial" w:hAnsi="Arial" w:cs="Arial"/>
                <w:color w:val="000000"/>
                <w:sz w:val="18"/>
              </w:rPr>
              <w:t>$</w:t>
            </w:r>
          </w:p>
        </w:tc>
        <w:tc>
          <w:tcPr>
            <w:tcW w:w="1060" w:type="dxa"/>
            <w:tcBorders>
              <w:top w:val="single" w:sz="8" w:space="0" w:color="000000"/>
              <w:left w:val="nil"/>
              <w:bottom w:val="double" w:sz="8" w:space="0" w:color="000000"/>
              <w:right w:val="nil"/>
            </w:tcBorders>
            <w:tcMar>
              <w:top w:w="0" w:type="dxa"/>
              <w:left w:w="0" w:type="dxa"/>
              <w:bottom w:w="0" w:type="dxa"/>
              <w:right w:w="0" w:type="dxa"/>
            </w:tcMar>
            <w:vAlign w:val="bottom"/>
          </w:tcPr>
          <w:p w:rsidR="00181083" w:rsidRDefault="0010173D">
            <w:pPr>
              <w:keepNext/>
              <w:spacing w:before="33" w:after="30"/>
              <w:jc w:val="right"/>
            </w:pPr>
            <w:r>
              <w:rPr>
                <w:rFonts w:ascii="Arial" w:eastAsia="Arial" w:hAnsi="Arial" w:cs="Arial"/>
                <w:color w:val="000000"/>
                <w:sz w:val="18"/>
              </w:rPr>
              <w:t>247,659 </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rsidR="00181083" w:rsidRDefault="00181083">
            <w:pPr>
              <w:keepNext/>
              <w:spacing w:before="33" w:after="30"/>
              <w:jc w:val="right"/>
            </w:pPr>
          </w:p>
        </w:tc>
      </w:tr>
      <w:tr w:rsidR="00181083">
        <w:trPr>
          <w:cantSplit/>
          <w:trHeight w:hRule="exact" w:val="285"/>
          <w:jc w:val="center"/>
        </w:trPr>
        <w:tc>
          <w:tcPr>
            <w:tcW w:w="7425" w:type="dxa"/>
            <w:tcBorders>
              <w:top w:val="double" w:sz="8" w:space="0" w:color="000000"/>
              <w:left w:val="nil"/>
              <w:bottom w:val="nil"/>
              <w:right w:val="nil"/>
            </w:tcBorders>
            <w:tcMar>
              <w:top w:w="0" w:type="dxa"/>
              <w:left w:w="0" w:type="dxa"/>
              <w:bottom w:w="0" w:type="dxa"/>
              <w:right w:w="0" w:type="dxa"/>
            </w:tcMar>
            <w:vAlign w:val="bottom"/>
          </w:tcPr>
          <w:p w:rsidR="00181083" w:rsidRDefault="00181083">
            <w:pPr>
              <w:keepNext/>
            </w:pPr>
          </w:p>
        </w:tc>
        <w:tc>
          <w:tcPr>
            <w:tcW w:w="1320" w:type="dxa"/>
            <w:gridSpan w:val="3"/>
            <w:tcBorders>
              <w:top w:val="double" w:sz="8" w:space="0" w:color="000000"/>
              <w:left w:val="nil"/>
              <w:bottom w:val="nil"/>
              <w:right w:val="nil"/>
            </w:tcBorders>
            <w:tcMar>
              <w:top w:w="0" w:type="dxa"/>
              <w:left w:w="0" w:type="dxa"/>
              <w:bottom w:w="0" w:type="dxa"/>
              <w:right w:w="0" w:type="dxa"/>
            </w:tcMar>
            <w:vAlign w:val="bottom"/>
          </w:tcPr>
          <w:p w:rsidR="00181083" w:rsidRDefault="00181083">
            <w:pPr>
              <w:keepNext/>
            </w:pPr>
          </w:p>
        </w:tc>
        <w:tc>
          <w:tcPr>
            <w:tcW w:w="195" w:type="dxa"/>
            <w:tcBorders>
              <w:top w:val="double" w:sz="8" w:space="0" w:color="000000"/>
              <w:left w:val="nil"/>
              <w:bottom w:val="nil"/>
              <w:right w:val="nil"/>
            </w:tcBorders>
            <w:tcMar>
              <w:top w:w="0" w:type="dxa"/>
              <w:left w:w="0" w:type="dxa"/>
              <w:bottom w:w="0" w:type="dxa"/>
              <w:right w:w="0" w:type="dxa"/>
            </w:tcMar>
            <w:vAlign w:val="bottom"/>
          </w:tcPr>
          <w:p w:rsidR="00181083" w:rsidRDefault="00181083">
            <w:pPr>
              <w:keepNext/>
            </w:pPr>
          </w:p>
        </w:tc>
        <w:tc>
          <w:tcPr>
            <w:tcW w:w="1320" w:type="dxa"/>
            <w:gridSpan w:val="3"/>
            <w:tcBorders>
              <w:top w:val="double" w:sz="8" w:space="0" w:color="000000"/>
              <w:left w:val="nil"/>
              <w:bottom w:val="nil"/>
              <w:right w:val="nil"/>
            </w:tcBorders>
            <w:tcMar>
              <w:top w:w="0" w:type="dxa"/>
              <w:left w:w="53" w:type="dxa"/>
              <w:bottom w:w="0" w:type="dxa"/>
              <w:right w:w="53" w:type="dxa"/>
            </w:tcMar>
            <w:vAlign w:val="bottom"/>
          </w:tcPr>
          <w:p w:rsidR="00181083" w:rsidRDefault="00181083">
            <w:pPr>
              <w:keepNext/>
              <w:spacing w:before="33" w:after="30"/>
            </w:pPr>
          </w:p>
        </w:tc>
      </w:tr>
      <w:tr w:rsidR="00181083">
        <w:trPr>
          <w:cantSplit/>
          <w:trHeight w:hRule="exact" w:val="285"/>
          <w:jc w:val="center"/>
        </w:trPr>
        <w:tc>
          <w:tcPr>
            <w:tcW w:w="7425" w:type="dxa"/>
            <w:tcBorders>
              <w:top w:val="nil"/>
              <w:left w:val="nil"/>
              <w:bottom w:val="nil"/>
              <w:right w:val="nil"/>
            </w:tcBorders>
            <w:tcMar>
              <w:top w:w="0" w:type="dxa"/>
              <w:left w:w="53" w:type="dxa"/>
              <w:bottom w:w="0" w:type="dxa"/>
              <w:right w:w="53" w:type="dxa"/>
            </w:tcMar>
            <w:vAlign w:val="bottom"/>
          </w:tcPr>
          <w:p w:rsidR="00181083" w:rsidRDefault="0010173D">
            <w:pPr>
              <w:keepNext/>
              <w:spacing w:before="53" w:after="30"/>
            </w:pPr>
            <w:r>
              <w:rPr>
                <w:rFonts w:ascii="Arial" w:eastAsia="Arial" w:hAnsi="Arial" w:cs="Arial"/>
                <w:color w:val="000000"/>
                <w:sz w:val="18"/>
              </w:rPr>
              <w:t>LIABILITIES AND STOCKHOLDERS' EQUITY</w:t>
            </w:r>
          </w:p>
        </w:tc>
        <w:tc>
          <w:tcPr>
            <w:tcW w:w="1320" w:type="dxa"/>
            <w:gridSpan w:val="3"/>
            <w:tcBorders>
              <w:top w:val="nil"/>
              <w:left w:val="nil"/>
              <w:bottom w:val="nil"/>
              <w:right w:val="nil"/>
            </w:tcBorders>
            <w:tcMar>
              <w:top w:w="0" w:type="dxa"/>
              <w:left w:w="0" w:type="dxa"/>
              <w:bottom w:w="0" w:type="dxa"/>
              <w:right w:w="0" w:type="dxa"/>
            </w:tcMar>
            <w:vAlign w:val="bottom"/>
          </w:tcPr>
          <w:p w:rsidR="00181083" w:rsidRDefault="00181083">
            <w:pPr>
              <w:keepNext/>
            </w:pPr>
          </w:p>
        </w:tc>
        <w:tc>
          <w:tcPr>
            <w:tcW w:w="195" w:type="dxa"/>
            <w:tcBorders>
              <w:top w:val="nil"/>
              <w:left w:val="nil"/>
              <w:bottom w:val="nil"/>
              <w:right w:val="nil"/>
            </w:tcBorders>
            <w:tcMar>
              <w:top w:w="0" w:type="dxa"/>
              <w:left w:w="0" w:type="dxa"/>
              <w:bottom w:w="0" w:type="dxa"/>
              <w:right w:w="0" w:type="dxa"/>
            </w:tcMar>
            <w:vAlign w:val="bottom"/>
          </w:tcPr>
          <w:p w:rsidR="00181083" w:rsidRDefault="00181083">
            <w:pPr>
              <w:keepNext/>
            </w:pPr>
          </w:p>
        </w:tc>
        <w:tc>
          <w:tcPr>
            <w:tcW w:w="1320" w:type="dxa"/>
            <w:gridSpan w:val="3"/>
            <w:tcBorders>
              <w:top w:val="nil"/>
              <w:left w:val="nil"/>
              <w:bottom w:val="nil"/>
              <w:right w:val="nil"/>
            </w:tcBorders>
            <w:tcMar>
              <w:top w:w="0" w:type="dxa"/>
              <w:left w:w="53" w:type="dxa"/>
              <w:bottom w:w="0" w:type="dxa"/>
              <w:right w:w="53" w:type="dxa"/>
            </w:tcMar>
            <w:vAlign w:val="bottom"/>
          </w:tcPr>
          <w:p w:rsidR="00181083" w:rsidRDefault="00181083">
            <w:pPr>
              <w:keepNext/>
              <w:spacing w:before="53" w:after="30"/>
            </w:pPr>
          </w:p>
        </w:tc>
      </w:tr>
      <w:tr w:rsidR="00181083">
        <w:trPr>
          <w:cantSplit/>
          <w:trHeight w:hRule="exact" w:val="285"/>
          <w:jc w:val="center"/>
        </w:trPr>
        <w:tc>
          <w:tcPr>
            <w:tcW w:w="7425" w:type="dxa"/>
            <w:tcBorders>
              <w:top w:val="nil"/>
              <w:left w:val="nil"/>
              <w:bottom w:val="nil"/>
              <w:right w:val="nil"/>
            </w:tcBorders>
            <w:tcMar>
              <w:top w:w="0" w:type="dxa"/>
              <w:left w:w="53" w:type="dxa"/>
              <w:bottom w:w="0" w:type="dxa"/>
              <w:right w:w="53" w:type="dxa"/>
            </w:tcMar>
            <w:vAlign w:val="bottom"/>
          </w:tcPr>
          <w:p w:rsidR="00181083" w:rsidRDefault="0010173D">
            <w:pPr>
              <w:keepNext/>
              <w:spacing w:before="53" w:after="30"/>
            </w:pPr>
            <w:r>
              <w:rPr>
                <w:rFonts w:ascii="Arial" w:eastAsia="Arial" w:hAnsi="Arial" w:cs="Arial"/>
                <w:color w:val="000000"/>
                <w:sz w:val="18"/>
              </w:rPr>
              <w:t>Current Liabilities</w:t>
            </w:r>
          </w:p>
        </w:tc>
        <w:tc>
          <w:tcPr>
            <w:tcW w:w="1320" w:type="dxa"/>
            <w:gridSpan w:val="3"/>
            <w:tcBorders>
              <w:top w:val="nil"/>
              <w:left w:val="nil"/>
              <w:bottom w:val="nil"/>
              <w:right w:val="nil"/>
            </w:tcBorders>
            <w:tcMar>
              <w:top w:w="0" w:type="dxa"/>
              <w:left w:w="0" w:type="dxa"/>
              <w:bottom w:w="0" w:type="dxa"/>
              <w:right w:w="0" w:type="dxa"/>
            </w:tcMar>
            <w:vAlign w:val="bottom"/>
          </w:tcPr>
          <w:p w:rsidR="00181083" w:rsidRDefault="00181083">
            <w:pPr>
              <w:keepNext/>
            </w:pPr>
          </w:p>
        </w:tc>
        <w:tc>
          <w:tcPr>
            <w:tcW w:w="195" w:type="dxa"/>
            <w:tcBorders>
              <w:top w:val="nil"/>
              <w:left w:val="nil"/>
              <w:bottom w:val="nil"/>
              <w:right w:val="nil"/>
            </w:tcBorders>
            <w:tcMar>
              <w:top w:w="0" w:type="dxa"/>
              <w:left w:w="0" w:type="dxa"/>
              <w:bottom w:w="0" w:type="dxa"/>
              <w:right w:w="0" w:type="dxa"/>
            </w:tcMar>
            <w:vAlign w:val="bottom"/>
          </w:tcPr>
          <w:p w:rsidR="00181083" w:rsidRDefault="00181083">
            <w:pPr>
              <w:keepNext/>
            </w:pPr>
          </w:p>
        </w:tc>
        <w:tc>
          <w:tcPr>
            <w:tcW w:w="1320" w:type="dxa"/>
            <w:gridSpan w:val="3"/>
            <w:tcBorders>
              <w:top w:val="nil"/>
              <w:left w:val="nil"/>
              <w:bottom w:val="nil"/>
              <w:right w:val="nil"/>
            </w:tcBorders>
            <w:tcMar>
              <w:top w:w="0" w:type="dxa"/>
              <w:left w:w="53" w:type="dxa"/>
              <w:bottom w:w="0" w:type="dxa"/>
              <w:right w:w="53" w:type="dxa"/>
            </w:tcMar>
            <w:vAlign w:val="bottom"/>
          </w:tcPr>
          <w:p w:rsidR="00181083" w:rsidRDefault="00181083">
            <w:pPr>
              <w:keepNext/>
              <w:spacing w:before="53" w:after="30"/>
            </w:pPr>
          </w:p>
        </w:tc>
      </w:tr>
      <w:tr w:rsidR="00181083">
        <w:trPr>
          <w:cantSplit/>
          <w:trHeight w:hRule="exact" w:val="285"/>
          <w:jc w:val="center"/>
        </w:trPr>
        <w:tc>
          <w:tcPr>
            <w:tcW w:w="7425" w:type="dxa"/>
            <w:tcBorders>
              <w:top w:val="nil"/>
              <w:left w:val="nil"/>
              <w:bottom w:val="nil"/>
              <w:right w:val="nil"/>
            </w:tcBorders>
            <w:tcMar>
              <w:top w:w="0" w:type="dxa"/>
              <w:left w:w="53" w:type="dxa"/>
              <w:bottom w:w="0" w:type="dxa"/>
              <w:right w:w="53" w:type="dxa"/>
            </w:tcMar>
            <w:vAlign w:val="bottom"/>
          </w:tcPr>
          <w:p w:rsidR="00181083" w:rsidRDefault="0010173D">
            <w:pPr>
              <w:keepNext/>
              <w:spacing w:before="53" w:after="30"/>
              <w:ind w:left="225"/>
            </w:pPr>
            <w:r>
              <w:rPr>
                <w:rFonts w:ascii="Arial" w:eastAsia="Arial" w:hAnsi="Arial" w:cs="Arial"/>
                <w:color w:val="000000"/>
                <w:sz w:val="18"/>
              </w:rPr>
              <w:t>Accounts payable</w:t>
            </w:r>
          </w:p>
        </w:tc>
        <w:tc>
          <w:tcPr>
            <w:tcW w:w="160" w:type="dxa"/>
            <w:tcBorders>
              <w:top w:val="nil"/>
              <w:left w:val="nil"/>
              <w:bottom w:val="nil"/>
              <w:right w:val="nil"/>
            </w:tcBorders>
            <w:tcMar>
              <w:top w:w="0" w:type="dxa"/>
              <w:left w:w="53" w:type="dxa"/>
              <w:bottom w:w="0" w:type="dxa"/>
              <w:right w:w="0" w:type="dxa"/>
            </w:tcMar>
            <w:vAlign w:val="bottom"/>
          </w:tcPr>
          <w:p w:rsidR="00181083" w:rsidRDefault="0010173D">
            <w:pPr>
              <w:keepNext/>
              <w:spacing w:before="53" w:after="30"/>
            </w:pPr>
            <w:r>
              <w:rPr>
                <w:rFonts w:ascii="Arial" w:eastAsia="Arial" w:hAnsi="Arial" w:cs="Arial"/>
                <w:color w:val="000000"/>
                <w:sz w:val="18"/>
              </w:rPr>
              <w:t>$</w:t>
            </w:r>
          </w:p>
        </w:tc>
        <w:tc>
          <w:tcPr>
            <w:tcW w:w="1060" w:type="dxa"/>
            <w:tcBorders>
              <w:top w:val="nil"/>
              <w:left w:val="nil"/>
              <w:bottom w:val="nil"/>
              <w:right w:val="nil"/>
            </w:tcBorders>
            <w:tcMar>
              <w:top w:w="0" w:type="dxa"/>
              <w:left w:w="0"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19,058 </w:t>
            </w:r>
          </w:p>
        </w:tc>
        <w:tc>
          <w:tcPr>
            <w:tcW w:w="100" w:type="dxa"/>
            <w:tcBorders>
              <w:top w:val="nil"/>
              <w:left w:val="nil"/>
              <w:bottom w:val="nil"/>
              <w:right w:val="nil"/>
            </w:tcBorders>
            <w:tcMar>
              <w:top w:w="0" w:type="dxa"/>
              <w:left w:w="0" w:type="dxa"/>
              <w:bottom w:w="0" w:type="dxa"/>
              <w:right w:w="15" w:type="dxa"/>
            </w:tcMar>
            <w:vAlign w:val="bottom"/>
          </w:tcPr>
          <w:p w:rsidR="00181083" w:rsidRDefault="00181083">
            <w:pPr>
              <w:keepNext/>
              <w:spacing w:before="53" w:after="30"/>
              <w:jc w:val="right"/>
            </w:pPr>
          </w:p>
        </w:tc>
        <w:tc>
          <w:tcPr>
            <w:tcW w:w="195" w:type="dxa"/>
            <w:tcBorders>
              <w:top w:val="nil"/>
              <w:left w:val="nil"/>
              <w:bottom w:val="nil"/>
              <w:right w:val="nil"/>
            </w:tcBorders>
            <w:tcMar>
              <w:top w:w="0" w:type="dxa"/>
              <w:left w:w="0" w:type="dxa"/>
              <w:bottom w:w="0" w:type="dxa"/>
              <w:right w:w="0" w:type="dxa"/>
            </w:tcMar>
            <w:vAlign w:val="bottom"/>
          </w:tcPr>
          <w:p w:rsidR="00181083" w:rsidRDefault="00181083">
            <w:pPr>
              <w:keepNext/>
            </w:pPr>
          </w:p>
        </w:tc>
        <w:tc>
          <w:tcPr>
            <w:tcW w:w="160" w:type="dxa"/>
            <w:tcBorders>
              <w:top w:val="nil"/>
              <w:left w:val="nil"/>
              <w:bottom w:val="nil"/>
              <w:right w:val="nil"/>
            </w:tcBorders>
            <w:tcMar>
              <w:top w:w="0" w:type="dxa"/>
              <w:left w:w="53" w:type="dxa"/>
              <w:bottom w:w="0" w:type="dxa"/>
              <w:right w:w="0" w:type="dxa"/>
            </w:tcMar>
            <w:vAlign w:val="bottom"/>
          </w:tcPr>
          <w:p w:rsidR="00181083" w:rsidRDefault="0010173D">
            <w:pPr>
              <w:keepNext/>
              <w:spacing w:before="53" w:after="30"/>
            </w:pPr>
            <w:r>
              <w:rPr>
                <w:rFonts w:ascii="Arial" w:eastAsia="Arial" w:hAnsi="Arial" w:cs="Arial"/>
                <w:color w:val="000000"/>
                <w:sz w:val="18"/>
              </w:rPr>
              <w:t>$</w:t>
            </w:r>
          </w:p>
        </w:tc>
        <w:tc>
          <w:tcPr>
            <w:tcW w:w="1060" w:type="dxa"/>
            <w:tcBorders>
              <w:top w:val="nil"/>
              <w:left w:val="nil"/>
              <w:bottom w:val="nil"/>
              <w:right w:val="nil"/>
            </w:tcBorders>
            <w:tcMar>
              <w:top w:w="0" w:type="dxa"/>
              <w:left w:w="0"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16,084 </w:t>
            </w:r>
          </w:p>
        </w:tc>
        <w:tc>
          <w:tcPr>
            <w:tcW w:w="100" w:type="dxa"/>
            <w:tcBorders>
              <w:top w:val="nil"/>
              <w:left w:val="nil"/>
              <w:bottom w:val="nil"/>
              <w:right w:val="nil"/>
            </w:tcBorders>
            <w:tcMar>
              <w:top w:w="0" w:type="dxa"/>
              <w:left w:w="0" w:type="dxa"/>
              <w:bottom w:w="0" w:type="dxa"/>
              <w:right w:w="15" w:type="dxa"/>
            </w:tcMar>
            <w:vAlign w:val="bottom"/>
          </w:tcPr>
          <w:p w:rsidR="00181083" w:rsidRDefault="00181083">
            <w:pPr>
              <w:keepNext/>
              <w:spacing w:before="53" w:after="30"/>
              <w:jc w:val="right"/>
            </w:pPr>
          </w:p>
        </w:tc>
      </w:tr>
      <w:tr w:rsidR="00181083">
        <w:trPr>
          <w:cantSplit/>
          <w:trHeight w:hRule="exact" w:val="285"/>
          <w:jc w:val="center"/>
        </w:trPr>
        <w:tc>
          <w:tcPr>
            <w:tcW w:w="7425" w:type="dxa"/>
            <w:tcBorders>
              <w:top w:val="nil"/>
              <w:left w:val="nil"/>
              <w:bottom w:val="nil"/>
              <w:right w:val="nil"/>
            </w:tcBorders>
            <w:tcMar>
              <w:top w:w="0" w:type="dxa"/>
              <w:left w:w="53" w:type="dxa"/>
              <w:bottom w:w="0" w:type="dxa"/>
              <w:right w:w="53" w:type="dxa"/>
            </w:tcMar>
            <w:vAlign w:val="bottom"/>
          </w:tcPr>
          <w:p w:rsidR="00181083" w:rsidRDefault="0010173D">
            <w:pPr>
              <w:keepNext/>
              <w:spacing w:before="53" w:after="30"/>
              <w:ind w:left="225"/>
            </w:pPr>
            <w:r>
              <w:rPr>
                <w:rFonts w:ascii="Arial" w:eastAsia="Arial" w:hAnsi="Arial" w:cs="Arial"/>
                <w:color w:val="000000"/>
                <w:sz w:val="18"/>
              </w:rPr>
              <w:t>Accrued expenses</w:t>
            </w:r>
          </w:p>
        </w:tc>
        <w:tc>
          <w:tcPr>
            <w:tcW w:w="1220" w:type="dxa"/>
            <w:gridSpan w:val="2"/>
            <w:tcBorders>
              <w:top w:val="nil"/>
              <w:left w:val="nil"/>
              <w:bottom w:val="nil"/>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25,965 </w:t>
            </w:r>
          </w:p>
        </w:tc>
        <w:tc>
          <w:tcPr>
            <w:tcW w:w="100" w:type="dxa"/>
            <w:tcBorders>
              <w:top w:val="nil"/>
              <w:left w:val="nil"/>
              <w:bottom w:val="nil"/>
              <w:right w:val="nil"/>
            </w:tcBorders>
            <w:tcMar>
              <w:top w:w="0" w:type="dxa"/>
              <w:left w:w="0" w:type="dxa"/>
              <w:bottom w:w="0" w:type="dxa"/>
              <w:right w:w="15" w:type="dxa"/>
            </w:tcMar>
            <w:vAlign w:val="bottom"/>
          </w:tcPr>
          <w:p w:rsidR="00181083" w:rsidRDefault="00181083">
            <w:pPr>
              <w:keepNext/>
              <w:spacing w:before="53" w:after="30"/>
              <w:jc w:val="right"/>
            </w:pPr>
          </w:p>
        </w:tc>
        <w:tc>
          <w:tcPr>
            <w:tcW w:w="195" w:type="dxa"/>
            <w:tcBorders>
              <w:top w:val="nil"/>
              <w:left w:val="nil"/>
              <w:bottom w:val="nil"/>
              <w:right w:val="nil"/>
            </w:tcBorders>
            <w:tcMar>
              <w:top w:w="0" w:type="dxa"/>
              <w:left w:w="0" w:type="dxa"/>
              <w:bottom w:w="0" w:type="dxa"/>
              <w:right w:w="0" w:type="dxa"/>
            </w:tcMar>
            <w:vAlign w:val="bottom"/>
          </w:tcPr>
          <w:p w:rsidR="00181083" w:rsidRDefault="00181083">
            <w:pPr>
              <w:keepNext/>
            </w:pPr>
          </w:p>
        </w:tc>
        <w:tc>
          <w:tcPr>
            <w:tcW w:w="1220" w:type="dxa"/>
            <w:gridSpan w:val="2"/>
            <w:tcBorders>
              <w:top w:val="nil"/>
              <w:left w:val="nil"/>
              <w:bottom w:val="nil"/>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25,418 </w:t>
            </w:r>
          </w:p>
        </w:tc>
        <w:tc>
          <w:tcPr>
            <w:tcW w:w="100" w:type="dxa"/>
            <w:tcBorders>
              <w:top w:val="nil"/>
              <w:left w:val="nil"/>
              <w:bottom w:val="nil"/>
              <w:right w:val="nil"/>
            </w:tcBorders>
            <w:tcMar>
              <w:top w:w="0" w:type="dxa"/>
              <w:left w:w="0" w:type="dxa"/>
              <w:bottom w:w="0" w:type="dxa"/>
              <w:right w:w="15" w:type="dxa"/>
            </w:tcMar>
            <w:vAlign w:val="bottom"/>
          </w:tcPr>
          <w:p w:rsidR="00181083" w:rsidRDefault="00181083">
            <w:pPr>
              <w:keepNext/>
              <w:spacing w:before="53" w:after="30"/>
              <w:jc w:val="right"/>
            </w:pPr>
          </w:p>
        </w:tc>
      </w:tr>
      <w:tr w:rsidR="00181083">
        <w:trPr>
          <w:cantSplit/>
          <w:trHeight w:hRule="exact" w:val="285"/>
          <w:jc w:val="center"/>
        </w:trPr>
        <w:tc>
          <w:tcPr>
            <w:tcW w:w="7425" w:type="dxa"/>
            <w:tcBorders>
              <w:top w:val="nil"/>
              <w:left w:val="nil"/>
              <w:bottom w:val="nil"/>
              <w:right w:val="nil"/>
            </w:tcBorders>
            <w:tcMar>
              <w:top w:w="0" w:type="dxa"/>
              <w:left w:w="53" w:type="dxa"/>
              <w:bottom w:w="0" w:type="dxa"/>
              <w:right w:w="53" w:type="dxa"/>
            </w:tcMar>
            <w:vAlign w:val="bottom"/>
          </w:tcPr>
          <w:p w:rsidR="00181083" w:rsidRDefault="0010173D">
            <w:pPr>
              <w:keepNext/>
              <w:spacing w:before="53" w:after="30"/>
              <w:ind w:left="225"/>
            </w:pPr>
            <w:r>
              <w:rPr>
                <w:rFonts w:ascii="Arial" w:eastAsia="Arial" w:hAnsi="Arial" w:cs="Arial"/>
                <w:color w:val="000000"/>
                <w:sz w:val="18"/>
              </w:rPr>
              <w:t>Current portion of long-term debt</w:t>
            </w:r>
          </w:p>
        </w:tc>
        <w:tc>
          <w:tcPr>
            <w:tcW w:w="1220" w:type="dxa"/>
            <w:gridSpan w:val="2"/>
            <w:tcBorders>
              <w:top w:val="nil"/>
              <w:left w:val="nil"/>
              <w:bottom w:val="nil"/>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6,116 </w:t>
            </w:r>
          </w:p>
        </w:tc>
        <w:tc>
          <w:tcPr>
            <w:tcW w:w="100" w:type="dxa"/>
            <w:tcBorders>
              <w:top w:val="nil"/>
              <w:left w:val="nil"/>
              <w:bottom w:val="nil"/>
              <w:right w:val="nil"/>
            </w:tcBorders>
            <w:tcMar>
              <w:top w:w="0" w:type="dxa"/>
              <w:left w:w="0" w:type="dxa"/>
              <w:bottom w:w="0" w:type="dxa"/>
              <w:right w:w="15" w:type="dxa"/>
            </w:tcMar>
            <w:vAlign w:val="bottom"/>
          </w:tcPr>
          <w:p w:rsidR="00181083" w:rsidRDefault="00181083">
            <w:pPr>
              <w:keepNext/>
              <w:spacing w:before="53" w:after="30"/>
              <w:jc w:val="right"/>
            </w:pPr>
          </w:p>
        </w:tc>
        <w:tc>
          <w:tcPr>
            <w:tcW w:w="195" w:type="dxa"/>
            <w:tcBorders>
              <w:top w:val="nil"/>
              <w:left w:val="nil"/>
              <w:bottom w:val="nil"/>
              <w:right w:val="nil"/>
            </w:tcBorders>
            <w:tcMar>
              <w:top w:w="0" w:type="dxa"/>
              <w:left w:w="0" w:type="dxa"/>
              <w:bottom w:w="0" w:type="dxa"/>
              <w:right w:w="0" w:type="dxa"/>
            </w:tcMar>
            <w:vAlign w:val="bottom"/>
          </w:tcPr>
          <w:p w:rsidR="00181083" w:rsidRDefault="00181083">
            <w:pPr>
              <w:keepNext/>
            </w:pPr>
          </w:p>
        </w:tc>
        <w:tc>
          <w:tcPr>
            <w:tcW w:w="1220" w:type="dxa"/>
            <w:gridSpan w:val="2"/>
            <w:tcBorders>
              <w:top w:val="nil"/>
              <w:left w:val="nil"/>
              <w:bottom w:val="nil"/>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6,684 </w:t>
            </w:r>
          </w:p>
        </w:tc>
        <w:tc>
          <w:tcPr>
            <w:tcW w:w="100" w:type="dxa"/>
            <w:tcBorders>
              <w:top w:val="nil"/>
              <w:left w:val="nil"/>
              <w:bottom w:val="nil"/>
              <w:right w:val="nil"/>
            </w:tcBorders>
            <w:tcMar>
              <w:top w:w="0" w:type="dxa"/>
              <w:left w:w="0" w:type="dxa"/>
              <w:bottom w:w="0" w:type="dxa"/>
              <w:right w:w="15" w:type="dxa"/>
            </w:tcMar>
            <w:vAlign w:val="bottom"/>
          </w:tcPr>
          <w:p w:rsidR="00181083" w:rsidRDefault="00181083">
            <w:pPr>
              <w:keepNext/>
              <w:spacing w:before="53" w:after="30"/>
              <w:jc w:val="right"/>
            </w:pPr>
          </w:p>
        </w:tc>
      </w:tr>
      <w:tr w:rsidR="00181083">
        <w:trPr>
          <w:cantSplit/>
          <w:trHeight w:hRule="exact" w:val="285"/>
          <w:jc w:val="center"/>
        </w:trPr>
        <w:tc>
          <w:tcPr>
            <w:tcW w:w="7425" w:type="dxa"/>
            <w:tcBorders>
              <w:top w:val="nil"/>
              <w:left w:val="nil"/>
              <w:bottom w:val="single" w:sz="8" w:space="0" w:color="000000"/>
              <w:right w:val="nil"/>
            </w:tcBorders>
            <w:tcMar>
              <w:top w:w="0" w:type="dxa"/>
              <w:left w:w="53" w:type="dxa"/>
              <w:bottom w:w="0" w:type="dxa"/>
              <w:right w:w="53" w:type="dxa"/>
            </w:tcMar>
            <w:vAlign w:val="bottom"/>
          </w:tcPr>
          <w:p w:rsidR="00181083" w:rsidRDefault="0010173D">
            <w:pPr>
              <w:keepNext/>
              <w:spacing w:before="53" w:after="30"/>
              <w:ind w:left="225"/>
            </w:pPr>
            <w:r>
              <w:rPr>
                <w:rFonts w:ascii="Arial" w:eastAsia="Arial" w:hAnsi="Arial" w:cs="Arial"/>
                <w:color w:val="000000"/>
                <w:sz w:val="18"/>
              </w:rPr>
              <w:t>Current portion of operating lease liabilities</w:t>
            </w:r>
          </w:p>
        </w:tc>
        <w:tc>
          <w:tcPr>
            <w:tcW w:w="1220" w:type="dxa"/>
            <w:gridSpan w:val="2"/>
            <w:tcBorders>
              <w:top w:val="nil"/>
              <w:left w:val="nil"/>
              <w:bottom w:val="single" w:sz="8" w:space="0" w:color="000000"/>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3,323 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181083" w:rsidRDefault="00181083">
            <w:pPr>
              <w:keepNext/>
              <w:spacing w:before="53" w:after="30"/>
              <w:jc w:val="right"/>
            </w:pPr>
          </w:p>
        </w:tc>
        <w:tc>
          <w:tcPr>
            <w:tcW w:w="195" w:type="dxa"/>
            <w:tcBorders>
              <w:top w:val="nil"/>
              <w:left w:val="nil"/>
              <w:bottom w:val="single" w:sz="8" w:space="0" w:color="000000"/>
              <w:right w:val="nil"/>
            </w:tcBorders>
            <w:tcMar>
              <w:top w:w="0" w:type="dxa"/>
              <w:left w:w="0" w:type="dxa"/>
              <w:bottom w:w="0" w:type="dxa"/>
              <w:right w:w="0" w:type="dxa"/>
            </w:tcMar>
            <w:vAlign w:val="bottom"/>
          </w:tcPr>
          <w:p w:rsidR="00181083" w:rsidRDefault="00181083">
            <w:pPr>
              <w:keepNext/>
            </w:pPr>
          </w:p>
        </w:tc>
        <w:tc>
          <w:tcPr>
            <w:tcW w:w="1220" w:type="dxa"/>
            <w:gridSpan w:val="2"/>
            <w:tcBorders>
              <w:top w:val="nil"/>
              <w:left w:val="nil"/>
              <w:bottom w:val="single" w:sz="8" w:space="0" w:color="000000"/>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3,172 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181083" w:rsidRDefault="00181083">
            <w:pPr>
              <w:keepNext/>
              <w:spacing w:before="53" w:after="30"/>
              <w:jc w:val="right"/>
            </w:pPr>
          </w:p>
        </w:tc>
      </w:tr>
      <w:tr w:rsidR="00181083">
        <w:trPr>
          <w:cantSplit/>
          <w:trHeight w:hRule="exact" w:val="285"/>
          <w:jc w:val="center"/>
        </w:trPr>
        <w:tc>
          <w:tcPr>
            <w:tcW w:w="7425" w:type="dxa"/>
            <w:tcBorders>
              <w:top w:val="single" w:sz="8" w:space="0" w:color="000000"/>
              <w:left w:val="nil"/>
              <w:bottom w:val="nil"/>
              <w:right w:val="nil"/>
            </w:tcBorders>
            <w:tcMar>
              <w:top w:w="0" w:type="dxa"/>
              <w:left w:w="53" w:type="dxa"/>
              <w:bottom w:w="0" w:type="dxa"/>
              <w:right w:w="53" w:type="dxa"/>
            </w:tcMar>
            <w:vAlign w:val="bottom"/>
          </w:tcPr>
          <w:p w:rsidR="00181083" w:rsidRDefault="0010173D">
            <w:pPr>
              <w:keepNext/>
              <w:spacing w:before="33" w:after="30"/>
              <w:ind w:left="495"/>
            </w:pPr>
            <w:r>
              <w:rPr>
                <w:rFonts w:ascii="Arial" w:eastAsia="Arial" w:hAnsi="Arial" w:cs="Arial"/>
                <w:color w:val="000000"/>
                <w:sz w:val="18"/>
              </w:rPr>
              <w:t>Total Current Liabilities</w:t>
            </w:r>
          </w:p>
        </w:tc>
        <w:tc>
          <w:tcPr>
            <w:tcW w:w="1220" w:type="dxa"/>
            <w:gridSpan w:val="2"/>
            <w:tcBorders>
              <w:top w:val="single" w:sz="8" w:space="0" w:color="000000"/>
              <w:left w:val="nil"/>
              <w:bottom w:val="nil"/>
              <w:right w:val="nil"/>
            </w:tcBorders>
            <w:tcMar>
              <w:top w:w="0" w:type="dxa"/>
              <w:left w:w="53" w:type="dxa"/>
              <w:bottom w:w="0" w:type="dxa"/>
              <w:right w:w="0" w:type="dxa"/>
            </w:tcMar>
            <w:vAlign w:val="bottom"/>
          </w:tcPr>
          <w:p w:rsidR="00181083" w:rsidRDefault="0010173D">
            <w:pPr>
              <w:keepNext/>
              <w:spacing w:before="33" w:after="30"/>
              <w:jc w:val="right"/>
            </w:pPr>
            <w:r>
              <w:rPr>
                <w:rFonts w:ascii="Arial" w:eastAsia="Arial" w:hAnsi="Arial" w:cs="Arial"/>
                <w:color w:val="000000"/>
                <w:sz w:val="18"/>
              </w:rPr>
              <w:t>54,462 </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181083" w:rsidRDefault="00181083">
            <w:pPr>
              <w:keepNext/>
              <w:spacing w:before="33" w:after="30"/>
              <w:jc w:val="right"/>
            </w:pPr>
          </w:p>
        </w:tc>
        <w:tc>
          <w:tcPr>
            <w:tcW w:w="195" w:type="dxa"/>
            <w:tcBorders>
              <w:top w:val="single" w:sz="8" w:space="0" w:color="000000"/>
              <w:left w:val="nil"/>
              <w:bottom w:val="nil"/>
              <w:right w:val="nil"/>
            </w:tcBorders>
            <w:tcMar>
              <w:top w:w="0" w:type="dxa"/>
              <w:left w:w="0" w:type="dxa"/>
              <w:bottom w:w="0" w:type="dxa"/>
              <w:right w:w="0" w:type="dxa"/>
            </w:tcMar>
            <w:vAlign w:val="bottom"/>
          </w:tcPr>
          <w:p w:rsidR="00181083" w:rsidRDefault="00181083">
            <w:pPr>
              <w:keepNext/>
            </w:pPr>
          </w:p>
        </w:tc>
        <w:tc>
          <w:tcPr>
            <w:tcW w:w="1220" w:type="dxa"/>
            <w:gridSpan w:val="2"/>
            <w:tcBorders>
              <w:top w:val="single" w:sz="8" w:space="0" w:color="000000"/>
              <w:left w:val="nil"/>
              <w:bottom w:val="nil"/>
              <w:right w:val="nil"/>
            </w:tcBorders>
            <w:tcMar>
              <w:top w:w="0" w:type="dxa"/>
              <w:left w:w="53" w:type="dxa"/>
              <w:bottom w:w="0" w:type="dxa"/>
              <w:right w:w="0" w:type="dxa"/>
            </w:tcMar>
            <w:vAlign w:val="bottom"/>
          </w:tcPr>
          <w:p w:rsidR="00181083" w:rsidRDefault="0010173D">
            <w:pPr>
              <w:keepNext/>
              <w:spacing w:before="33" w:after="30"/>
              <w:jc w:val="right"/>
            </w:pPr>
            <w:r>
              <w:rPr>
                <w:rFonts w:ascii="Arial" w:eastAsia="Arial" w:hAnsi="Arial" w:cs="Arial"/>
                <w:color w:val="000000"/>
                <w:sz w:val="18"/>
              </w:rPr>
              <w:t>51,358 </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181083" w:rsidRDefault="00181083">
            <w:pPr>
              <w:keepNext/>
              <w:spacing w:before="33" w:after="30"/>
              <w:jc w:val="right"/>
            </w:pPr>
          </w:p>
        </w:tc>
      </w:tr>
      <w:tr w:rsidR="00181083">
        <w:trPr>
          <w:cantSplit/>
          <w:trHeight w:hRule="exact" w:val="255"/>
          <w:jc w:val="center"/>
        </w:trPr>
        <w:tc>
          <w:tcPr>
            <w:tcW w:w="7425" w:type="dxa"/>
            <w:tcBorders>
              <w:top w:val="nil"/>
              <w:left w:val="nil"/>
              <w:bottom w:val="nil"/>
              <w:right w:val="nil"/>
            </w:tcBorders>
            <w:tcMar>
              <w:top w:w="0" w:type="dxa"/>
              <w:left w:w="0" w:type="dxa"/>
              <w:bottom w:w="0" w:type="dxa"/>
              <w:right w:w="0" w:type="dxa"/>
            </w:tcMar>
            <w:vAlign w:val="bottom"/>
          </w:tcPr>
          <w:p w:rsidR="00181083" w:rsidRDefault="00181083">
            <w:pPr>
              <w:keepNext/>
            </w:pPr>
          </w:p>
        </w:tc>
        <w:tc>
          <w:tcPr>
            <w:tcW w:w="1320" w:type="dxa"/>
            <w:gridSpan w:val="3"/>
            <w:tcBorders>
              <w:top w:val="nil"/>
              <w:left w:val="nil"/>
              <w:bottom w:val="nil"/>
              <w:right w:val="nil"/>
            </w:tcBorders>
            <w:tcMar>
              <w:top w:w="0" w:type="dxa"/>
              <w:left w:w="0" w:type="dxa"/>
              <w:bottom w:w="0" w:type="dxa"/>
              <w:right w:w="0" w:type="dxa"/>
            </w:tcMar>
            <w:vAlign w:val="bottom"/>
          </w:tcPr>
          <w:p w:rsidR="00181083" w:rsidRDefault="00181083">
            <w:pPr>
              <w:keepNext/>
            </w:pPr>
          </w:p>
        </w:tc>
        <w:tc>
          <w:tcPr>
            <w:tcW w:w="195" w:type="dxa"/>
            <w:tcBorders>
              <w:top w:val="nil"/>
              <w:left w:val="nil"/>
              <w:bottom w:val="nil"/>
              <w:right w:val="nil"/>
            </w:tcBorders>
            <w:tcMar>
              <w:top w:w="0" w:type="dxa"/>
              <w:left w:w="0" w:type="dxa"/>
              <w:bottom w:w="0" w:type="dxa"/>
              <w:right w:w="0" w:type="dxa"/>
            </w:tcMar>
            <w:vAlign w:val="bottom"/>
          </w:tcPr>
          <w:p w:rsidR="00181083" w:rsidRDefault="00181083">
            <w:pPr>
              <w:keepNext/>
            </w:pPr>
          </w:p>
        </w:tc>
        <w:tc>
          <w:tcPr>
            <w:tcW w:w="1320" w:type="dxa"/>
            <w:gridSpan w:val="3"/>
            <w:tcBorders>
              <w:top w:val="nil"/>
              <w:left w:val="nil"/>
              <w:bottom w:val="nil"/>
              <w:right w:val="nil"/>
            </w:tcBorders>
            <w:tcMar>
              <w:top w:w="0" w:type="dxa"/>
              <w:left w:w="53" w:type="dxa"/>
              <w:bottom w:w="0" w:type="dxa"/>
              <w:right w:w="53" w:type="dxa"/>
            </w:tcMar>
            <w:vAlign w:val="bottom"/>
          </w:tcPr>
          <w:p w:rsidR="00181083" w:rsidRDefault="00181083">
            <w:pPr>
              <w:keepNext/>
              <w:spacing w:before="53" w:after="30"/>
            </w:pPr>
          </w:p>
        </w:tc>
      </w:tr>
      <w:tr w:rsidR="00181083">
        <w:trPr>
          <w:cantSplit/>
          <w:trHeight w:hRule="exact" w:val="285"/>
          <w:jc w:val="center"/>
        </w:trPr>
        <w:tc>
          <w:tcPr>
            <w:tcW w:w="7425" w:type="dxa"/>
            <w:tcBorders>
              <w:top w:val="nil"/>
              <w:left w:val="nil"/>
              <w:bottom w:val="nil"/>
              <w:right w:val="nil"/>
            </w:tcBorders>
            <w:tcMar>
              <w:top w:w="0" w:type="dxa"/>
              <w:left w:w="53" w:type="dxa"/>
              <w:bottom w:w="0" w:type="dxa"/>
              <w:right w:w="53" w:type="dxa"/>
            </w:tcMar>
            <w:vAlign w:val="bottom"/>
          </w:tcPr>
          <w:p w:rsidR="00181083" w:rsidRDefault="0010173D">
            <w:pPr>
              <w:keepNext/>
              <w:spacing w:before="53" w:after="30"/>
            </w:pPr>
            <w:r>
              <w:rPr>
                <w:rFonts w:ascii="Arial" w:eastAsia="Arial" w:hAnsi="Arial" w:cs="Arial"/>
                <w:color w:val="000000"/>
                <w:sz w:val="18"/>
              </w:rPr>
              <w:t>Long-Term Debt</w:t>
            </w:r>
          </w:p>
        </w:tc>
        <w:tc>
          <w:tcPr>
            <w:tcW w:w="1220" w:type="dxa"/>
            <w:gridSpan w:val="2"/>
            <w:tcBorders>
              <w:top w:val="nil"/>
              <w:left w:val="nil"/>
              <w:bottom w:val="nil"/>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72,041 </w:t>
            </w:r>
          </w:p>
        </w:tc>
        <w:tc>
          <w:tcPr>
            <w:tcW w:w="100" w:type="dxa"/>
            <w:tcBorders>
              <w:top w:val="nil"/>
              <w:left w:val="nil"/>
              <w:bottom w:val="nil"/>
              <w:right w:val="nil"/>
            </w:tcBorders>
            <w:tcMar>
              <w:top w:w="0" w:type="dxa"/>
              <w:left w:w="0" w:type="dxa"/>
              <w:bottom w:w="0" w:type="dxa"/>
              <w:right w:w="15" w:type="dxa"/>
            </w:tcMar>
            <w:vAlign w:val="bottom"/>
          </w:tcPr>
          <w:p w:rsidR="00181083" w:rsidRDefault="00181083">
            <w:pPr>
              <w:keepNext/>
              <w:spacing w:before="53" w:after="30"/>
              <w:jc w:val="right"/>
            </w:pPr>
          </w:p>
        </w:tc>
        <w:tc>
          <w:tcPr>
            <w:tcW w:w="195" w:type="dxa"/>
            <w:tcBorders>
              <w:top w:val="nil"/>
              <w:left w:val="nil"/>
              <w:bottom w:val="nil"/>
              <w:right w:val="nil"/>
            </w:tcBorders>
            <w:tcMar>
              <w:top w:w="0" w:type="dxa"/>
              <w:left w:w="0" w:type="dxa"/>
              <w:bottom w:w="0" w:type="dxa"/>
              <w:right w:w="0" w:type="dxa"/>
            </w:tcMar>
            <w:vAlign w:val="bottom"/>
          </w:tcPr>
          <w:p w:rsidR="00181083" w:rsidRDefault="00181083">
            <w:pPr>
              <w:keepNext/>
            </w:pPr>
          </w:p>
        </w:tc>
        <w:tc>
          <w:tcPr>
            <w:tcW w:w="1220" w:type="dxa"/>
            <w:gridSpan w:val="2"/>
            <w:tcBorders>
              <w:top w:val="nil"/>
              <w:left w:val="nil"/>
              <w:bottom w:val="nil"/>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81,667 </w:t>
            </w:r>
          </w:p>
        </w:tc>
        <w:tc>
          <w:tcPr>
            <w:tcW w:w="100" w:type="dxa"/>
            <w:tcBorders>
              <w:top w:val="nil"/>
              <w:left w:val="nil"/>
              <w:bottom w:val="nil"/>
              <w:right w:val="nil"/>
            </w:tcBorders>
            <w:tcMar>
              <w:top w:w="0" w:type="dxa"/>
              <w:left w:w="0" w:type="dxa"/>
              <w:bottom w:w="0" w:type="dxa"/>
              <w:right w:w="15" w:type="dxa"/>
            </w:tcMar>
            <w:vAlign w:val="bottom"/>
          </w:tcPr>
          <w:p w:rsidR="00181083" w:rsidRDefault="00181083">
            <w:pPr>
              <w:keepNext/>
              <w:spacing w:before="53" w:after="30"/>
              <w:jc w:val="right"/>
            </w:pPr>
          </w:p>
        </w:tc>
      </w:tr>
      <w:tr w:rsidR="00181083">
        <w:trPr>
          <w:cantSplit/>
          <w:trHeight w:hRule="exact" w:val="285"/>
          <w:jc w:val="center"/>
        </w:trPr>
        <w:tc>
          <w:tcPr>
            <w:tcW w:w="7425" w:type="dxa"/>
            <w:tcBorders>
              <w:top w:val="nil"/>
              <w:left w:val="nil"/>
              <w:bottom w:val="nil"/>
              <w:right w:val="nil"/>
            </w:tcBorders>
            <w:tcMar>
              <w:top w:w="0" w:type="dxa"/>
              <w:left w:w="53" w:type="dxa"/>
              <w:bottom w:w="0" w:type="dxa"/>
              <w:right w:w="53" w:type="dxa"/>
            </w:tcMar>
            <w:vAlign w:val="bottom"/>
          </w:tcPr>
          <w:p w:rsidR="00181083" w:rsidRDefault="0010173D">
            <w:pPr>
              <w:keepNext/>
              <w:spacing w:before="53" w:after="30"/>
            </w:pPr>
            <w:r>
              <w:rPr>
                <w:rFonts w:ascii="Arial" w:eastAsia="Arial" w:hAnsi="Arial" w:cs="Arial"/>
                <w:color w:val="000000"/>
                <w:sz w:val="18"/>
              </w:rPr>
              <w:t>Operating Lease Liabilities</w:t>
            </w:r>
          </w:p>
        </w:tc>
        <w:tc>
          <w:tcPr>
            <w:tcW w:w="1220" w:type="dxa"/>
            <w:gridSpan w:val="2"/>
            <w:tcBorders>
              <w:top w:val="nil"/>
              <w:left w:val="nil"/>
              <w:bottom w:val="nil"/>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19,404 </w:t>
            </w:r>
          </w:p>
        </w:tc>
        <w:tc>
          <w:tcPr>
            <w:tcW w:w="100" w:type="dxa"/>
            <w:tcBorders>
              <w:top w:val="nil"/>
              <w:left w:val="nil"/>
              <w:bottom w:val="nil"/>
              <w:right w:val="nil"/>
            </w:tcBorders>
            <w:tcMar>
              <w:top w:w="0" w:type="dxa"/>
              <w:left w:w="0" w:type="dxa"/>
              <w:bottom w:w="0" w:type="dxa"/>
              <w:right w:w="15" w:type="dxa"/>
            </w:tcMar>
            <w:vAlign w:val="bottom"/>
          </w:tcPr>
          <w:p w:rsidR="00181083" w:rsidRDefault="00181083">
            <w:pPr>
              <w:keepNext/>
              <w:spacing w:before="53" w:after="30"/>
              <w:jc w:val="right"/>
            </w:pPr>
          </w:p>
        </w:tc>
        <w:tc>
          <w:tcPr>
            <w:tcW w:w="195" w:type="dxa"/>
            <w:tcBorders>
              <w:top w:val="nil"/>
              <w:left w:val="nil"/>
              <w:bottom w:val="nil"/>
              <w:right w:val="nil"/>
            </w:tcBorders>
            <w:tcMar>
              <w:top w:w="0" w:type="dxa"/>
              <w:left w:w="0" w:type="dxa"/>
              <w:bottom w:w="0" w:type="dxa"/>
              <w:right w:w="0" w:type="dxa"/>
            </w:tcMar>
            <w:vAlign w:val="bottom"/>
          </w:tcPr>
          <w:p w:rsidR="00181083" w:rsidRDefault="00181083">
            <w:pPr>
              <w:keepNext/>
            </w:pPr>
          </w:p>
        </w:tc>
        <w:tc>
          <w:tcPr>
            <w:tcW w:w="1220" w:type="dxa"/>
            <w:gridSpan w:val="2"/>
            <w:tcBorders>
              <w:top w:val="nil"/>
              <w:left w:val="nil"/>
              <w:bottom w:val="nil"/>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22,123 </w:t>
            </w:r>
          </w:p>
        </w:tc>
        <w:tc>
          <w:tcPr>
            <w:tcW w:w="100" w:type="dxa"/>
            <w:tcBorders>
              <w:top w:val="nil"/>
              <w:left w:val="nil"/>
              <w:bottom w:val="nil"/>
              <w:right w:val="nil"/>
            </w:tcBorders>
            <w:tcMar>
              <w:top w:w="0" w:type="dxa"/>
              <w:left w:w="0" w:type="dxa"/>
              <w:bottom w:w="0" w:type="dxa"/>
              <w:right w:w="15" w:type="dxa"/>
            </w:tcMar>
            <w:vAlign w:val="bottom"/>
          </w:tcPr>
          <w:p w:rsidR="00181083" w:rsidRDefault="00181083">
            <w:pPr>
              <w:keepNext/>
              <w:spacing w:before="53" w:after="30"/>
              <w:jc w:val="right"/>
            </w:pPr>
          </w:p>
        </w:tc>
      </w:tr>
      <w:tr w:rsidR="00181083">
        <w:trPr>
          <w:cantSplit/>
          <w:trHeight w:hRule="exact" w:val="285"/>
          <w:jc w:val="center"/>
        </w:trPr>
        <w:tc>
          <w:tcPr>
            <w:tcW w:w="7425" w:type="dxa"/>
            <w:tcBorders>
              <w:top w:val="nil"/>
              <w:left w:val="nil"/>
              <w:bottom w:val="nil"/>
              <w:right w:val="nil"/>
            </w:tcBorders>
            <w:tcMar>
              <w:top w:w="0" w:type="dxa"/>
              <w:left w:w="53" w:type="dxa"/>
              <w:bottom w:w="0" w:type="dxa"/>
              <w:right w:w="53" w:type="dxa"/>
            </w:tcMar>
            <w:vAlign w:val="bottom"/>
          </w:tcPr>
          <w:p w:rsidR="00181083" w:rsidRDefault="0010173D">
            <w:pPr>
              <w:keepNext/>
              <w:spacing w:before="53" w:after="30"/>
            </w:pPr>
            <w:r>
              <w:rPr>
                <w:rFonts w:ascii="Arial" w:eastAsia="Arial" w:hAnsi="Arial" w:cs="Arial"/>
                <w:color w:val="000000"/>
                <w:sz w:val="18"/>
              </w:rPr>
              <w:t>Other Long-Term Liabilities</w:t>
            </w:r>
          </w:p>
        </w:tc>
        <w:tc>
          <w:tcPr>
            <w:tcW w:w="1220" w:type="dxa"/>
            <w:gridSpan w:val="2"/>
            <w:tcBorders>
              <w:top w:val="nil"/>
              <w:left w:val="nil"/>
              <w:bottom w:val="nil"/>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23,170 </w:t>
            </w:r>
          </w:p>
        </w:tc>
        <w:tc>
          <w:tcPr>
            <w:tcW w:w="100" w:type="dxa"/>
            <w:tcBorders>
              <w:top w:val="nil"/>
              <w:left w:val="nil"/>
              <w:bottom w:val="nil"/>
              <w:right w:val="nil"/>
            </w:tcBorders>
            <w:tcMar>
              <w:top w:w="0" w:type="dxa"/>
              <w:left w:w="0" w:type="dxa"/>
              <w:bottom w:w="0" w:type="dxa"/>
              <w:right w:w="15" w:type="dxa"/>
            </w:tcMar>
            <w:vAlign w:val="bottom"/>
          </w:tcPr>
          <w:p w:rsidR="00181083" w:rsidRDefault="00181083">
            <w:pPr>
              <w:keepNext/>
              <w:spacing w:before="53" w:after="30"/>
              <w:jc w:val="right"/>
            </w:pPr>
          </w:p>
        </w:tc>
        <w:tc>
          <w:tcPr>
            <w:tcW w:w="195" w:type="dxa"/>
            <w:tcBorders>
              <w:top w:val="nil"/>
              <w:left w:val="nil"/>
              <w:bottom w:val="nil"/>
              <w:right w:val="nil"/>
            </w:tcBorders>
            <w:tcMar>
              <w:top w:w="0" w:type="dxa"/>
              <w:left w:w="0" w:type="dxa"/>
              <w:bottom w:w="0" w:type="dxa"/>
              <w:right w:w="0" w:type="dxa"/>
            </w:tcMar>
            <w:vAlign w:val="bottom"/>
          </w:tcPr>
          <w:p w:rsidR="00181083" w:rsidRDefault="00181083">
            <w:pPr>
              <w:keepNext/>
            </w:pPr>
          </w:p>
        </w:tc>
        <w:tc>
          <w:tcPr>
            <w:tcW w:w="1220" w:type="dxa"/>
            <w:gridSpan w:val="2"/>
            <w:tcBorders>
              <w:top w:val="nil"/>
              <w:left w:val="nil"/>
              <w:bottom w:val="nil"/>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19,300 </w:t>
            </w:r>
          </w:p>
        </w:tc>
        <w:tc>
          <w:tcPr>
            <w:tcW w:w="100" w:type="dxa"/>
            <w:tcBorders>
              <w:top w:val="nil"/>
              <w:left w:val="nil"/>
              <w:bottom w:val="nil"/>
              <w:right w:val="nil"/>
            </w:tcBorders>
            <w:tcMar>
              <w:top w:w="0" w:type="dxa"/>
              <w:left w:w="0" w:type="dxa"/>
              <w:bottom w:w="0" w:type="dxa"/>
              <w:right w:w="15" w:type="dxa"/>
            </w:tcMar>
            <w:vAlign w:val="bottom"/>
          </w:tcPr>
          <w:p w:rsidR="00181083" w:rsidRDefault="00181083">
            <w:pPr>
              <w:keepNext/>
              <w:spacing w:before="53" w:after="30"/>
              <w:jc w:val="right"/>
            </w:pPr>
          </w:p>
        </w:tc>
      </w:tr>
      <w:tr w:rsidR="00181083">
        <w:trPr>
          <w:cantSplit/>
          <w:trHeight w:hRule="exact" w:val="285"/>
          <w:jc w:val="center"/>
        </w:trPr>
        <w:tc>
          <w:tcPr>
            <w:tcW w:w="7425" w:type="dxa"/>
            <w:tcBorders>
              <w:top w:val="nil"/>
              <w:left w:val="nil"/>
              <w:bottom w:val="single" w:sz="8" w:space="0" w:color="000000"/>
              <w:right w:val="nil"/>
            </w:tcBorders>
            <w:tcMar>
              <w:top w:w="0" w:type="dxa"/>
              <w:left w:w="53" w:type="dxa"/>
              <w:bottom w:w="0" w:type="dxa"/>
              <w:right w:w="53" w:type="dxa"/>
            </w:tcMar>
            <w:vAlign w:val="bottom"/>
          </w:tcPr>
          <w:p w:rsidR="00181083" w:rsidRDefault="0010173D">
            <w:pPr>
              <w:keepNext/>
              <w:spacing w:before="53" w:after="30"/>
            </w:pPr>
            <w:r>
              <w:rPr>
                <w:rFonts w:ascii="Arial" w:eastAsia="Arial" w:hAnsi="Arial" w:cs="Arial"/>
                <w:color w:val="000000"/>
                <w:sz w:val="18"/>
              </w:rPr>
              <w:t>Stockholders' Equity</w:t>
            </w:r>
          </w:p>
        </w:tc>
        <w:tc>
          <w:tcPr>
            <w:tcW w:w="1220" w:type="dxa"/>
            <w:gridSpan w:val="2"/>
            <w:tcBorders>
              <w:top w:val="nil"/>
              <w:left w:val="nil"/>
              <w:bottom w:val="single" w:sz="8" w:space="0" w:color="000000"/>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63,791 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181083" w:rsidRDefault="00181083">
            <w:pPr>
              <w:keepNext/>
              <w:spacing w:before="53" w:after="30"/>
              <w:jc w:val="right"/>
            </w:pPr>
          </w:p>
        </w:tc>
        <w:tc>
          <w:tcPr>
            <w:tcW w:w="195" w:type="dxa"/>
            <w:tcBorders>
              <w:top w:val="nil"/>
              <w:left w:val="nil"/>
              <w:bottom w:val="single" w:sz="8" w:space="0" w:color="000000"/>
              <w:right w:val="nil"/>
            </w:tcBorders>
            <w:tcMar>
              <w:top w:w="0" w:type="dxa"/>
              <w:left w:w="0" w:type="dxa"/>
              <w:bottom w:w="0" w:type="dxa"/>
              <w:right w:w="0" w:type="dxa"/>
            </w:tcMar>
            <w:vAlign w:val="bottom"/>
          </w:tcPr>
          <w:p w:rsidR="00181083" w:rsidRDefault="00181083">
            <w:pPr>
              <w:keepNext/>
            </w:pPr>
          </w:p>
        </w:tc>
        <w:tc>
          <w:tcPr>
            <w:tcW w:w="1220" w:type="dxa"/>
            <w:gridSpan w:val="2"/>
            <w:tcBorders>
              <w:top w:val="nil"/>
              <w:left w:val="nil"/>
              <w:bottom w:val="single" w:sz="8" w:space="0" w:color="000000"/>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73,211 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181083" w:rsidRDefault="00181083">
            <w:pPr>
              <w:keepNext/>
              <w:spacing w:before="53" w:after="30"/>
              <w:jc w:val="right"/>
            </w:pPr>
          </w:p>
        </w:tc>
      </w:tr>
      <w:tr w:rsidR="00181083">
        <w:trPr>
          <w:cantSplit/>
          <w:trHeight w:hRule="exact" w:val="285"/>
          <w:jc w:val="center"/>
        </w:trPr>
        <w:tc>
          <w:tcPr>
            <w:tcW w:w="7425" w:type="dxa"/>
            <w:tcBorders>
              <w:top w:val="single" w:sz="8" w:space="0" w:color="000000"/>
              <w:left w:val="nil"/>
              <w:bottom w:val="double" w:sz="8" w:space="0" w:color="000000"/>
              <w:right w:val="nil"/>
            </w:tcBorders>
            <w:tcMar>
              <w:top w:w="0" w:type="dxa"/>
              <w:left w:w="53" w:type="dxa"/>
              <w:bottom w:w="0" w:type="dxa"/>
              <w:right w:w="53" w:type="dxa"/>
            </w:tcMar>
            <w:vAlign w:val="bottom"/>
          </w:tcPr>
          <w:p w:rsidR="00181083" w:rsidRDefault="0010173D">
            <w:pPr>
              <w:spacing w:before="33" w:after="30"/>
            </w:pPr>
            <w:r>
              <w:rPr>
                <w:rFonts w:ascii="Arial" w:eastAsia="Arial" w:hAnsi="Arial" w:cs="Arial"/>
                <w:color w:val="000000"/>
                <w:sz w:val="18"/>
              </w:rPr>
              <w:t xml:space="preserve">TOTAL LIABILITIES AND </w:t>
            </w:r>
            <w:r>
              <w:rPr>
                <w:rFonts w:ascii="Arial" w:eastAsia="Arial" w:hAnsi="Arial" w:cs="Arial"/>
                <w:color w:val="000000"/>
                <w:sz w:val="18"/>
              </w:rPr>
              <w:t>STOCKHOLDERS' EQUITY</w:t>
            </w:r>
          </w:p>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rsidR="00181083" w:rsidRDefault="0010173D">
            <w:pPr>
              <w:spacing w:before="33" w:after="30"/>
            </w:pPr>
            <w:r>
              <w:rPr>
                <w:rFonts w:ascii="Arial" w:eastAsia="Arial" w:hAnsi="Arial" w:cs="Arial"/>
                <w:color w:val="000000"/>
                <w:sz w:val="18"/>
              </w:rPr>
              <w:t>$</w:t>
            </w:r>
          </w:p>
        </w:tc>
        <w:tc>
          <w:tcPr>
            <w:tcW w:w="1060" w:type="dxa"/>
            <w:tcBorders>
              <w:top w:val="single" w:sz="8" w:space="0" w:color="000000"/>
              <w:left w:val="nil"/>
              <w:bottom w:val="double" w:sz="8" w:space="0" w:color="000000"/>
              <w:right w:val="nil"/>
            </w:tcBorders>
            <w:tcMar>
              <w:top w:w="0" w:type="dxa"/>
              <w:left w:w="0" w:type="dxa"/>
              <w:bottom w:w="0" w:type="dxa"/>
              <w:right w:w="0" w:type="dxa"/>
            </w:tcMar>
            <w:vAlign w:val="bottom"/>
          </w:tcPr>
          <w:p w:rsidR="00181083" w:rsidRDefault="0010173D">
            <w:pPr>
              <w:spacing w:before="33" w:after="30"/>
              <w:jc w:val="right"/>
            </w:pPr>
            <w:r>
              <w:rPr>
                <w:rFonts w:ascii="Arial" w:eastAsia="Arial" w:hAnsi="Arial" w:cs="Arial"/>
                <w:color w:val="000000"/>
                <w:sz w:val="18"/>
              </w:rPr>
              <w:t>232,868 </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rsidR="00181083" w:rsidRDefault="00181083">
            <w:pPr>
              <w:spacing w:before="33" w:after="30"/>
              <w:jc w:val="right"/>
            </w:pPr>
          </w:p>
        </w:tc>
        <w:tc>
          <w:tcPr>
            <w:tcW w:w="195" w:type="dxa"/>
            <w:tcBorders>
              <w:top w:val="single" w:sz="8" w:space="0" w:color="000000"/>
              <w:left w:val="nil"/>
              <w:bottom w:val="double" w:sz="8" w:space="0" w:color="000000"/>
              <w:right w:val="nil"/>
            </w:tcBorders>
            <w:tcMar>
              <w:top w:w="0" w:type="dxa"/>
              <w:left w:w="0" w:type="dxa"/>
              <w:bottom w:w="0" w:type="dxa"/>
              <w:right w:w="0" w:type="dxa"/>
            </w:tcMar>
            <w:vAlign w:val="bottom"/>
          </w:tcPr>
          <w:p w:rsidR="00181083" w:rsidRDefault="00181083"/>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rsidR="00181083" w:rsidRDefault="0010173D">
            <w:pPr>
              <w:spacing w:before="33" w:after="30"/>
            </w:pPr>
            <w:r>
              <w:rPr>
                <w:rFonts w:ascii="Arial" w:eastAsia="Arial" w:hAnsi="Arial" w:cs="Arial"/>
                <w:color w:val="000000"/>
                <w:sz w:val="18"/>
              </w:rPr>
              <w:t>$</w:t>
            </w:r>
          </w:p>
        </w:tc>
        <w:tc>
          <w:tcPr>
            <w:tcW w:w="1060" w:type="dxa"/>
            <w:tcBorders>
              <w:top w:val="single" w:sz="8" w:space="0" w:color="000000"/>
              <w:left w:val="nil"/>
              <w:bottom w:val="double" w:sz="8" w:space="0" w:color="000000"/>
              <w:right w:val="nil"/>
            </w:tcBorders>
            <w:tcMar>
              <w:top w:w="0" w:type="dxa"/>
              <w:left w:w="0" w:type="dxa"/>
              <w:bottom w:w="0" w:type="dxa"/>
              <w:right w:w="0" w:type="dxa"/>
            </w:tcMar>
            <w:vAlign w:val="bottom"/>
          </w:tcPr>
          <w:p w:rsidR="00181083" w:rsidRDefault="0010173D">
            <w:pPr>
              <w:spacing w:before="33" w:after="30"/>
              <w:jc w:val="right"/>
            </w:pPr>
            <w:r>
              <w:rPr>
                <w:rFonts w:ascii="Arial" w:eastAsia="Arial" w:hAnsi="Arial" w:cs="Arial"/>
                <w:color w:val="000000"/>
                <w:sz w:val="18"/>
              </w:rPr>
              <w:t>247,659 </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rsidR="00181083" w:rsidRDefault="00181083">
            <w:pPr>
              <w:spacing w:before="33" w:after="30"/>
              <w:jc w:val="right"/>
            </w:pPr>
          </w:p>
        </w:tc>
      </w:tr>
    </w:tbl>
    <w:p w:rsidR="00181083" w:rsidRDefault="00181083">
      <w:pPr>
        <w:spacing w:line="288" w:lineRule="auto"/>
        <w:rPr>
          <w:sz w:val="20"/>
        </w:rPr>
      </w:pPr>
    </w:p>
    <w:p w:rsidR="00181083" w:rsidRDefault="00181083">
      <w:pPr>
        <w:spacing w:line="288" w:lineRule="auto"/>
        <w:rPr>
          <w:sz w:val="20"/>
        </w:rPr>
      </w:pPr>
    </w:p>
    <w:p w:rsidR="00181083" w:rsidRDefault="00181083">
      <w:pPr>
        <w:spacing w:line="288" w:lineRule="auto"/>
        <w:rPr>
          <w:sz w:val="20"/>
        </w:rPr>
      </w:pPr>
    </w:p>
    <w:p w:rsidR="00181083" w:rsidRDefault="00181083">
      <w:pPr>
        <w:spacing w:line="288" w:lineRule="auto"/>
        <w:rPr>
          <w:sz w:val="20"/>
        </w:rPr>
        <w:sectPr w:rsidR="00181083">
          <w:headerReference w:type="default" r:id="rId13"/>
          <w:pgSz w:w="12240" w:h="15840"/>
          <w:pgMar w:top="1350" w:right="990" w:bottom="900" w:left="990" w:header="270" w:footer="270" w:gutter="0"/>
          <w:pgNumType w:start="4"/>
          <w:cols w:space="708"/>
        </w:sectPr>
      </w:pPr>
    </w:p>
    <w:p w:rsidR="00181083" w:rsidRDefault="00181083">
      <w:pPr>
        <w:spacing w:line="288" w:lineRule="auto"/>
        <w:rPr>
          <w:rFonts w:ascii="Arial" w:eastAsia="Arial" w:hAnsi="Arial" w:cs="Arial"/>
          <w:b/>
          <w:sz w:val="20"/>
        </w:rPr>
      </w:pPr>
      <w:bookmarkStart w:id="6" w:name="Section6"/>
      <w:bookmarkEnd w:id="6"/>
    </w:p>
    <w:p w:rsidR="00181083" w:rsidRDefault="0010173D">
      <w:pPr>
        <w:spacing w:line="288" w:lineRule="auto"/>
        <w:rPr>
          <w:rFonts w:ascii="Arial" w:eastAsia="Arial" w:hAnsi="Arial" w:cs="Arial"/>
          <w:b/>
          <w:sz w:val="20"/>
        </w:rPr>
      </w:pPr>
      <w:r>
        <w:rPr>
          <w:rFonts w:ascii="Arial" w:eastAsia="Arial" w:hAnsi="Arial" w:cs="Arial"/>
          <w:b/>
          <w:sz w:val="20"/>
        </w:rPr>
        <w:t>Use of Non-GAAP Financial Information:</w:t>
      </w:r>
    </w:p>
    <w:p w:rsidR="00181083" w:rsidRDefault="0010173D">
      <w:pPr>
        <w:spacing w:line="288" w:lineRule="auto"/>
        <w:rPr>
          <w:rFonts w:ascii="Arial" w:eastAsia="Arial" w:hAnsi="Arial" w:cs="Arial"/>
          <w:b/>
          <w:sz w:val="20"/>
        </w:rPr>
      </w:pPr>
      <w:r>
        <w:rPr>
          <w:rFonts w:ascii="Arial" w:eastAsia="Arial" w:hAnsi="Arial" w:cs="Arial"/>
          <w:b/>
          <w:sz w:val="20"/>
        </w:rPr>
        <w:t>(in thousands)</w:t>
      </w:r>
    </w:p>
    <w:p w:rsidR="00181083" w:rsidRDefault="00181083">
      <w:pPr>
        <w:spacing w:line="288" w:lineRule="auto"/>
        <w:rPr>
          <w:rFonts w:ascii="Arial" w:eastAsia="Arial" w:hAnsi="Arial" w:cs="Arial"/>
          <w:sz w:val="18"/>
        </w:rPr>
      </w:pPr>
    </w:p>
    <w:p w:rsidR="00181083" w:rsidRDefault="0010173D">
      <w:pPr>
        <w:spacing w:after="100" w:line="288" w:lineRule="auto"/>
        <w:jc w:val="both"/>
        <w:rPr>
          <w:rFonts w:ascii="Arial" w:eastAsia="Arial" w:hAnsi="Arial" w:cs="Arial"/>
          <w:sz w:val="18"/>
        </w:rPr>
      </w:pPr>
      <w:r>
        <w:rPr>
          <w:rFonts w:ascii="Arial" w:eastAsia="Arial" w:hAnsi="Arial" w:cs="Arial"/>
          <w:sz w:val="18"/>
        </w:rPr>
        <w:t>The Company believes that non-GAAP performance measures, which management uses in evaluating the Company's business, may provide users of the Company's financial information with additional meaningful bases for comparing the Company's current results and p</w:t>
      </w:r>
      <w:r>
        <w:rPr>
          <w:rFonts w:ascii="Arial" w:eastAsia="Arial" w:hAnsi="Arial" w:cs="Arial"/>
          <w:sz w:val="18"/>
        </w:rPr>
        <w:t>rior period results, as these measures reflect factors that are unique to one period relative to the comparable period. However, the non-GAAP performance measures should be viewed in addition to, not as an alternative for, the Company's reported results un</w:t>
      </w:r>
      <w:r>
        <w:rPr>
          <w:rFonts w:ascii="Arial" w:eastAsia="Arial" w:hAnsi="Arial" w:cs="Arial"/>
          <w:sz w:val="18"/>
        </w:rPr>
        <w:t>der accounting principles generally accepted in the United States. In considering our supplemental financial measures, investors should bear in mind that other companies that report or describe similarly titled financial measures may calculate them differe</w:t>
      </w:r>
      <w:r>
        <w:rPr>
          <w:rFonts w:ascii="Arial" w:eastAsia="Arial" w:hAnsi="Arial" w:cs="Arial"/>
          <w:sz w:val="18"/>
        </w:rPr>
        <w:t xml:space="preserve">ntly. Accordingly, investors should exercise appropriate caution in comparing our supplemental financial measures to similarly titled financial measures reported by other companies. </w:t>
      </w:r>
    </w:p>
    <w:tbl>
      <w:tblPr>
        <w:tblW w:w="10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4"/>
      </w:tblGrid>
      <w:tr w:rsidR="00181083">
        <w:trPr>
          <w:cantSplit/>
          <w:trHeight w:hRule="exact" w:val="75"/>
          <w:jc w:val="center"/>
        </w:trPr>
        <w:tc>
          <w:tcPr>
            <w:tcW w:w="10200" w:type="dxa"/>
            <w:tcBorders>
              <w:top w:val="nil"/>
              <w:left w:val="nil"/>
              <w:bottom w:val="single" w:sz="8" w:space="0" w:color="000000"/>
              <w:right w:val="nil"/>
            </w:tcBorders>
            <w:tcMar>
              <w:top w:w="0" w:type="dxa"/>
              <w:left w:w="0" w:type="dxa"/>
              <w:bottom w:w="0" w:type="dxa"/>
              <w:right w:w="0" w:type="dxa"/>
            </w:tcMar>
            <w:vAlign w:val="bottom"/>
          </w:tcPr>
          <w:p w:rsidR="00181083" w:rsidRDefault="00181083"/>
        </w:tc>
      </w:tr>
    </w:tbl>
    <w:p w:rsidR="00181083" w:rsidRDefault="00181083">
      <w:pPr>
        <w:spacing w:line="288" w:lineRule="auto"/>
        <w:jc w:val="center"/>
        <w:rPr>
          <w:sz w:val="10"/>
        </w:rPr>
      </w:pPr>
    </w:p>
    <w:tbl>
      <w:tblPr>
        <w:tblW w:w="10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5"/>
      </w:tblGrid>
      <w:tr w:rsidR="00181083">
        <w:trPr>
          <w:cantSplit/>
          <w:trHeight w:hRule="exact" w:val="285"/>
          <w:jc w:val="center"/>
        </w:trPr>
        <w:tc>
          <w:tcPr>
            <w:tcW w:w="10260" w:type="dxa"/>
            <w:tcBorders>
              <w:top w:val="nil"/>
              <w:left w:val="nil"/>
              <w:bottom w:val="single" w:sz="8" w:space="0" w:color="000000"/>
              <w:right w:val="nil"/>
            </w:tcBorders>
            <w:tcMar>
              <w:top w:w="0" w:type="dxa"/>
              <w:left w:w="53" w:type="dxa"/>
              <w:bottom w:w="0" w:type="dxa"/>
              <w:right w:w="53" w:type="dxa"/>
            </w:tcMar>
            <w:vAlign w:val="bottom"/>
          </w:tcPr>
          <w:p w:rsidR="00181083" w:rsidRDefault="0010173D">
            <w:pPr>
              <w:spacing w:before="53" w:after="30"/>
              <w:jc w:val="center"/>
            </w:pPr>
            <w:r>
              <w:rPr>
                <w:rFonts w:ascii="Arial" w:eastAsia="Arial" w:hAnsi="Arial" w:cs="Arial"/>
                <w:color w:val="000000"/>
                <w:sz w:val="18"/>
              </w:rPr>
              <w:t>Non-GAAP Summary</w:t>
            </w:r>
          </w:p>
        </w:tc>
      </w:tr>
    </w:tbl>
    <w:p w:rsidR="00181083" w:rsidRDefault="00181083">
      <w:pPr>
        <w:spacing w:before="100" w:line="288" w:lineRule="auto"/>
        <w:jc w:val="center"/>
        <w:rPr>
          <w:sz w:val="10"/>
        </w:rPr>
      </w:pPr>
    </w:p>
    <w:tbl>
      <w:tblPr>
        <w:tblW w:w="10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1286"/>
        <w:gridCol w:w="1285"/>
        <w:gridCol w:w="1285"/>
        <w:gridCol w:w="1285"/>
        <w:gridCol w:w="872"/>
        <w:gridCol w:w="163"/>
        <w:gridCol w:w="1280"/>
        <w:gridCol w:w="102"/>
        <w:gridCol w:w="163"/>
        <w:gridCol w:w="1341"/>
        <w:gridCol w:w="102"/>
      </w:tblGrid>
      <w:tr w:rsidR="00181083">
        <w:trPr>
          <w:cantSplit/>
          <w:trHeight w:hRule="exact" w:val="465"/>
          <w:jc w:val="center"/>
        </w:trPr>
        <w:tc>
          <w:tcPr>
            <w:tcW w:w="1260" w:type="dxa"/>
            <w:tcBorders>
              <w:top w:val="single" w:sz="8" w:space="0" w:color="000000"/>
              <w:left w:val="nil"/>
              <w:bottom w:val="single" w:sz="8" w:space="0" w:color="000000"/>
              <w:right w:val="nil"/>
            </w:tcBorders>
            <w:tcMar>
              <w:top w:w="0" w:type="dxa"/>
              <w:left w:w="0" w:type="dxa"/>
              <w:bottom w:w="0" w:type="dxa"/>
              <w:right w:w="0" w:type="dxa"/>
            </w:tcMar>
            <w:vAlign w:val="bottom"/>
          </w:tcPr>
          <w:p w:rsidR="00181083" w:rsidRDefault="00181083">
            <w:pPr>
              <w:keepNext/>
            </w:pPr>
          </w:p>
        </w:tc>
        <w:tc>
          <w:tcPr>
            <w:tcW w:w="1260" w:type="dxa"/>
            <w:tcBorders>
              <w:top w:val="single" w:sz="8" w:space="0" w:color="000000"/>
              <w:left w:val="nil"/>
              <w:bottom w:val="single" w:sz="8" w:space="0" w:color="000000"/>
              <w:right w:val="nil"/>
            </w:tcBorders>
            <w:tcMar>
              <w:top w:w="0" w:type="dxa"/>
              <w:left w:w="0" w:type="dxa"/>
              <w:bottom w:w="0" w:type="dxa"/>
              <w:right w:w="0" w:type="dxa"/>
            </w:tcMar>
            <w:vAlign w:val="bottom"/>
          </w:tcPr>
          <w:p w:rsidR="00181083" w:rsidRDefault="00181083">
            <w:pPr>
              <w:keepNext/>
            </w:pPr>
          </w:p>
        </w:tc>
        <w:tc>
          <w:tcPr>
            <w:tcW w:w="1260" w:type="dxa"/>
            <w:tcBorders>
              <w:top w:val="single" w:sz="8" w:space="0" w:color="000000"/>
              <w:left w:val="nil"/>
              <w:bottom w:val="single" w:sz="8" w:space="0" w:color="000000"/>
              <w:right w:val="nil"/>
            </w:tcBorders>
            <w:tcMar>
              <w:top w:w="0" w:type="dxa"/>
              <w:left w:w="0" w:type="dxa"/>
              <w:bottom w:w="0" w:type="dxa"/>
              <w:right w:w="0" w:type="dxa"/>
            </w:tcMar>
            <w:vAlign w:val="bottom"/>
          </w:tcPr>
          <w:p w:rsidR="00181083" w:rsidRDefault="00181083">
            <w:pPr>
              <w:keepNext/>
            </w:pPr>
          </w:p>
        </w:tc>
        <w:tc>
          <w:tcPr>
            <w:tcW w:w="1260" w:type="dxa"/>
            <w:tcBorders>
              <w:top w:val="single" w:sz="8" w:space="0" w:color="000000"/>
              <w:left w:val="nil"/>
              <w:bottom w:val="single" w:sz="8" w:space="0" w:color="000000"/>
              <w:right w:val="nil"/>
            </w:tcBorders>
            <w:tcMar>
              <w:top w:w="0" w:type="dxa"/>
              <w:left w:w="0" w:type="dxa"/>
              <w:bottom w:w="0" w:type="dxa"/>
              <w:right w:w="0" w:type="dxa"/>
            </w:tcMar>
            <w:vAlign w:val="bottom"/>
          </w:tcPr>
          <w:p w:rsidR="00181083" w:rsidRDefault="00181083">
            <w:pPr>
              <w:keepNext/>
            </w:pPr>
          </w:p>
        </w:tc>
        <w:tc>
          <w:tcPr>
            <w:tcW w:w="1260" w:type="dxa"/>
            <w:tcBorders>
              <w:top w:val="single" w:sz="8" w:space="0" w:color="000000"/>
              <w:left w:val="nil"/>
              <w:bottom w:val="single" w:sz="8" w:space="0" w:color="000000"/>
              <w:right w:val="nil"/>
            </w:tcBorders>
            <w:tcMar>
              <w:top w:w="0" w:type="dxa"/>
              <w:left w:w="0" w:type="dxa"/>
              <w:bottom w:w="0" w:type="dxa"/>
              <w:right w:w="0" w:type="dxa"/>
            </w:tcMar>
            <w:vAlign w:val="bottom"/>
          </w:tcPr>
          <w:p w:rsidR="00181083" w:rsidRDefault="00181083">
            <w:pPr>
              <w:keepNext/>
            </w:pPr>
          </w:p>
        </w:tc>
        <w:tc>
          <w:tcPr>
            <w:tcW w:w="855" w:type="dxa"/>
            <w:tcBorders>
              <w:top w:val="single" w:sz="8" w:space="0" w:color="000000"/>
              <w:left w:val="nil"/>
              <w:bottom w:val="single" w:sz="8" w:space="0" w:color="000000"/>
              <w:right w:val="nil"/>
            </w:tcBorders>
            <w:tcMar>
              <w:top w:w="0" w:type="dxa"/>
              <w:left w:w="0" w:type="dxa"/>
              <w:bottom w:w="0" w:type="dxa"/>
              <w:right w:w="0" w:type="dxa"/>
            </w:tcMar>
            <w:vAlign w:val="bottom"/>
          </w:tcPr>
          <w:p w:rsidR="00181083" w:rsidRDefault="00181083">
            <w:pPr>
              <w:keepNext/>
            </w:pPr>
          </w:p>
        </w:tc>
        <w:tc>
          <w:tcPr>
            <w:tcW w:w="151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rsidR="00181083" w:rsidRDefault="0010173D">
            <w:pPr>
              <w:keepNext/>
              <w:spacing w:before="33" w:after="30"/>
              <w:jc w:val="center"/>
            </w:pPr>
            <w:r>
              <w:rPr>
                <w:rFonts w:ascii="Arial" w:eastAsia="Arial" w:hAnsi="Arial" w:cs="Arial"/>
                <w:color w:val="000000"/>
                <w:sz w:val="18"/>
              </w:rPr>
              <w:t>Three Months Ended</w:t>
            </w:r>
          </w:p>
        </w:tc>
        <w:tc>
          <w:tcPr>
            <w:tcW w:w="157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rsidR="00181083" w:rsidRDefault="0010173D">
            <w:pPr>
              <w:keepNext/>
              <w:spacing w:before="33" w:after="30"/>
              <w:jc w:val="center"/>
            </w:pPr>
            <w:r>
              <w:rPr>
                <w:rFonts w:ascii="Arial" w:eastAsia="Arial" w:hAnsi="Arial" w:cs="Arial"/>
                <w:color w:val="000000"/>
                <w:sz w:val="18"/>
              </w:rPr>
              <w:t>Twelve Months Ended</w:t>
            </w:r>
          </w:p>
        </w:tc>
      </w:tr>
      <w:tr w:rsidR="00181083">
        <w:trPr>
          <w:cantSplit/>
          <w:trHeight w:hRule="exact" w:val="645"/>
          <w:jc w:val="center"/>
        </w:trPr>
        <w:tc>
          <w:tcPr>
            <w:tcW w:w="7155" w:type="dxa"/>
            <w:gridSpan w:val="6"/>
            <w:tcBorders>
              <w:top w:val="nil"/>
              <w:left w:val="nil"/>
              <w:bottom w:val="nil"/>
              <w:right w:val="nil"/>
            </w:tcBorders>
            <w:tcMar>
              <w:top w:w="0" w:type="dxa"/>
              <w:left w:w="0" w:type="dxa"/>
              <w:bottom w:w="0" w:type="dxa"/>
              <w:right w:w="0" w:type="dxa"/>
            </w:tcMar>
            <w:vAlign w:val="bottom"/>
          </w:tcPr>
          <w:p w:rsidR="00181083" w:rsidRDefault="00181083">
            <w:pPr>
              <w:keepNext/>
            </w:pPr>
          </w:p>
        </w:tc>
        <w:tc>
          <w:tcPr>
            <w:tcW w:w="151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rsidR="00181083" w:rsidRDefault="0010173D">
            <w:pPr>
              <w:keepNext/>
              <w:spacing w:before="33" w:after="30"/>
              <w:jc w:val="center"/>
            </w:pPr>
            <w:r>
              <w:rPr>
                <w:rFonts w:ascii="Arial" w:eastAsia="Arial" w:hAnsi="Arial" w:cs="Arial"/>
                <w:color w:val="000000"/>
                <w:sz w:val="18"/>
              </w:rPr>
              <w:t>December 26, 2020</w:t>
            </w:r>
          </w:p>
        </w:tc>
        <w:tc>
          <w:tcPr>
            <w:tcW w:w="157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rsidR="00181083" w:rsidRDefault="0010173D">
            <w:pPr>
              <w:keepNext/>
              <w:spacing w:before="33" w:after="30"/>
              <w:jc w:val="center"/>
            </w:pPr>
            <w:r>
              <w:rPr>
                <w:rFonts w:ascii="Arial" w:eastAsia="Arial" w:hAnsi="Arial" w:cs="Arial"/>
                <w:color w:val="000000"/>
                <w:sz w:val="18"/>
              </w:rPr>
              <w:t>December 26,</w:t>
            </w:r>
            <w:r>
              <w:br/>
            </w:r>
            <w:r>
              <w:rPr>
                <w:rFonts w:ascii="Arial" w:eastAsia="Arial" w:hAnsi="Arial" w:cs="Arial"/>
                <w:color w:val="000000"/>
                <w:sz w:val="18"/>
              </w:rPr>
              <w:t>2020</w:t>
            </w:r>
          </w:p>
        </w:tc>
      </w:tr>
      <w:tr w:rsidR="00181083">
        <w:trPr>
          <w:cantSplit/>
          <w:trHeight w:hRule="exact" w:val="285"/>
          <w:jc w:val="center"/>
        </w:trPr>
        <w:tc>
          <w:tcPr>
            <w:tcW w:w="7155" w:type="dxa"/>
            <w:gridSpan w:val="6"/>
            <w:tcBorders>
              <w:top w:val="single" w:sz="8" w:space="0" w:color="000000"/>
              <w:left w:val="nil"/>
              <w:bottom w:val="nil"/>
              <w:right w:val="nil"/>
            </w:tcBorders>
            <w:tcMar>
              <w:top w:w="0" w:type="dxa"/>
              <w:left w:w="53" w:type="dxa"/>
              <w:bottom w:w="0" w:type="dxa"/>
              <w:right w:w="53" w:type="dxa"/>
            </w:tcMar>
            <w:vAlign w:val="bottom"/>
          </w:tcPr>
          <w:p w:rsidR="00181083" w:rsidRDefault="0010173D">
            <w:pPr>
              <w:keepNext/>
              <w:spacing w:before="33" w:after="30"/>
            </w:pPr>
            <w:r>
              <w:rPr>
                <w:rFonts w:ascii="Arial" w:eastAsia="Arial" w:hAnsi="Arial" w:cs="Arial"/>
                <w:color w:val="000000"/>
                <w:sz w:val="18"/>
              </w:rPr>
              <w:t>Net loss as reported</w:t>
            </w:r>
          </w:p>
        </w:tc>
        <w:tc>
          <w:tcPr>
            <w:tcW w:w="160" w:type="dxa"/>
            <w:tcBorders>
              <w:top w:val="single" w:sz="8" w:space="0" w:color="000000"/>
              <w:left w:val="nil"/>
              <w:bottom w:val="nil"/>
              <w:right w:val="nil"/>
            </w:tcBorders>
            <w:tcMar>
              <w:top w:w="0" w:type="dxa"/>
              <w:left w:w="53" w:type="dxa"/>
              <w:bottom w:w="0" w:type="dxa"/>
              <w:right w:w="0" w:type="dxa"/>
            </w:tcMar>
            <w:vAlign w:val="bottom"/>
          </w:tcPr>
          <w:p w:rsidR="00181083" w:rsidRDefault="0010173D">
            <w:pPr>
              <w:keepNext/>
              <w:spacing w:before="33" w:after="30"/>
            </w:pPr>
            <w:r>
              <w:rPr>
                <w:rFonts w:ascii="Arial" w:eastAsia="Arial" w:hAnsi="Arial" w:cs="Arial"/>
                <w:color w:val="000000"/>
                <w:sz w:val="18"/>
              </w:rPr>
              <w:t>$</w:t>
            </w:r>
          </w:p>
        </w:tc>
        <w:tc>
          <w:tcPr>
            <w:tcW w:w="1255" w:type="dxa"/>
            <w:tcBorders>
              <w:top w:val="single" w:sz="8" w:space="0" w:color="000000"/>
              <w:left w:val="nil"/>
              <w:bottom w:val="nil"/>
              <w:right w:val="nil"/>
            </w:tcBorders>
            <w:tcMar>
              <w:top w:w="0" w:type="dxa"/>
              <w:left w:w="0" w:type="dxa"/>
              <w:bottom w:w="0" w:type="dxa"/>
              <w:right w:w="0" w:type="dxa"/>
            </w:tcMar>
            <w:vAlign w:val="bottom"/>
          </w:tcPr>
          <w:p w:rsidR="00181083" w:rsidRDefault="0010173D">
            <w:pPr>
              <w:keepNext/>
              <w:spacing w:before="33" w:after="30"/>
              <w:jc w:val="right"/>
            </w:pPr>
            <w:r>
              <w:rPr>
                <w:rFonts w:ascii="Arial" w:eastAsia="Arial" w:hAnsi="Arial" w:cs="Arial"/>
                <w:color w:val="000000"/>
                <w:sz w:val="18"/>
              </w:rPr>
              <w:t>(318)</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181083" w:rsidRDefault="00181083">
            <w:pPr>
              <w:keepNext/>
              <w:spacing w:before="33" w:after="30"/>
              <w:jc w:val="right"/>
            </w:pPr>
          </w:p>
        </w:tc>
        <w:tc>
          <w:tcPr>
            <w:tcW w:w="160" w:type="dxa"/>
            <w:tcBorders>
              <w:top w:val="single" w:sz="8" w:space="0" w:color="000000"/>
              <w:left w:val="nil"/>
              <w:bottom w:val="nil"/>
              <w:right w:val="nil"/>
            </w:tcBorders>
            <w:tcMar>
              <w:top w:w="0" w:type="dxa"/>
              <w:left w:w="53" w:type="dxa"/>
              <w:bottom w:w="0" w:type="dxa"/>
              <w:right w:w="0" w:type="dxa"/>
            </w:tcMar>
            <w:vAlign w:val="bottom"/>
          </w:tcPr>
          <w:p w:rsidR="00181083" w:rsidRDefault="0010173D">
            <w:pPr>
              <w:keepNext/>
              <w:spacing w:before="33" w:after="30"/>
            </w:pPr>
            <w:r>
              <w:rPr>
                <w:rFonts w:ascii="Arial" w:eastAsia="Arial" w:hAnsi="Arial" w:cs="Arial"/>
                <w:color w:val="000000"/>
                <w:sz w:val="18"/>
              </w:rPr>
              <w:t>$</w:t>
            </w:r>
          </w:p>
        </w:tc>
        <w:tc>
          <w:tcPr>
            <w:tcW w:w="1315" w:type="dxa"/>
            <w:tcBorders>
              <w:top w:val="single" w:sz="8" w:space="0" w:color="000000"/>
              <w:left w:val="nil"/>
              <w:bottom w:val="nil"/>
              <w:right w:val="nil"/>
            </w:tcBorders>
            <w:tcMar>
              <w:top w:w="0" w:type="dxa"/>
              <w:left w:w="0" w:type="dxa"/>
              <w:bottom w:w="0" w:type="dxa"/>
              <w:right w:w="0" w:type="dxa"/>
            </w:tcMar>
            <w:vAlign w:val="bottom"/>
          </w:tcPr>
          <w:p w:rsidR="00181083" w:rsidRDefault="0010173D">
            <w:pPr>
              <w:keepNext/>
              <w:spacing w:before="33" w:after="30"/>
              <w:jc w:val="right"/>
            </w:pPr>
            <w:r>
              <w:rPr>
                <w:rFonts w:ascii="Arial" w:eastAsia="Arial" w:hAnsi="Arial" w:cs="Arial"/>
                <w:color w:val="000000"/>
                <w:sz w:val="18"/>
              </w:rPr>
              <w:t>(9,208)</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181083" w:rsidRDefault="00181083">
            <w:pPr>
              <w:keepNext/>
              <w:spacing w:before="33" w:after="30"/>
              <w:jc w:val="right"/>
            </w:pPr>
          </w:p>
        </w:tc>
      </w:tr>
      <w:tr w:rsidR="00181083">
        <w:trPr>
          <w:cantSplit/>
          <w:trHeight w:hRule="exact" w:val="300"/>
          <w:jc w:val="center"/>
        </w:trPr>
        <w:tc>
          <w:tcPr>
            <w:tcW w:w="7155" w:type="dxa"/>
            <w:gridSpan w:val="6"/>
            <w:tcBorders>
              <w:top w:val="nil"/>
              <w:left w:val="nil"/>
              <w:bottom w:val="nil"/>
              <w:right w:val="nil"/>
            </w:tcBorders>
            <w:tcMar>
              <w:top w:w="0" w:type="dxa"/>
              <w:left w:w="53" w:type="dxa"/>
              <w:bottom w:w="0" w:type="dxa"/>
              <w:right w:w="53" w:type="dxa"/>
            </w:tcMar>
            <w:vAlign w:val="bottom"/>
          </w:tcPr>
          <w:p w:rsidR="00181083" w:rsidRDefault="0010173D">
            <w:pPr>
              <w:keepNext/>
              <w:spacing w:before="53" w:after="30"/>
            </w:pPr>
            <w:r>
              <w:rPr>
                <w:rFonts w:ascii="Arial" w:eastAsia="Arial" w:hAnsi="Arial" w:cs="Arial"/>
                <w:color w:val="000000"/>
                <w:sz w:val="18"/>
              </w:rPr>
              <w:t>Income (loss) from discontinued operations</w:t>
            </w:r>
          </w:p>
        </w:tc>
        <w:tc>
          <w:tcPr>
            <w:tcW w:w="1415" w:type="dxa"/>
            <w:gridSpan w:val="2"/>
            <w:tcBorders>
              <w:top w:val="nil"/>
              <w:left w:val="nil"/>
              <w:bottom w:val="single" w:sz="8" w:space="0" w:color="000000"/>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83 </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181083" w:rsidRDefault="00181083">
            <w:pPr>
              <w:keepNext/>
              <w:spacing w:before="53" w:after="30"/>
              <w:jc w:val="right"/>
            </w:pPr>
          </w:p>
        </w:tc>
        <w:tc>
          <w:tcPr>
            <w:tcW w:w="1475" w:type="dxa"/>
            <w:gridSpan w:val="2"/>
            <w:tcBorders>
              <w:top w:val="nil"/>
              <w:left w:val="nil"/>
              <w:bottom w:val="single" w:sz="8" w:space="0" w:color="000000"/>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(120)</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181083" w:rsidRDefault="00181083">
            <w:pPr>
              <w:keepNext/>
              <w:spacing w:before="53" w:after="30"/>
              <w:jc w:val="right"/>
            </w:pPr>
          </w:p>
        </w:tc>
      </w:tr>
      <w:tr w:rsidR="00181083">
        <w:trPr>
          <w:cantSplit/>
          <w:trHeight w:hRule="exact" w:val="300"/>
          <w:jc w:val="center"/>
        </w:trPr>
        <w:tc>
          <w:tcPr>
            <w:tcW w:w="7155" w:type="dxa"/>
            <w:gridSpan w:val="6"/>
            <w:tcBorders>
              <w:top w:val="single" w:sz="8" w:space="0" w:color="000000"/>
              <w:left w:val="nil"/>
              <w:bottom w:val="nil"/>
              <w:right w:val="nil"/>
            </w:tcBorders>
            <w:tcMar>
              <w:top w:w="0" w:type="dxa"/>
              <w:left w:w="53" w:type="dxa"/>
              <w:bottom w:w="0" w:type="dxa"/>
              <w:right w:w="53" w:type="dxa"/>
            </w:tcMar>
            <w:vAlign w:val="bottom"/>
          </w:tcPr>
          <w:p w:rsidR="00181083" w:rsidRDefault="0010173D">
            <w:pPr>
              <w:keepNext/>
              <w:spacing w:before="33" w:after="30"/>
            </w:pPr>
            <w:r>
              <w:rPr>
                <w:rFonts w:ascii="Arial" w:eastAsia="Arial" w:hAnsi="Arial" w:cs="Arial"/>
                <w:color w:val="000000"/>
                <w:sz w:val="18"/>
              </w:rPr>
              <w:t>Loss from continuing operations</w:t>
            </w:r>
          </w:p>
        </w:tc>
        <w:tc>
          <w:tcPr>
            <w:tcW w:w="1415" w:type="dxa"/>
            <w:gridSpan w:val="2"/>
            <w:tcBorders>
              <w:top w:val="single" w:sz="8" w:space="0" w:color="000000"/>
              <w:left w:val="nil"/>
              <w:bottom w:val="nil"/>
              <w:right w:val="nil"/>
            </w:tcBorders>
            <w:tcMar>
              <w:top w:w="0" w:type="dxa"/>
              <w:left w:w="53" w:type="dxa"/>
              <w:bottom w:w="0" w:type="dxa"/>
              <w:right w:w="0" w:type="dxa"/>
            </w:tcMar>
            <w:vAlign w:val="bottom"/>
          </w:tcPr>
          <w:p w:rsidR="00181083" w:rsidRDefault="0010173D">
            <w:pPr>
              <w:keepNext/>
              <w:spacing w:before="33" w:after="30"/>
              <w:jc w:val="right"/>
            </w:pPr>
            <w:r>
              <w:rPr>
                <w:rFonts w:ascii="Arial" w:eastAsia="Arial" w:hAnsi="Arial" w:cs="Arial"/>
                <w:color w:val="000000"/>
                <w:sz w:val="18"/>
              </w:rPr>
              <w:t>(401)</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181083" w:rsidRDefault="00181083">
            <w:pPr>
              <w:keepNext/>
              <w:spacing w:before="33" w:after="30"/>
              <w:jc w:val="right"/>
            </w:pPr>
          </w:p>
        </w:tc>
        <w:tc>
          <w:tcPr>
            <w:tcW w:w="1475" w:type="dxa"/>
            <w:gridSpan w:val="2"/>
            <w:tcBorders>
              <w:top w:val="single" w:sz="8" w:space="0" w:color="000000"/>
              <w:left w:val="nil"/>
              <w:bottom w:val="nil"/>
              <w:right w:val="nil"/>
            </w:tcBorders>
            <w:tcMar>
              <w:top w:w="0" w:type="dxa"/>
              <w:left w:w="53" w:type="dxa"/>
              <w:bottom w:w="0" w:type="dxa"/>
              <w:right w:w="0" w:type="dxa"/>
            </w:tcMar>
            <w:vAlign w:val="bottom"/>
          </w:tcPr>
          <w:p w:rsidR="00181083" w:rsidRDefault="0010173D">
            <w:pPr>
              <w:keepNext/>
              <w:spacing w:before="33" w:after="30"/>
              <w:jc w:val="right"/>
            </w:pPr>
            <w:r>
              <w:rPr>
                <w:rFonts w:ascii="Arial" w:eastAsia="Arial" w:hAnsi="Arial" w:cs="Arial"/>
                <w:color w:val="000000"/>
                <w:sz w:val="18"/>
              </w:rPr>
              <w:t>(9,088)</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181083" w:rsidRDefault="00181083">
            <w:pPr>
              <w:keepNext/>
              <w:spacing w:before="33" w:after="30"/>
              <w:jc w:val="right"/>
            </w:pPr>
          </w:p>
        </w:tc>
      </w:tr>
      <w:tr w:rsidR="00181083">
        <w:trPr>
          <w:cantSplit/>
          <w:trHeight w:hRule="exact" w:val="285"/>
          <w:jc w:val="center"/>
        </w:trPr>
        <w:tc>
          <w:tcPr>
            <w:tcW w:w="7155" w:type="dxa"/>
            <w:gridSpan w:val="6"/>
            <w:tcBorders>
              <w:top w:val="nil"/>
              <w:left w:val="nil"/>
              <w:bottom w:val="nil"/>
              <w:right w:val="nil"/>
            </w:tcBorders>
            <w:tcMar>
              <w:top w:w="0" w:type="dxa"/>
              <w:left w:w="53" w:type="dxa"/>
              <w:bottom w:w="0" w:type="dxa"/>
              <w:right w:w="53" w:type="dxa"/>
            </w:tcMar>
            <w:vAlign w:val="bottom"/>
          </w:tcPr>
          <w:p w:rsidR="00181083" w:rsidRDefault="0010173D">
            <w:pPr>
              <w:keepNext/>
              <w:spacing w:before="53" w:after="30"/>
            </w:pPr>
            <w:r>
              <w:rPr>
                <w:rFonts w:ascii="Arial" w:eastAsia="Arial" w:hAnsi="Arial" w:cs="Arial"/>
                <w:color w:val="000000"/>
                <w:sz w:val="18"/>
              </w:rPr>
              <w:t>Facility consolidation and severance expenses, net</w:t>
            </w:r>
          </w:p>
        </w:tc>
        <w:tc>
          <w:tcPr>
            <w:tcW w:w="1415" w:type="dxa"/>
            <w:gridSpan w:val="2"/>
            <w:tcBorders>
              <w:top w:val="nil"/>
              <w:left w:val="nil"/>
              <w:bottom w:val="nil"/>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986 </w:t>
            </w:r>
          </w:p>
        </w:tc>
        <w:tc>
          <w:tcPr>
            <w:tcW w:w="100" w:type="dxa"/>
            <w:tcBorders>
              <w:top w:val="nil"/>
              <w:left w:val="nil"/>
              <w:bottom w:val="nil"/>
              <w:right w:val="nil"/>
            </w:tcBorders>
            <w:tcMar>
              <w:top w:w="0" w:type="dxa"/>
              <w:left w:w="0" w:type="dxa"/>
              <w:bottom w:w="0" w:type="dxa"/>
              <w:right w:w="15" w:type="dxa"/>
            </w:tcMar>
            <w:vAlign w:val="bottom"/>
          </w:tcPr>
          <w:p w:rsidR="00181083" w:rsidRDefault="00181083">
            <w:pPr>
              <w:keepNext/>
              <w:spacing w:before="53" w:after="30"/>
              <w:jc w:val="right"/>
            </w:pPr>
          </w:p>
        </w:tc>
        <w:tc>
          <w:tcPr>
            <w:tcW w:w="1475" w:type="dxa"/>
            <w:gridSpan w:val="2"/>
            <w:tcBorders>
              <w:top w:val="nil"/>
              <w:left w:val="nil"/>
              <w:bottom w:val="nil"/>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1,382 </w:t>
            </w:r>
          </w:p>
        </w:tc>
        <w:tc>
          <w:tcPr>
            <w:tcW w:w="100" w:type="dxa"/>
            <w:tcBorders>
              <w:top w:val="nil"/>
              <w:left w:val="nil"/>
              <w:bottom w:val="nil"/>
              <w:right w:val="nil"/>
            </w:tcBorders>
            <w:tcMar>
              <w:top w:w="0" w:type="dxa"/>
              <w:left w:w="0" w:type="dxa"/>
              <w:bottom w:w="0" w:type="dxa"/>
              <w:right w:w="15" w:type="dxa"/>
            </w:tcMar>
            <w:vAlign w:val="bottom"/>
          </w:tcPr>
          <w:p w:rsidR="00181083" w:rsidRDefault="00181083">
            <w:pPr>
              <w:keepNext/>
              <w:spacing w:before="53" w:after="30"/>
              <w:jc w:val="right"/>
            </w:pPr>
          </w:p>
        </w:tc>
      </w:tr>
      <w:tr w:rsidR="00181083">
        <w:trPr>
          <w:cantSplit/>
          <w:trHeight w:hRule="exact" w:val="300"/>
          <w:jc w:val="center"/>
        </w:trPr>
        <w:tc>
          <w:tcPr>
            <w:tcW w:w="7155" w:type="dxa"/>
            <w:gridSpan w:val="6"/>
            <w:tcBorders>
              <w:top w:val="nil"/>
              <w:left w:val="nil"/>
              <w:bottom w:val="nil"/>
              <w:right w:val="nil"/>
            </w:tcBorders>
            <w:tcMar>
              <w:top w:w="0" w:type="dxa"/>
              <w:left w:w="53" w:type="dxa"/>
              <w:bottom w:w="0" w:type="dxa"/>
              <w:right w:w="53" w:type="dxa"/>
            </w:tcMar>
            <w:vAlign w:val="bottom"/>
          </w:tcPr>
          <w:p w:rsidR="00181083" w:rsidRDefault="0010173D">
            <w:pPr>
              <w:keepNext/>
              <w:spacing w:before="53" w:after="30"/>
            </w:pPr>
            <w:r>
              <w:rPr>
                <w:rFonts w:ascii="Arial" w:eastAsia="Arial" w:hAnsi="Arial" w:cs="Arial"/>
                <w:color w:val="000000"/>
                <w:sz w:val="18"/>
              </w:rPr>
              <w:t>COVID-19 Recovery Plan</w:t>
            </w:r>
          </w:p>
        </w:tc>
        <w:tc>
          <w:tcPr>
            <w:tcW w:w="1415" w:type="dxa"/>
            <w:gridSpan w:val="2"/>
            <w:tcBorders>
              <w:top w:val="nil"/>
              <w:left w:val="nil"/>
              <w:bottom w:val="nil"/>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981 </w:t>
            </w:r>
          </w:p>
        </w:tc>
        <w:tc>
          <w:tcPr>
            <w:tcW w:w="100" w:type="dxa"/>
            <w:tcBorders>
              <w:top w:val="nil"/>
              <w:left w:val="nil"/>
              <w:bottom w:val="nil"/>
              <w:right w:val="nil"/>
            </w:tcBorders>
            <w:tcMar>
              <w:top w:w="0" w:type="dxa"/>
              <w:left w:w="0" w:type="dxa"/>
              <w:bottom w:w="0" w:type="dxa"/>
              <w:right w:w="15" w:type="dxa"/>
            </w:tcMar>
            <w:vAlign w:val="bottom"/>
          </w:tcPr>
          <w:p w:rsidR="00181083" w:rsidRDefault="00181083">
            <w:pPr>
              <w:keepNext/>
              <w:spacing w:before="53" w:after="30"/>
              <w:jc w:val="right"/>
            </w:pPr>
          </w:p>
        </w:tc>
        <w:tc>
          <w:tcPr>
            <w:tcW w:w="1475" w:type="dxa"/>
            <w:gridSpan w:val="2"/>
            <w:tcBorders>
              <w:top w:val="nil"/>
              <w:left w:val="nil"/>
              <w:bottom w:val="nil"/>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2,370 </w:t>
            </w:r>
          </w:p>
        </w:tc>
        <w:tc>
          <w:tcPr>
            <w:tcW w:w="100" w:type="dxa"/>
            <w:tcBorders>
              <w:top w:val="nil"/>
              <w:left w:val="nil"/>
              <w:bottom w:val="nil"/>
              <w:right w:val="nil"/>
            </w:tcBorders>
            <w:tcMar>
              <w:top w:w="0" w:type="dxa"/>
              <w:left w:w="0" w:type="dxa"/>
              <w:bottom w:w="0" w:type="dxa"/>
              <w:right w:w="15" w:type="dxa"/>
            </w:tcMar>
            <w:vAlign w:val="bottom"/>
          </w:tcPr>
          <w:p w:rsidR="00181083" w:rsidRDefault="00181083">
            <w:pPr>
              <w:keepNext/>
              <w:spacing w:before="53" w:after="30"/>
              <w:jc w:val="right"/>
            </w:pPr>
          </w:p>
        </w:tc>
      </w:tr>
      <w:tr w:rsidR="00181083">
        <w:trPr>
          <w:cantSplit/>
          <w:trHeight w:hRule="exact" w:val="300"/>
          <w:jc w:val="center"/>
        </w:trPr>
        <w:tc>
          <w:tcPr>
            <w:tcW w:w="7155" w:type="dxa"/>
            <w:gridSpan w:val="6"/>
            <w:tcBorders>
              <w:top w:val="nil"/>
              <w:left w:val="nil"/>
              <w:bottom w:val="nil"/>
              <w:right w:val="nil"/>
            </w:tcBorders>
            <w:tcMar>
              <w:top w:w="0" w:type="dxa"/>
              <w:left w:w="53" w:type="dxa"/>
              <w:bottom w:w="0" w:type="dxa"/>
              <w:right w:w="53" w:type="dxa"/>
            </w:tcMar>
            <w:vAlign w:val="bottom"/>
          </w:tcPr>
          <w:p w:rsidR="00181083" w:rsidRDefault="0010173D">
            <w:pPr>
              <w:keepNext/>
              <w:spacing w:before="53" w:after="30"/>
            </w:pPr>
            <w:r>
              <w:rPr>
                <w:rFonts w:ascii="Arial" w:eastAsia="Arial" w:hAnsi="Arial" w:cs="Arial"/>
                <w:color w:val="000000"/>
                <w:sz w:val="18"/>
              </w:rPr>
              <w:t>Other COVID-19 Related Expenses</w:t>
            </w:r>
            <w:r>
              <w:rPr>
                <w:rStyle w:val="FootnoteReference"/>
                <w:rFonts w:ascii="Arial" w:eastAsia="Arial" w:hAnsi="Arial" w:cs="Arial"/>
                <w:color w:val="000000"/>
                <w:sz w:val="18"/>
              </w:rPr>
              <w:footnoteReference w:id="1"/>
            </w:r>
          </w:p>
        </w:tc>
        <w:tc>
          <w:tcPr>
            <w:tcW w:w="1415" w:type="dxa"/>
            <w:gridSpan w:val="2"/>
            <w:tcBorders>
              <w:top w:val="nil"/>
              <w:left w:val="nil"/>
              <w:bottom w:val="nil"/>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(1,596)</w:t>
            </w:r>
          </w:p>
        </w:tc>
        <w:tc>
          <w:tcPr>
            <w:tcW w:w="100" w:type="dxa"/>
            <w:tcBorders>
              <w:top w:val="nil"/>
              <w:left w:val="nil"/>
              <w:bottom w:val="nil"/>
              <w:right w:val="nil"/>
            </w:tcBorders>
            <w:tcMar>
              <w:top w:w="0" w:type="dxa"/>
              <w:left w:w="0" w:type="dxa"/>
              <w:bottom w:w="0" w:type="dxa"/>
              <w:right w:w="15" w:type="dxa"/>
            </w:tcMar>
            <w:vAlign w:val="bottom"/>
          </w:tcPr>
          <w:p w:rsidR="00181083" w:rsidRDefault="00181083">
            <w:pPr>
              <w:keepNext/>
              <w:spacing w:before="53" w:after="30"/>
              <w:jc w:val="right"/>
            </w:pPr>
          </w:p>
        </w:tc>
        <w:tc>
          <w:tcPr>
            <w:tcW w:w="1475" w:type="dxa"/>
            <w:gridSpan w:val="2"/>
            <w:tcBorders>
              <w:top w:val="nil"/>
              <w:left w:val="nil"/>
              <w:bottom w:val="nil"/>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2,117 </w:t>
            </w:r>
          </w:p>
        </w:tc>
        <w:tc>
          <w:tcPr>
            <w:tcW w:w="100" w:type="dxa"/>
            <w:tcBorders>
              <w:top w:val="nil"/>
              <w:left w:val="nil"/>
              <w:bottom w:val="nil"/>
              <w:right w:val="nil"/>
            </w:tcBorders>
            <w:tcMar>
              <w:top w:w="0" w:type="dxa"/>
              <w:left w:w="0" w:type="dxa"/>
              <w:bottom w:w="0" w:type="dxa"/>
              <w:right w:w="15" w:type="dxa"/>
            </w:tcMar>
            <w:vAlign w:val="bottom"/>
          </w:tcPr>
          <w:p w:rsidR="00181083" w:rsidRDefault="00181083">
            <w:pPr>
              <w:keepNext/>
              <w:spacing w:before="53" w:after="30"/>
              <w:jc w:val="right"/>
            </w:pPr>
          </w:p>
        </w:tc>
      </w:tr>
      <w:tr w:rsidR="00181083">
        <w:trPr>
          <w:cantSplit/>
          <w:trHeight w:hRule="exact" w:val="285"/>
          <w:jc w:val="center"/>
        </w:trPr>
        <w:tc>
          <w:tcPr>
            <w:tcW w:w="7155" w:type="dxa"/>
            <w:gridSpan w:val="6"/>
            <w:tcBorders>
              <w:top w:val="nil"/>
              <w:left w:val="nil"/>
              <w:bottom w:val="nil"/>
              <w:right w:val="nil"/>
            </w:tcBorders>
            <w:tcMar>
              <w:top w:w="0" w:type="dxa"/>
              <w:left w:w="53" w:type="dxa"/>
              <w:bottom w:w="0" w:type="dxa"/>
              <w:right w:w="53" w:type="dxa"/>
            </w:tcMar>
            <w:vAlign w:val="bottom"/>
          </w:tcPr>
          <w:p w:rsidR="00181083" w:rsidRDefault="0010173D">
            <w:pPr>
              <w:keepNext/>
              <w:spacing w:before="53" w:after="30"/>
            </w:pPr>
            <w:r>
              <w:rPr>
                <w:rFonts w:ascii="Arial" w:eastAsia="Arial" w:hAnsi="Arial" w:cs="Arial"/>
                <w:color w:val="000000"/>
                <w:sz w:val="18"/>
              </w:rPr>
              <w:t>Expenses Related to Major Financing During the Period</w:t>
            </w:r>
            <w:r>
              <w:rPr>
                <w:rStyle w:val="FootnoteReference"/>
                <w:rFonts w:ascii="Arial" w:eastAsia="Arial" w:hAnsi="Arial" w:cs="Arial"/>
                <w:color w:val="000000"/>
                <w:sz w:val="18"/>
              </w:rPr>
              <w:footnoteReference w:id="2"/>
            </w:r>
          </w:p>
        </w:tc>
        <w:tc>
          <w:tcPr>
            <w:tcW w:w="1415" w:type="dxa"/>
            <w:gridSpan w:val="2"/>
            <w:tcBorders>
              <w:top w:val="nil"/>
              <w:left w:val="nil"/>
              <w:bottom w:val="nil"/>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744 </w:t>
            </w:r>
          </w:p>
        </w:tc>
        <w:tc>
          <w:tcPr>
            <w:tcW w:w="100" w:type="dxa"/>
            <w:tcBorders>
              <w:top w:val="nil"/>
              <w:left w:val="nil"/>
              <w:bottom w:val="nil"/>
              <w:right w:val="nil"/>
            </w:tcBorders>
            <w:tcMar>
              <w:top w:w="0" w:type="dxa"/>
              <w:left w:w="0" w:type="dxa"/>
              <w:bottom w:w="0" w:type="dxa"/>
              <w:right w:w="15" w:type="dxa"/>
            </w:tcMar>
            <w:vAlign w:val="bottom"/>
          </w:tcPr>
          <w:p w:rsidR="00181083" w:rsidRDefault="00181083">
            <w:pPr>
              <w:keepNext/>
              <w:spacing w:before="53" w:after="30"/>
              <w:jc w:val="right"/>
            </w:pPr>
          </w:p>
        </w:tc>
        <w:tc>
          <w:tcPr>
            <w:tcW w:w="1475" w:type="dxa"/>
            <w:gridSpan w:val="2"/>
            <w:tcBorders>
              <w:top w:val="nil"/>
              <w:left w:val="nil"/>
              <w:bottom w:val="nil"/>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744 </w:t>
            </w:r>
          </w:p>
        </w:tc>
        <w:tc>
          <w:tcPr>
            <w:tcW w:w="100" w:type="dxa"/>
            <w:tcBorders>
              <w:top w:val="nil"/>
              <w:left w:val="nil"/>
              <w:bottom w:val="nil"/>
              <w:right w:val="nil"/>
            </w:tcBorders>
            <w:tcMar>
              <w:top w:w="0" w:type="dxa"/>
              <w:left w:w="0" w:type="dxa"/>
              <w:bottom w:w="0" w:type="dxa"/>
              <w:right w:w="15" w:type="dxa"/>
            </w:tcMar>
            <w:vAlign w:val="bottom"/>
          </w:tcPr>
          <w:p w:rsidR="00181083" w:rsidRDefault="00181083">
            <w:pPr>
              <w:keepNext/>
              <w:spacing w:before="53" w:after="30"/>
              <w:jc w:val="right"/>
            </w:pPr>
          </w:p>
        </w:tc>
      </w:tr>
      <w:tr w:rsidR="00181083">
        <w:trPr>
          <w:cantSplit/>
          <w:trHeight w:hRule="exact" w:val="285"/>
          <w:jc w:val="center"/>
        </w:trPr>
        <w:tc>
          <w:tcPr>
            <w:tcW w:w="7155" w:type="dxa"/>
            <w:gridSpan w:val="6"/>
            <w:tcBorders>
              <w:top w:val="nil"/>
              <w:left w:val="nil"/>
              <w:bottom w:val="nil"/>
              <w:right w:val="nil"/>
            </w:tcBorders>
            <w:tcMar>
              <w:top w:w="0" w:type="dxa"/>
              <w:left w:w="53" w:type="dxa"/>
              <w:bottom w:w="0" w:type="dxa"/>
              <w:right w:w="53" w:type="dxa"/>
            </w:tcMar>
            <w:vAlign w:val="bottom"/>
          </w:tcPr>
          <w:p w:rsidR="00181083" w:rsidRDefault="0010173D">
            <w:pPr>
              <w:keepNext/>
              <w:spacing w:before="53" w:after="30"/>
            </w:pPr>
            <w:r>
              <w:rPr>
                <w:rFonts w:ascii="Arial" w:eastAsia="Arial" w:hAnsi="Arial" w:cs="Arial"/>
                <w:color w:val="000000"/>
                <w:sz w:val="18"/>
              </w:rPr>
              <w:t>Tax effect</w:t>
            </w:r>
            <w:r>
              <w:rPr>
                <w:rStyle w:val="FootnoteReference"/>
                <w:rFonts w:ascii="Arial" w:eastAsia="Arial" w:hAnsi="Arial" w:cs="Arial"/>
                <w:color w:val="000000"/>
                <w:sz w:val="18"/>
              </w:rPr>
              <w:footnoteReference w:id="3"/>
            </w:r>
          </w:p>
        </w:tc>
        <w:tc>
          <w:tcPr>
            <w:tcW w:w="1415" w:type="dxa"/>
            <w:gridSpan w:val="2"/>
            <w:tcBorders>
              <w:top w:val="nil"/>
              <w:left w:val="nil"/>
              <w:bottom w:val="single" w:sz="8" w:space="0" w:color="000000"/>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(342)</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181083" w:rsidRDefault="00181083">
            <w:pPr>
              <w:keepNext/>
              <w:spacing w:before="53" w:after="30"/>
              <w:jc w:val="right"/>
            </w:pPr>
          </w:p>
        </w:tc>
        <w:tc>
          <w:tcPr>
            <w:tcW w:w="1475" w:type="dxa"/>
            <w:gridSpan w:val="2"/>
            <w:tcBorders>
              <w:top w:val="nil"/>
              <w:left w:val="nil"/>
              <w:bottom w:val="single" w:sz="8" w:space="0" w:color="000000"/>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(342)</w:t>
            </w:r>
          </w:p>
        </w:tc>
        <w:tc>
          <w:tcPr>
            <w:tcW w:w="100" w:type="dxa"/>
            <w:tcBorders>
              <w:top w:val="nil"/>
              <w:left w:val="nil"/>
              <w:bottom w:val="single" w:sz="8" w:space="0" w:color="000000"/>
              <w:right w:val="nil"/>
            </w:tcBorders>
            <w:tcMar>
              <w:top w:w="0" w:type="dxa"/>
              <w:left w:w="0" w:type="dxa"/>
              <w:bottom w:w="0" w:type="dxa"/>
              <w:right w:w="15" w:type="dxa"/>
            </w:tcMar>
            <w:vAlign w:val="bottom"/>
          </w:tcPr>
          <w:p w:rsidR="00181083" w:rsidRDefault="00181083">
            <w:pPr>
              <w:keepNext/>
              <w:spacing w:before="53" w:after="30"/>
              <w:jc w:val="right"/>
            </w:pPr>
          </w:p>
        </w:tc>
      </w:tr>
      <w:tr w:rsidR="00181083">
        <w:trPr>
          <w:cantSplit/>
          <w:trHeight w:hRule="exact" w:val="285"/>
          <w:jc w:val="center"/>
        </w:trPr>
        <w:tc>
          <w:tcPr>
            <w:tcW w:w="7155" w:type="dxa"/>
            <w:gridSpan w:val="6"/>
            <w:tcBorders>
              <w:top w:val="single" w:sz="8" w:space="0" w:color="000000"/>
              <w:left w:val="nil"/>
              <w:bottom w:val="nil"/>
              <w:right w:val="nil"/>
            </w:tcBorders>
            <w:tcMar>
              <w:top w:w="0" w:type="dxa"/>
              <w:left w:w="53" w:type="dxa"/>
              <w:bottom w:w="0" w:type="dxa"/>
              <w:right w:w="53" w:type="dxa"/>
            </w:tcMar>
            <w:vAlign w:val="bottom"/>
          </w:tcPr>
          <w:p w:rsidR="00181083" w:rsidRDefault="0010173D">
            <w:pPr>
              <w:keepNext/>
              <w:spacing w:before="33" w:after="30"/>
            </w:pPr>
            <w:r>
              <w:rPr>
                <w:rFonts w:ascii="Arial" w:eastAsia="Arial" w:hAnsi="Arial" w:cs="Arial"/>
                <w:color w:val="000000"/>
                <w:sz w:val="18"/>
              </w:rPr>
              <w:t>Expenses Related to Restructuring Plans</w:t>
            </w:r>
          </w:p>
        </w:tc>
        <w:tc>
          <w:tcPr>
            <w:tcW w:w="1415" w:type="dxa"/>
            <w:gridSpan w:val="2"/>
            <w:tcBorders>
              <w:top w:val="single" w:sz="8" w:space="0" w:color="000000"/>
              <w:left w:val="nil"/>
              <w:bottom w:val="single" w:sz="8" w:space="0" w:color="000000"/>
              <w:right w:val="nil"/>
            </w:tcBorders>
            <w:tcMar>
              <w:top w:w="0" w:type="dxa"/>
              <w:left w:w="53" w:type="dxa"/>
              <w:bottom w:w="0" w:type="dxa"/>
              <w:right w:w="0" w:type="dxa"/>
            </w:tcMar>
            <w:vAlign w:val="bottom"/>
          </w:tcPr>
          <w:p w:rsidR="00181083" w:rsidRDefault="0010173D">
            <w:pPr>
              <w:keepNext/>
              <w:spacing w:before="33" w:after="30"/>
              <w:jc w:val="right"/>
            </w:pPr>
            <w:r>
              <w:rPr>
                <w:rFonts w:ascii="Arial" w:eastAsia="Arial" w:hAnsi="Arial" w:cs="Arial"/>
                <w:color w:val="000000"/>
                <w:sz w:val="18"/>
              </w:rPr>
              <w:t>1,967 </w:t>
            </w:r>
          </w:p>
        </w:tc>
        <w:tc>
          <w:tcPr>
            <w:tcW w:w="100" w:type="dxa"/>
            <w:tcBorders>
              <w:top w:val="single" w:sz="8" w:space="0" w:color="000000"/>
              <w:left w:val="nil"/>
              <w:bottom w:val="single" w:sz="8" w:space="0" w:color="000000"/>
              <w:right w:val="nil"/>
            </w:tcBorders>
            <w:tcMar>
              <w:top w:w="0" w:type="dxa"/>
              <w:left w:w="0" w:type="dxa"/>
              <w:bottom w:w="0" w:type="dxa"/>
              <w:right w:w="15" w:type="dxa"/>
            </w:tcMar>
            <w:vAlign w:val="bottom"/>
          </w:tcPr>
          <w:p w:rsidR="00181083" w:rsidRDefault="00181083">
            <w:pPr>
              <w:keepNext/>
              <w:spacing w:before="33" w:after="30"/>
              <w:jc w:val="right"/>
            </w:pPr>
          </w:p>
        </w:tc>
        <w:tc>
          <w:tcPr>
            <w:tcW w:w="160" w:type="dxa"/>
            <w:tcBorders>
              <w:top w:val="single" w:sz="8" w:space="0" w:color="000000"/>
              <w:left w:val="nil"/>
              <w:bottom w:val="single" w:sz="8" w:space="0" w:color="000000"/>
              <w:right w:val="nil"/>
            </w:tcBorders>
            <w:tcMar>
              <w:top w:w="0" w:type="dxa"/>
              <w:left w:w="53" w:type="dxa"/>
              <w:bottom w:w="0" w:type="dxa"/>
              <w:right w:w="0" w:type="dxa"/>
            </w:tcMar>
            <w:vAlign w:val="bottom"/>
          </w:tcPr>
          <w:p w:rsidR="00181083" w:rsidRDefault="0010173D">
            <w:pPr>
              <w:keepNext/>
              <w:spacing w:before="33" w:after="30"/>
            </w:pPr>
            <w:r>
              <w:rPr>
                <w:rFonts w:ascii="Arial" w:eastAsia="Arial" w:hAnsi="Arial" w:cs="Arial"/>
                <w:color w:val="000000"/>
                <w:sz w:val="18"/>
              </w:rPr>
              <w:t>$</w:t>
            </w:r>
          </w:p>
        </w:tc>
        <w:tc>
          <w:tcPr>
            <w:tcW w:w="1315" w:type="dxa"/>
            <w:tcBorders>
              <w:top w:val="single" w:sz="8" w:space="0" w:color="000000"/>
              <w:left w:val="nil"/>
              <w:bottom w:val="single" w:sz="8" w:space="0" w:color="000000"/>
              <w:right w:val="nil"/>
            </w:tcBorders>
            <w:tcMar>
              <w:top w:w="0" w:type="dxa"/>
              <w:left w:w="0" w:type="dxa"/>
              <w:bottom w:w="0" w:type="dxa"/>
              <w:right w:w="0" w:type="dxa"/>
            </w:tcMar>
            <w:vAlign w:val="bottom"/>
          </w:tcPr>
          <w:p w:rsidR="00181083" w:rsidRDefault="0010173D">
            <w:pPr>
              <w:keepNext/>
              <w:spacing w:before="33" w:after="30"/>
              <w:jc w:val="right"/>
            </w:pPr>
            <w:r>
              <w:rPr>
                <w:rFonts w:ascii="Arial" w:eastAsia="Arial" w:hAnsi="Arial" w:cs="Arial"/>
                <w:color w:val="000000"/>
                <w:sz w:val="18"/>
              </w:rPr>
              <w:t>3,752 </w:t>
            </w:r>
          </w:p>
        </w:tc>
        <w:tc>
          <w:tcPr>
            <w:tcW w:w="100" w:type="dxa"/>
            <w:tcBorders>
              <w:top w:val="single" w:sz="8" w:space="0" w:color="000000"/>
              <w:left w:val="nil"/>
              <w:bottom w:val="single" w:sz="8" w:space="0" w:color="000000"/>
              <w:right w:val="nil"/>
            </w:tcBorders>
            <w:tcMar>
              <w:top w:w="0" w:type="dxa"/>
              <w:left w:w="0" w:type="dxa"/>
              <w:bottom w:w="0" w:type="dxa"/>
              <w:right w:w="15" w:type="dxa"/>
            </w:tcMar>
            <w:vAlign w:val="bottom"/>
          </w:tcPr>
          <w:p w:rsidR="00181083" w:rsidRDefault="00181083">
            <w:pPr>
              <w:keepNext/>
              <w:spacing w:before="33" w:after="30"/>
              <w:jc w:val="right"/>
            </w:pPr>
          </w:p>
        </w:tc>
      </w:tr>
      <w:tr w:rsidR="00181083">
        <w:trPr>
          <w:cantSplit/>
          <w:trHeight w:hRule="exact" w:val="285"/>
          <w:jc w:val="center"/>
        </w:trPr>
        <w:tc>
          <w:tcPr>
            <w:tcW w:w="7155" w:type="dxa"/>
            <w:gridSpan w:val="6"/>
            <w:tcBorders>
              <w:top w:val="single" w:sz="8" w:space="0" w:color="000000"/>
              <w:left w:val="nil"/>
              <w:bottom w:val="nil"/>
              <w:right w:val="nil"/>
            </w:tcBorders>
            <w:tcMar>
              <w:top w:w="0" w:type="dxa"/>
              <w:left w:w="53" w:type="dxa"/>
              <w:bottom w:w="0" w:type="dxa"/>
              <w:right w:w="53" w:type="dxa"/>
            </w:tcMar>
            <w:vAlign w:val="bottom"/>
          </w:tcPr>
          <w:p w:rsidR="00181083" w:rsidRDefault="0010173D">
            <w:pPr>
              <w:keepNext/>
              <w:spacing w:before="33" w:after="30"/>
            </w:pPr>
            <w:r>
              <w:rPr>
                <w:rFonts w:ascii="Arial" w:eastAsia="Arial" w:hAnsi="Arial" w:cs="Arial"/>
                <w:color w:val="000000"/>
                <w:sz w:val="18"/>
              </w:rPr>
              <w:t>Income/(Loss)</w:t>
            </w:r>
          </w:p>
        </w:tc>
        <w:tc>
          <w:tcPr>
            <w:tcW w:w="160" w:type="dxa"/>
            <w:tcBorders>
              <w:top w:val="single" w:sz="8" w:space="0" w:color="000000"/>
              <w:left w:val="nil"/>
              <w:bottom w:val="nil"/>
              <w:right w:val="nil"/>
            </w:tcBorders>
            <w:tcMar>
              <w:top w:w="0" w:type="dxa"/>
              <w:left w:w="53" w:type="dxa"/>
              <w:bottom w:w="0" w:type="dxa"/>
              <w:right w:w="0" w:type="dxa"/>
            </w:tcMar>
            <w:vAlign w:val="bottom"/>
          </w:tcPr>
          <w:p w:rsidR="00181083" w:rsidRDefault="0010173D">
            <w:pPr>
              <w:keepNext/>
              <w:spacing w:before="33" w:after="30"/>
            </w:pPr>
            <w:r>
              <w:rPr>
                <w:rFonts w:ascii="Arial" w:eastAsia="Arial" w:hAnsi="Arial" w:cs="Arial"/>
                <w:color w:val="000000"/>
                <w:sz w:val="18"/>
              </w:rPr>
              <w:t>$</w:t>
            </w:r>
          </w:p>
        </w:tc>
        <w:tc>
          <w:tcPr>
            <w:tcW w:w="1255" w:type="dxa"/>
            <w:tcBorders>
              <w:top w:val="single" w:sz="8" w:space="0" w:color="000000"/>
              <w:left w:val="nil"/>
              <w:bottom w:val="nil"/>
              <w:right w:val="nil"/>
            </w:tcBorders>
            <w:tcMar>
              <w:top w:w="0" w:type="dxa"/>
              <w:left w:w="0" w:type="dxa"/>
              <w:bottom w:w="0" w:type="dxa"/>
              <w:right w:w="0" w:type="dxa"/>
            </w:tcMar>
            <w:vAlign w:val="bottom"/>
          </w:tcPr>
          <w:p w:rsidR="00181083" w:rsidRDefault="0010173D">
            <w:pPr>
              <w:keepNext/>
              <w:spacing w:before="33" w:after="30"/>
              <w:jc w:val="right"/>
            </w:pPr>
            <w:r>
              <w:rPr>
                <w:rFonts w:ascii="Arial" w:eastAsia="Arial" w:hAnsi="Arial" w:cs="Arial"/>
                <w:color w:val="000000"/>
                <w:sz w:val="18"/>
              </w:rPr>
              <w:t>372 </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181083" w:rsidRDefault="00181083">
            <w:pPr>
              <w:keepNext/>
              <w:spacing w:before="33" w:after="30"/>
              <w:jc w:val="right"/>
            </w:pPr>
          </w:p>
        </w:tc>
        <w:tc>
          <w:tcPr>
            <w:tcW w:w="160" w:type="dxa"/>
            <w:tcBorders>
              <w:top w:val="single" w:sz="8" w:space="0" w:color="000000"/>
              <w:left w:val="nil"/>
              <w:bottom w:val="nil"/>
              <w:right w:val="nil"/>
            </w:tcBorders>
            <w:tcMar>
              <w:top w:w="0" w:type="dxa"/>
              <w:left w:w="53" w:type="dxa"/>
              <w:bottom w:w="0" w:type="dxa"/>
              <w:right w:w="0" w:type="dxa"/>
            </w:tcMar>
            <w:vAlign w:val="bottom"/>
          </w:tcPr>
          <w:p w:rsidR="00181083" w:rsidRDefault="0010173D">
            <w:pPr>
              <w:keepNext/>
              <w:spacing w:before="33" w:after="30"/>
            </w:pPr>
            <w:r>
              <w:rPr>
                <w:rFonts w:ascii="Arial" w:eastAsia="Arial" w:hAnsi="Arial" w:cs="Arial"/>
                <w:color w:val="000000"/>
                <w:sz w:val="18"/>
              </w:rPr>
              <w:t>$</w:t>
            </w:r>
          </w:p>
        </w:tc>
        <w:tc>
          <w:tcPr>
            <w:tcW w:w="1315" w:type="dxa"/>
            <w:tcBorders>
              <w:top w:val="single" w:sz="8" w:space="0" w:color="000000"/>
              <w:left w:val="nil"/>
              <w:bottom w:val="nil"/>
              <w:right w:val="nil"/>
            </w:tcBorders>
            <w:tcMar>
              <w:top w:w="0" w:type="dxa"/>
              <w:left w:w="0" w:type="dxa"/>
              <w:bottom w:w="0" w:type="dxa"/>
              <w:right w:w="0" w:type="dxa"/>
            </w:tcMar>
            <w:vAlign w:val="bottom"/>
          </w:tcPr>
          <w:p w:rsidR="00181083" w:rsidRDefault="0010173D">
            <w:pPr>
              <w:keepNext/>
              <w:spacing w:before="33" w:after="30"/>
              <w:jc w:val="right"/>
            </w:pPr>
            <w:r>
              <w:rPr>
                <w:rFonts w:ascii="Arial" w:eastAsia="Arial" w:hAnsi="Arial" w:cs="Arial"/>
                <w:color w:val="000000"/>
                <w:sz w:val="18"/>
              </w:rPr>
              <w:t>(2,817)</w:t>
            </w:r>
          </w:p>
        </w:tc>
        <w:tc>
          <w:tcPr>
            <w:tcW w:w="100" w:type="dxa"/>
            <w:tcBorders>
              <w:top w:val="single" w:sz="8" w:space="0" w:color="000000"/>
              <w:left w:val="nil"/>
              <w:bottom w:val="nil"/>
              <w:right w:val="nil"/>
            </w:tcBorders>
            <w:tcMar>
              <w:top w:w="0" w:type="dxa"/>
              <w:left w:w="0" w:type="dxa"/>
              <w:bottom w:w="0" w:type="dxa"/>
              <w:right w:w="15" w:type="dxa"/>
            </w:tcMar>
            <w:vAlign w:val="bottom"/>
          </w:tcPr>
          <w:p w:rsidR="00181083" w:rsidRDefault="00181083">
            <w:pPr>
              <w:keepNext/>
              <w:spacing w:before="33" w:after="30"/>
              <w:jc w:val="right"/>
            </w:pPr>
          </w:p>
        </w:tc>
      </w:tr>
      <w:tr w:rsidR="00181083">
        <w:trPr>
          <w:cantSplit/>
          <w:trHeight w:hRule="exact" w:val="285"/>
          <w:jc w:val="center"/>
        </w:trPr>
        <w:tc>
          <w:tcPr>
            <w:tcW w:w="7155" w:type="dxa"/>
            <w:gridSpan w:val="6"/>
            <w:tcBorders>
              <w:top w:val="nil"/>
              <w:left w:val="nil"/>
              <w:bottom w:val="nil"/>
              <w:right w:val="nil"/>
            </w:tcBorders>
            <w:tcMar>
              <w:top w:w="0" w:type="dxa"/>
              <w:left w:w="53" w:type="dxa"/>
              <w:bottom w:w="0" w:type="dxa"/>
              <w:right w:w="53" w:type="dxa"/>
            </w:tcMar>
            <w:vAlign w:val="bottom"/>
          </w:tcPr>
          <w:p w:rsidR="00181083" w:rsidRDefault="0010173D">
            <w:pPr>
              <w:keepNext/>
              <w:spacing w:before="53" w:after="30"/>
            </w:pPr>
            <w:r>
              <w:rPr>
                <w:rFonts w:ascii="Arial" w:eastAsia="Arial" w:hAnsi="Arial" w:cs="Arial"/>
                <w:color w:val="000000"/>
                <w:sz w:val="18"/>
              </w:rPr>
              <w:t>Diluted shares</w:t>
            </w:r>
          </w:p>
        </w:tc>
        <w:tc>
          <w:tcPr>
            <w:tcW w:w="1415" w:type="dxa"/>
            <w:gridSpan w:val="2"/>
            <w:tcBorders>
              <w:top w:val="nil"/>
              <w:left w:val="nil"/>
              <w:bottom w:val="nil"/>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15,441 </w:t>
            </w:r>
          </w:p>
        </w:tc>
        <w:tc>
          <w:tcPr>
            <w:tcW w:w="100" w:type="dxa"/>
            <w:tcBorders>
              <w:top w:val="nil"/>
              <w:left w:val="nil"/>
              <w:bottom w:val="nil"/>
              <w:right w:val="nil"/>
            </w:tcBorders>
            <w:tcMar>
              <w:top w:w="0" w:type="dxa"/>
              <w:left w:w="0" w:type="dxa"/>
              <w:bottom w:w="0" w:type="dxa"/>
              <w:right w:w="15" w:type="dxa"/>
            </w:tcMar>
            <w:vAlign w:val="bottom"/>
          </w:tcPr>
          <w:p w:rsidR="00181083" w:rsidRDefault="00181083">
            <w:pPr>
              <w:keepNext/>
              <w:spacing w:before="53" w:after="30"/>
              <w:jc w:val="right"/>
            </w:pPr>
          </w:p>
        </w:tc>
        <w:tc>
          <w:tcPr>
            <w:tcW w:w="1475" w:type="dxa"/>
            <w:gridSpan w:val="2"/>
            <w:tcBorders>
              <w:top w:val="nil"/>
              <w:left w:val="nil"/>
              <w:bottom w:val="nil"/>
              <w:right w:val="nil"/>
            </w:tcBorders>
            <w:tcMar>
              <w:top w:w="0" w:type="dxa"/>
              <w:left w:w="53"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15,316 </w:t>
            </w:r>
          </w:p>
        </w:tc>
        <w:tc>
          <w:tcPr>
            <w:tcW w:w="100" w:type="dxa"/>
            <w:tcBorders>
              <w:top w:val="nil"/>
              <w:left w:val="nil"/>
              <w:bottom w:val="nil"/>
              <w:right w:val="nil"/>
            </w:tcBorders>
            <w:tcMar>
              <w:top w:w="0" w:type="dxa"/>
              <w:left w:w="0" w:type="dxa"/>
              <w:bottom w:w="0" w:type="dxa"/>
              <w:right w:w="15" w:type="dxa"/>
            </w:tcMar>
            <w:vAlign w:val="bottom"/>
          </w:tcPr>
          <w:p w:rsidR="00181083" w:rsidRDefault="00181083">
            <w:pPr>
              <w:keepNext/>
              <w:spacing w:before="53" w:after="30"/>
              <w:jc w:val="right"/>
            </w:pPr>
          </w:p>
        </w:tc>
      </w:tr>
      <w:tr w:rsidR="00181083">
        <w:trPr>
          <w:cantSplit/>
          <w:trHeight w:hRule="exact" w:val="285"/>
          <w:jc w:val="center"/>
        </w:trPr>
        <w:tc>
          <w:tcPr>
            <w:tcW w:w="7155" w:type="dxa"/>
            <w:gridSpan w:val="6"/>
            <w:tcBorders>
              <w:top w:val="nil"/>
              <w:left w:val="nil"/>
              <w:bottom w:val="nil"/>
              <w:right w:val="nil"/>
            </w:tcBorders>
            <w:tcMar>
              <w:top w:w="0" w:type="dxa"/>
              <w:left w:w="53" w:type="dxa"/>
              <w:bottom w:w="0" w:type="dxa"/>
              <w:right w:w="53" w:type="dxa"/>
            </w:tcMar>
            <w:vAlign w:val="bottom"/>
          </w:tcPr>
          <w:p w:rsidR="00181083" w:rsidRDefault="0010173D">
            <w:pPr>
              <w:keepNext/>
              <w:spacing w:before="53" w:after="30"/>
            </w:pPr>
            <w:r>
              <w:rPr>
                <w:rFonts w:ascii="Arial" w:eastAsia="Arial" w:hAnsi="Arial" w:cs="Arial"/>
                <w:color w:val="000000"/>
                <w:sz w:val="18"/>
              </w:rPr>
              <w:t>Adjusted income(loss) per diluted share</w:t>
            </w:r>
          </w:p>
        </w:tc>
        <w:tc>
          <w:tcPr>
            <w:tcW w:w="160" w:type="dxa"/>
            <w:tcBorders>
              <w:top w:val="nil"/>
              <w:left w:val="nil"/>
              <w:bottom w:val="nil"/>
              <w:right w:val="nil"/>
            </w:tcBorders>
            <w:tcMar>
              <w:top w:w="0" w:type="dxa"/>
              <w:left w:w="53" w:type="dxa"/>
              <w:bottom w:w="0" w:type="dxa"/>
              <w:right w:w="0" w:type="dxa"/>
            </w:tcMar>
            <w:vAlign w:val="bottom"/>
          </w:tcPr>
          <w:p w:rsidR="00181083" w:rsidRDefault="0010173D">
            <w:pPr>
              <w:keepNext/>
              <w:spacing w:before="53" w:after="30"/>
            </w:pPr>
            <w:r>
              <w:rPr>
                <w:rFonts w:ascii="Arial" w:eastAsia="Arial" w:hAnsi="Arial" w:cs="Arial"/>
                <w:color w:val="000000"/>
                <w:sz w:val="18"/>
              </w:rPr>
              <w:t>$</w:t>
            </w:r>
          </w:p>
        </w:tc>
        <w:tc>
          <w:tcPr>
            <w:tcW w:w="1255" w:type="dxa"/>
            <w:tcBorders>
              <w:top w:val="nil"/>
              <w:left w:val="nil"/>
              <w:bottom w:val="nil"/>
              <w:right w:val="nil"/>
            </w:tcBorders>
            <w:tcMar>
              <w:top w:w="0" w:type="dxa"/>
              <w:left w:w="0"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0.02 </w:t>
            </w:r>
          </w:p>
        </w:tc>
        <w:tc>
          <w:tcPr>
            <w:tcW w:w="100" w:type="dxa"/>
            <w:tcBorders>
              <w:top w:val="nil"/>
              <w:left w:val="nil"/>
              <w:bottom w:val="nil"/>
              <w:right w:val="nil"/>
            </w:tcBorders>
            <w:tcMar>
              <w:top w:w="0" w:type="dxa"/>
              <w:left w:w="0" w:type="dxa"/>
              <w:bottom w:w="0" w:type="dxa"/>
              <w:right w:w="15" w:type="dxa"/>
            </w:tcMar>
            <w:vAlign w:val="bottom"/>
          </w:tcPr>
          <w:p w:rsidR="00181083" w:rsidRDefault="00181083">
            <w:pPr>
              <w:keepNext/>
              <w:spacing w:before="53" w:after="30"/>
              <w:jc w:val="right"/>
            </w:pPr>
          </w:p>
        </w:tc>
        <w:tc>
          <w:tcPr>
            <w:tcW w:w="160" w:type="dxa"/>
            <w:tcBorders>
              <w:top w:val="nil"/>
              <w:left w:val="nil"/>
              <w:bottom w:val="nil"/>
              <w:right w:val="nil"/>
            </w:tcBorders>
            <w:tcMar>
              <w:top w:w="0" w:type="dxa"/>
              <w:left w:w="53" w:type="dxa"/>
              <w:bottom w:w="0" w:type="dxa"/>
              <w:right w:w="0" w:type="dxa"/>
            </w:tcMar>
            <w:vAlign w:val="bottom"/>
          </w:tcPr>
          <w:p w:rsidR="00181083" w:rsidRDefault="0010173D">
            <w:pPr>
              <w:keepNext/>
              <w:spacing w:before="53" w:after="30"/>
            </w:pPr>
            <w:r>
              <w:rPr>
                <w:rFonts w:ascii="Arial" w:eastAsia="Arial" w:hAnsi="Arial" w:cs="Arial"/>
                <w:color w:val="000000"/>
                <w:sz w:val="18"/>
              </w:rPr>
              <w:t>$</w:t>
            </w:r>
          </w:p>
        </w:tc>
        <w:tc>
          <w:tcPr>
            <w:tcW w:w="1315" w:type="dxa"/>
            <w:tcBorders>
              <w:top w:val="nil"/>
              <w:left w:val="nil"/>
              <w:bottom w:val="nil"/>
              <w:right w:val="nil"/>
            </w:tcBorders>
            <w:tcMar>
              <w:top w:w="0" w:type="dxa"/>
              <w:left w:w="0" w:type="dxa"/>
              <w:bottom w:w="0" w:type="dxa"/>
              <w:right w:w="0" w:type="dxa"/>
            </w:tcMar>
            <w:vAlign w:val="bottom"/>
          </w:tcPr>
          <w:p w:rsidR="00181083" w:rsidRDefault="0010173D">
            <w:pPr>
              <w:keepNext/>
              <w:spacing w:before="53" w:after="30"/>
              <w:jc w:val="right"/>
            </w:pPr>
            <w:r>
              <w:rPr>
                <w:rFonts w:ascii="Arial" w:eastAsia="Arial" w:hAnsi="Arial" w:cs="Arial"/>
                <w:color w:val="000000"/>
                <w:sz w:val="18"/>
              </w:rPr>
              <w:t>(0.18)</w:t>
            </w:r>
          </w:p>
        </w:tc>
        <w:tc>
          <w:tcPr>
            <w:tcW w:w="100" w:type="dxa"/>
            <w:tcBorders>
              <w:top w:val="nil"/>
              <w:left w:val="nil"/>
              <w:bottom w:val="nil"/>
              <w:right w:val="nil"/>
            </w:tcBorders>
            <w:tcMar>
              <w:top w:w="0" w:type="dxa"/>
              <w:left w:w="0" w:type="dxa"/>
              <w:bottom w:w="0" w:type="dxa"/>
              <w:right w:w="15" w:type="dxa"/>
            </w:tcMar>
            <w:vAlign w:val="bottom"/>
          </w:tcPr>
          <w:p w:rsidR="00181083" w:rsidRDefault="00181083">
            <w:pPr>
              <w:keepNext/>
              <w:spacing w:before="53" w:after="30"/>
              <w:jc w:val="right"/>
            </w:pPr>
          </w:p>
        </w:tc>
      </w:tr>
      <w:tr w:rsidR="00181083">
        <w:trPr>
          <w:cantSplit/>
          <w:trHeight w:hRule="exact" w:val="300"/>
          <w:jc w:val="center"/>
        </w:trPr>
        <w:tc>
          <w:tcPr>
            <w:tcW w:w="1260" w:type="dxa"/>
            <w:tcBorders>
              <w:top w:val="nil"/>
              <w:left w:val="nil"/>
              <w:bottom w:val="nil"/>
              <w:right w:val="nil"/>
            </w:tcBorders>
            <w:tcMar>
              <w:top w:w="0" w:type="dxa"/>
              <w:left w:w="0" w:type="dxa"/>
              <w:bottom w:w="0" w:type="dxa"/>
              <w:right w:w="0" w:type="dxa"/>
            </w:tcMar>
            <w:vAlign w:val="bottom"/>
          </w:tcPr>
          <w:p w:rsidR="00181083" w:rsidRDefault="00181083"/>
        </w:tc>
        <w:tc>
          <w:tcPr>
            <w:tcW w:w="1260" w:type="dxa"/>
            <w:tcBorders>
              <w:top w:val="nil"/>
              <w:left w:val="nil"/>
              <w:bottom w:val="nil"/>
              <w:right w:val="nil"/>
            </w:tcBorders>
            <w:tcMar>
              <w:top w:w="0" w:type="dxa"/>
              <w:left w:w="0" w:type="dxa"/>
              <w:bottom w:w="0" w:type="dxa"/>
              <w:right w:w="0" w:type="dxa"/>
            </w:tcMar>
            <w:vAlign w:val="bottom"/>
          </w:tcPr>
          <w:p w:rsidR="00181083" w:rsidRDefault="00181083"/>
        </w:tc>
        <w:tc>
          <w:tcPr>
            <w:tcW w:w="1260" w:type="dxa"/>
            <w:tcBorders>
              <w:top w:val="nil"/>
              <w:left w:val="nil"/>
              <w:bottom w:val="nil"/>
              <w:right w:val="nil"/>
            </w:tcBorders>
            <w:tcMar>
              <w:top w:w="0" w:type="dxa"/>
              <w:left w:w="0" w:type="dxa"/>
              <w:bottom w:w="0" w:type="dxa"/>
              <w:right w:w="0" w:type="dxa"/>
            </w:tcMar>
            <w:vAlign w:val="bottom"/>
          </w:tcPr>
          <w:p w:rsidR="00181083" w:rsidRDefault="00181083"/>
        </w:tc>
        <w:tc>
          <w:tcPr>
            <w:tcW w:w="1260" w:type="dxa"/>
            <w:tcBorders>
              <w:top w:val="nil"/>
              <w:left w:val="nil"/>
              <w:bottom w:val="nil"/>
              <w:right w:val="nil"/>
            </w:tcBorders>
            <w:tcMar>
              <w:top w:w="0" w:type="dxa"/>
              <w:left w:w="0" w:type="dxa"/>
              <w:bottom w:w="0" w:type="dxa"/>
              <w:right w:w="0" w:type="dxa"/>
            </w:tcMar>
            <w:vAlign w:val="bottom"/>
          </w:tcPr>
          <w:p w:rsidR="00181083" w:rsidRDefault="00181083"/>
        </w:tc>
        <w:tc>
          <w:tcPr>
            <w:tcW w:w="1260" w:type="dxa"/>
            <w:tcBorders>
              <w:top w:val="nil"/>
              <w:left w:val="nil"/>
              <w:bottom w:val="nil"/>
              <w:right w:val="nil"/>
            </w:tcBorders>
            <w:tcMar>
              <w:top w:w="0" w:type="dxa"/>
              <w:left w:w="0" w:type="dxa"/>
              <w:bottom w:w="0" w:type="dxa"/>
              <w:right w:w="0" w:type="dxa"/>
            </w:tcMar>
            <w:vAlign w:val="bottom"/>
          </w:tcPr>
          <w:p w:rsidR="00181083" w:rsidRDefault="00181083"/>
        </w:tc>
        <w:tc>
          <w:tcPr>
            <w:tcW w:w="855" w:type="dxa"/>
            <w:tcBorders>
              <w:top w:val="nil"/>
              <w:left w:val="nil"/>
              <w:bottom w:val="nil"/>
              <w:right w:val="nil"/>
            </w:tcBorders>
            <w:tcMar>
              <w:top w:w="0" w:type="dxa"/>
              <w:left w:w="0" w:type="dxa"/>
              <w:bottom w:w="0" w:type="dxa"/>
              <w:right w:w="0" w:type="dxa"/>
            </w:tcMar>
            <w:vAlign w:val="bottom"/>
          </w:tcPr>
          <w:p w:rsidR="00181083" w:rsidRDefault="00181083"/>
        </w:tc>
        <w:tc>
          <w:tcPr>
            <w:tcW w:w="1515" w:type="dxa"/>
            <w:gridSpan w:val="3"/>
            <w:tcBorders>
              <w:top w:val="nil"/>
              <w:left w:val="nil"/>
              <w:bottom w:val="nil"/>
              <w:right w:val="nil"/>
            </w:tcBorders>
            <w:tcMar>
              <w:top w:w="0" w:type="dxa"/>
              <w:left w:w="0" w:type="dxa"/>
              <w:bottom w:w="0" w:type="dxa"/>
              <w:right w:w="0" w:type="dxa"/>
            </w:tcMar>
            <w:vAlign w:val="bottom"/>
          </w:tcPr>
          <w:p w:rsidR="00181083" w:rsidRDefault="00181083"/>
        </w:tc>
        <w:tc>
          <w:tcPr>
            <w:tcW w:w="1575" w:type="dxa"/>
            <w:gridSpan w:val="3"/>
            <w:tcBorders>
              <w:top w:val="nil"/>
              <w:left w:val="nil"/>
              <w:bottom w:val="nil"/>
              <w:right w:val="nil"/>
            </w:tcBorders>
            <w:tcMar>
              <w:top w:w="0" w:type="dxa"/>
              <w:left w:w="0" w:type="dxa"/>
              <w:bottom w:w="0" w:type="dxa"/>
              <w:right w:w="0" w:type="dxa"/>
            </w:tcMar>
            <w:vAlign w:val="bottom"/>
          </w:tcPr>
          <w:p w:rsidR="00181083" w:rsidRDefault="00181083"/>
        </w:tc>
      </w:tr>
    </w:tbl>
    <w:p w:rsidR="00181083" w:rsidRDefault="00181083">
      <w:pPr>
        <w:spacing w:line="288" w:lineRule="auto"/>
        <w:rPr>
          <w:sz w:val="20"/>
        </w:rPr>
      </w:pPr>
    </w:p>
    <w:p w:rsidR="00181083" w:rsidRDefault="00181083">
      <w:pPr>
        <w:spacing w:line="288" w:lineRule="auto"/>
        <w:rPr>
          <w:rFonts w:ascii="Arial" w:eastAsia="Arial" w:hAnsi="Arial" w:cs="Arial"/>
          <w:sz w:val="18"/>
        </w:rPr>
      </w:pPr>
    </w:p>
    <w:p w:rsidR="00181083" w:rsidRDefault="0010173D">
      <w:pPr>
        <w:spacing w:line="288" w:lineRule="auto"/>
        <w:rPr>
          <w:rFonts w:ascii="Arial" w:eastAsia="Arial" w:hAnsi="Arial" w:cs="Arial"/>
          <w:sz w:val="18"/>
        </w:rPr>
      </w:pPr>
      <w:r>
        <w:rPr>
          <w:rFonts w:ascii="Arial" w:eastAsia="Arial" w:hAnsi="Arial" w:cs="Arial"/>
          <w:sz w:val="18"/>
        </w:rPr>
        <w:t>Further non-GAAP reconciliation data are available at www.thedixiegroup.com under the Investor Relations section</w:t>
      </w:r>
      <w:r>
        <w:rPr>
          <w:sz w:val="18"/>
        </w:rPr>
        <w:t>.</w:t>
      </w:r>
    </w:p>
    <w:tbl>
      <w:tblPr>
        <w:tblW w:w="10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4"/>
        <w:gridCol w:w="1331"/>
        <w:gridCol w:w="107"/>
        <w:gridCol w:w="1331"/>
        <w:gridCol w:w="184"/>
        <w:gridCol w:w="1331"/>
        <w:gridCol w:w="107"/>
        <w:gridCol w:w="1331"/>
      </w:tblGrid>
      <w:tr w:rsidR="00181083">
        <w:trPr>
          <w:cantSplit/>
          <w:trHeight w:hRule="exact" w:val="75"/>
        </w:trPr>
        <w:tc>
          <w:tcPr>
            <w:tcW w:w="4680" w:type="dxa"/>
            <w:tcBorders>
              <w:top w:val="nil"/>
              <w:left w:val="nil"/>
              <w:bottom w:val="nil"/>
              <w:right w:val="nil"/>
            </w:tcBorders>
            <w:tcMar>
              <w:top w:w="0" w:type="dxa"/>
              <w:left w:w="0" w:type="dxa"/>
              <w:bottom w:w="0" w:type="dxa"/>
              <w:right w:w="0" w:type="dxa"/>
            </w:tcMar>
            <w:vAlign w:val="bottom"/>
          </w:tcPr>
          <w:p w:rsidR="00181083" w:rsidRDefault="00181083"/>
        </w:tc>
        <w:tc>
          <w:tcPr>
            <w:tcW w:w="1305" w:type="dxa"/>
            <w:tcBorders>
              <w:top w:val="nil"/>
              <w:left w:val="nil"/>
              <w:bottom w:val="nil"/>
              <w:right w:val="nil"/>
            </w:tcBorders>
            <w:tcMar>
              <w:top w:w="0" w:type="dxa"/>
              <w:left w:w="0" w:type="dxa"/>
              <w:bottom w:w="0" w:type="dxa"/>
              <w:right w:w="0" w:type="dxa"/>
            </w:tcMar>
            <w:vAlign w:val="bottom"/>
          </w:tcPr>
          <w:p w:rsidR="00181083" w:rsidRDefault="00181083"/>
        </w:tc>
        <w:tc>
          <w:tcPr>
            <w:tcW w:w="105" w:type="dxa"/>
            <w:tcBorders>
              <w:top w:val="nil"/>
              <w:left w:val="nil"/>
              <w:bottom w:val="nil"/>
              <w:right w:val="nil"/>
            </w:tcBorders>
            <w:tcMar>
              <w:top w:w="0" w:type="dxa"/>
              <w:left w:w="0" w:type="dxa"/>
              <w:bottom w:w="0" w:type="dxa"/>
              <w:right w:w="0" w:type="dxa"/>
            </w:tcMar>
            <w:vAlign w:val="bottom"/>
          </w:tcPr>
          <w:p w:rsidR="00181083" w:rsidRDefault="00181083"/>
        </w:tc>
        <w:tc>
          <w:tcPr>
            <w:tcW w:w="1305" w:type="dxa"/>
            <w:tcBorders>
              <w:top w:val="nil"/>
              <w:left w:val="nil"/>
              <w:bottom w:val="nil"/>
              <w:right w:val="nil"/>
            </w:tcBorders>
            <w:tcMar>
              <w:top w:w="0" w:type="dxa"/>
              <w:left w:w="0" w:type="dxa"/>
              <w:bottom w:w="0" w:type="dxa"/>
              <w:right w:w="0" w:type="dxa"/>
            </w:tcMar>
            <w:vAlign w:val="bottom"/>
          </w:tcPr>
          <w:p w:rsidR="00181083" w:rsidRDefault="00181083"/>
        </w:tc>
        <w:tc>
          <w:tcPr>
            <w:tcW w:w="180" w:type="dxa"/>
            <w:tcBorders>
              <w:top w:val="nil"/>
              <w:left w:val="nil"/>
              <w:bottom w:val="nil"/>
              <w:right w:val="nil"/>
            </w:tcBorders>
            <w:tcMar>
              <w:top w:w="0" w:type="dxa"/>
              <w:left w:w="0" w:type="dxa"/>
              <w:bottom w:w="0" w:type="dxa"/>
              <w:right w:w="0" w:type="dxa"/>
            </w:tcMar>
            <w:vAlign w:val="bottom"/>
          </w:tcPr>
          <w:p w:rsidR="00181083" w:rsidRDefault="00181083"/>
        </w:tc>
        <w:tc>
          <w:tcPr>
            <w:tcW w:w="1305" w:type="dxa"/>
            <w:tcBorders>
              <w:top w:val="nil"/>
              <w:left w:val="nil"/>
              <w:bottom w:val="nil"/>
              <w:right w:val="nil"/>
            </w:tcBorders>
            <w:tcMar>
              <w:top w:w="0" w:type="dxa"/>
              <w:left w:w="0" w:type="dxa"/>
              <w:bottom w:w="0" w:type="dxa"/>
              <w:right w:w="0" w:type="dxa"/>
            </w:tcMar>
            <w:vAlign w:val="bottom"/>
          </w:tcPr>
          <w:p w:rsidR="00181083" w:rsidRDefault="00181083"/>
        </w:tc>
        <w:tc>
          <w:tcPr>
            <w:tcW w:w="105" w:type="dxa"/>
            <w:tcBorders>
              <w:top w:val="nil"/>
              <w:left w:val="nil"/>
              <w:bottom w:val="nil"/>
              <w:right w:val="nil"/>
            </w:tcBorders>
            <w:tcMar>
              <w:top w:w="0" w:type="dxa"/>
              <w:left w:w="0" w:type="dxa"/>
              <w:bottom w:w="0" w:type="dxa"/>
              <w:right w:w="0" w:type="dxa"/>
            </w:tcMar>
            <w:vAlign w:val="bottom"/>
          </w:tcPr>
          <w:p w:rsidR="00181083" w:rsidRDefault="00181083"/>
        </w:tc>
        <w:tc>
          <w:tcPr>
            <w:tcW w:w="1305" w:type="dxa"/>
            <w:tcBorders>
              <w:top w:val="nil"/>
              <w:left w:val="nil"/>
              <w:bottom w:val="nil"/>
              <w:right w:val="nil"/>
            </w:tcBorders>
            <w:tcMar>
              <w:top w:w="0" w:type="dxa"/>
              <w:left w:w="0" w:type="dxa"/>
              <w:bottom w:w="0" w:type="dxa"/>
              <w:right w:w="0" w:type="dxa"/>
            </w:tcMar>
            <w:vAlign w:val="bottom"/>
          </w:tcPr>
          <w:p w:rsidR="00181083" w:rsidRDefault="00181083"/>
        </w:tc>
      </w:tr>
    </w:tbl>
    <w:p w:rsidR="00181083" w:rsidRDefault="00181083">
      <w:pPr>
        <w:spacing w:line="288" w:lineRule="auto"/>
        <w:rPr>
          <w:sz w:val="20"/>
        </w:rPr>
      </w:pPr>
    </w:p>
    <w:sectPr w:rsidR="00181083">
      <w:headerReference w:type="default" r:id="rId14"/>
      <w:footerReference w:type="default" r:id="rId15"/>
      <w:pgSz w:w="12240" w:h="15840"/>
      <w:pgMar w:top="1350" w:right="990" w:bottom="900" w:left="990" w:header="270" w:footer="270" w:gutter="0"/>
      <w:pgNumType w:start="5"/>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0173D">
      <w:r>
        <w:separator/>
      </w:r>
    </w:p>
  </w:endnote>
  <w:endnote w:type="continuationSeparator" w:id="0">
    <w:p w:rsidR="00000000" w:rsidRDefault="00101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083" w:rsidRDefault="0010173D">
    <w:pPr>
      <w:spacing w:line="288" w:lineRule="auto"/>
      <w:jc w:val="center"/>
      <w:rPr>
        <w:rFonts w:ascii="Arial" w:eastAsia="Arial" w:hAnsi="Arial" w:cs="Arial"/>
        <w:sz w:val="20"/>
      </w:rPr>
    </w:pPr>
    <w:r>
      <w:rPr>
        <w:rFonts w:ascii="Arial" w:eastAsia="Arial" w:hAnsi="Arial" w:cs="Arial"/>
        <w:sz w:val="20"/>
      </w:rPr>
      <w:t>-MORE-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083" w:rsidRDefault="0010173D">
    <w:pPr>
      <w:spacing w:line="288" w:lineRule="auto"/>
      <w:jc w:val="center"/>
      <w:rPr>
        <w:rFonts w:ascii="Arial" w:eastAsia="Arial" w:hAnsi="Arial" w:cs="Arial"/>
        <w:sz w:val="18"/>
      </w:rPr>
    </w:pPr>
    <w:r>
      <w:rPr>
        <w:rFonts w:ascii="Arial" w:eastAsia="Arial" w:hAnsi="Arial" w:cs="Arial"/>
        <w:sz w:val="18"/>
      </w:rPr>
      <w:t>- END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0173D">
      <w:r>
        <w:separator/>
      </w:r>
    </w:p>
  </w:footnote>
  <w:footnote w:type="continuationSeparator" w:id="0">
    <w:p w:rsidR="00000000" w:rsidRDefault="0010173D">
      <w:r>
        <w:continuationSeparator/>
      </w:r>
    </w:p>
  </w:footnote>
  <w:footnote w:id="1">
    <w:p w:rsidR="00181083" w:rsidRDefault="0010173D">
      <w:pPr>
        <w:pStyle w:val="FootnoteText"/>
        <w:spacing w:line="288" w:lineRule="auto"/>
        <w:jc w:val="both"/>
        <w:rPr>
          <w:rFonts w:ascii="Arial" w:eastAsia="Arial" w:hAnsi="Arial" w:cs="Arial"/>
          <w:sz w:val="18"/>
        </w:rPr>
      </w:pPr>
      <w:r>
        <w:rPr>
          <w:rStyle w:val="FootnoteReference"/>
          <w:rFonts w:ascii="Arial" w:eastAsia="Arial" w:hAnsi="Arial" w:cs="Arial"/>
          <w:sz w:val="18"/>
        </w:rPr>
        <w:footnoteRef/>
      </w:r>
      <w:r>
        <w:rPr>
          <w:rFonts w:ascii="Arial" w:eastAsia="Arial" w:hAnsi="Arial" w:cs="Arial"/>
          <w:sz w:val="18"/>
        </w:rPr>
        <w:t xml:space="preserve"> Due to the COVID-19 pandemic the Company paid certain non-service wages and related health insurance charges for the safety, welfare and retention of our employees. The expenses were incurred </w:t>
      </w:r>
      <w:r>
        <w:rPr>
          <w:rFonts w:ascii="Arial" w:eastAsia="Arial" w:hAnsi="Arial" w:cs="Arial"/>
          <w:sz w:val="18"/>
        </w:rPr>
        <w:t xml:space="preserve">through the second, third and fourth quarter of 2020 and were partially offset by the employee retention credit allowed under the CARES Act. </w:t>
      </w:r>
    </w:p>
    <w:p w:rsidR="00181083" w:rsidRDefault="00181083">
      <w:pPr>
        <w:pStyle w:val="FootnoteText"/>
        <w:spacing w:line="288" w:lineRule="auto"/>
        <w:jc w:val="both"/>
        <w:rPr>
          <w:rFonts w:ascii="Arial" w:eastAsia="Arial" w:hAnsi="Arial" w:cs="Arial"/>
        </w:rPr>
      </w:pPr>
    </w:p>
  </w:footnote>
  <w:footnote w:id="2">
    <w:p w:rsidR="00181083" w:rsidRDefault="0010173D">
      <w:pPr>
        <w:pStyle w:val="FootnoteText"/>
        <w:spacing w:line="288" w:lineRule="auto"/>
        <w:jc w:val="both"/>
        <w:rPr>
          <w:rFonts w:ascii="Arial" w:eastAsia="Arial" w:hAnsi="Arial" w:cs="Arial"/>
          <w:sz w:val="18"/>
        </w:rPr>
      </w:pPr>
      <w:r>
        <w:rPr>
          <w:rStyle w:val="FootnoteReference"/>
          <w:rFonts w:ascii="Arial" w:eastAsia="Arial" w:hAnsi="Arial" w:cs="Arial"/>
          <w:sz w:val="18"/>
        </w:rPr>
        <w:footnoteRef/>
      </w:r>
      <w:r>
        <w:rPr>
          <w:rFonts w:ascii="Arial" w:eastAsia="Arial" w:hAnsi="Arial" w:cs="Arial"/>
          <w:sz w:val="18"/>
        </w:rPr>
        <w:t xml:space="preserve"> During the fourth quarter, as part of the termination of a certain derivative contract and financing agreements</w:t>
      </w:r>
      <w:r>
        <w:rPr>
          <w:rFonts w:ascii="Arial" w:eastAsia="Arial" w:hAnsi="Arial" w:cs="Arial"/>
          <w:sz w:val="18"/>
        </w:rPr>
        <w:t>, the Company fully expensed certain accrued amounts. These expenses would have normally been incurred over a prolonged period.</w:t>
      </w:r>
    </w:p>
    <w:p w:rsidR="00181083" w:rsidRDefault="00181083">
      <w:pPr>
        <w:pStyle w:val="FootnoteText"/>
        <w:spacing w:line="288" w:lineRule="auto"/>
        <w:jc w:val="both"/>
        <w:rPr>
          <w:rFonts w:ascii="Arial" w:eastAsia="Arial" w:hAnsi="Arial" w:cs="Arial"/>
        </w:rPr>
      </w:pPr>
    </w:p>
  </w:footnote>
  <w:footnote w:id="3">
    <w:p w:rsidR="00181083" w:rsidRDefault="0010173D">
      <w:pPr>
        <w:pStyle w:val="FootnoteText"/>
        <w:spacing w:line="288" w:lineRule="auto"/>
        <w:jc w:val="both"/>
        <w:rPr>
          <w:rFonts w:ascii="Arial" w:eastAsia="Arial" w:hAnsi="Arial" w:cs="Arial"/>
          <w:sz w:val="18"/>
        </w:rPr>
      </w:pPr>
      <w:r>
        <w:rPr>
          <w:rStyle w:val="FootnoteReference"/>
          <w:rFonts w:ascii="Arial" w:eastAsia="Arial" w:hAnsi="Arial" w:cs="Arial"/>
          <w:sz w:val="18"/>
        </w:rPr>
        <w:footnoteRef/>
      </w:r>
      <w:r>
        <w:rPr>
          <w:rFonts w:ascii="Arial" w:eastAsia="Arial" w:hAnsi="Arial" w:cs="Arial"/>
          <w:sz w:val="18"/>
        </w:rPr>
        <w:t xml:space="preserve"> The Company recognized a tax benefit in the fourth quarter related to the termination of the certain derivative contract </w:t>
      </w:r>
      <w:r>
        <w:rPr>
          <w:rFonts w:ascii="Arial" w:eastAsia="Arial" w:hAnsi="Arial" w:cs="Arial"/>
          <w:sz w:val="18"/>
        </w:rPr>
        <w:t>noted in footnote two. Otherwise the company has a full valuation allowance against its deferred tax balances other than small state tax amounts.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083" w:rsidRDefault="00181083">
    <w:pPr>
      <w:spacing w:line="288" w:lineRule="auto"/>
      <w:rPr>
        <w:rFonts w:ascii="Arial" w:eastAsia="Arial" w:hAnsi="Arial" w:cs="Arial"/>
        <w:sz w:val="20"/>
      </w:rPr>
    </w:pPr>
  </w:p>
  <w:p w:rsidR="00181083" w:rsidRDefault="0010173D">
    <w:pPr>
      <w:spacing w:line="288" w:lineRule="auto"/>
      <w:outlineLvl w:val="0"/>
      <w:rPr>
        <w:rFonts w:ascii="Arial" w:eastAsia="Arial" w:hAnsi="Arial" w:cs="Arial"/>
        <w:sz w:val="20"/>
      </w:rPr>
    </w:pPr>
    <w:r>
      <w:rPr>
        <w:rFonts w:ascii="Arial" w:eastAsia="Arial" w:hAnsi="Arial" w:cs="Arial"/>
        <w:sz w:val="20"/>
      </w:rPr>
      <w:t>Exhibit 99.1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083" w:rsidRDefault="0010173D">
    <w:pPr>
      <w:keepLines/>
      <w:widowControl w:val="0"/>
      <w:spacing w:line="288" w:lineRule="auto"/>
      <w:outlineLvl w:val="0"/>
      <w:rPr>
        <w:rFonts w:ascii="Arial" w:eastAsia="Arial" w:hAnsi="Arial" w:cs="Arial"/>
        <w:sz w:val="20"/>
      </w:rPr>
    </w:pPr>
    <w:r>
      <w:rPr>
        <w:rFonts w:ascii="Arial" w:eastAsia="Arial" w:hAnsi="Arial" w:cs="Arial"/>
        <w:sz w:val="20"/>
      </w:rPr>
      <w:t>The Dixie Group Reports 2020 Results</w:t>
    </w:r>
  </w:p>
  <w:p w:rsidR="00181083" w:rsidRDefault="0010173D">
    <w:pPr>
      <w:spacing w:line="288" w:lineRule="auto"/>
      <w:rPr>
        <w:rFonts w:ascii="Arial" w:eastAsia="Arial" w:hAnsi="Arial" w:cs="Arial"/>
        <w:sz w:val="20"/>
      </w:rPr>
    </w:pPr>
    <w:r>
      <w:rPr>
        <w:rFonts w:ascii="Arial" w:eastAsia="Arial" w:hAnsi="Arial" w:cs="Arial"/>
        <w:sz w:val="20"/>
      </w:rPr>
      <w:t xml:space="preserve">Page </w:t>
    </w:r>
    <w:r>
      <w:rPr>
        <w:rFonts w:ascii="Arial" w:eastAsia="Arial" w:hAnsi="Arial" w:cs="Arial"/>
        <w:sz w:val="20"/>
      </w:rPr>
      <w:fldChar w:fldCharType="begin"/>
    </w:r>
    <w:r>
      <w:rPr>
        <w:rFonts w:ascii="Arial" w:eastAsia="Arial" w:hAnsi="Arial" w:cs="Arial"/>
        <w:sz w:val="20"/>
      </w:rPr>
      <w:instrText xml:space="preserve"> PAGE </w:instrText>
    </w:r>
    <w:r>
      <w:rPr>
        <w:rFonts w:ascii="Arial" w:eastAsia="Arial" w:hAnsi="Arial" w:cs="Arial"/>
        <w:sz w:val="20"/>
      </w:rPr>
      <w:fldChar w:fldCharType="separate"/>
    </w:r>
    <w:r>
      <w:rPr>
        <w:rFonts w:ascii="Arial" w:eastAsia="Arial" w:hAnsi="Arial" w:cs="Arial"/>
        <w:noProof/>
        <w:sz w:val="20"/>
      </w:rPr>
      <w:t>2</w:t>
    </w:r>
    <w:r>
      <w:rPr>
        <w:rFonts w:ascii="Arial" w:eastAsia="Arial" w:hAnsi="Arial" w:cs="Arial"/>
        <w:sz w:val="20"/>
      </w:rPr>
      <w:fldChar w:fldCharType="end"/>
    </w:r>
  </w:p>
  <w:p w:rsidR="00181083" w:rsidRDefault="0010173D">
    <w:pPr>
      <w:spacing w:line="288" w:lineRule="auto"/>
      <w:rPr>
        <w:rFonts w:ascii="Arial" w:eastAsia="Arial" w:hAnsi="Arial" w:cs="Arial"/>
        <w:sz w:val="20"/>
      </w:rPr>
    </w:pPr>
    <w:r>
      <w:rPr>
        <w:rFonts w:ascii="Arial" w:eastAsia="Arial" w:hAnsi="Arial" w:cs="Arial"/>
        <w:sz w:val="20"/>
      </w:rPr>
      <w:t>March 4, 2021</w:t>
    </w:r>
  </w:p>
  <w:p w:rsidR="00181083" w:rsidRDefault="00181083">
    <w:pPr>
      <w:spacing w:line="288" w:lineRule="auto"/>
      <w:rPr>
        <w:rFonts w:ascii="Arial" w:eastAsia="Arial" w:hAnsi="Arial" w:cs="Arial"/>
        <w:sz w:val="20"/>
      </w:rPr>
    </w:pPr>
  </w:p>
  <w:p w:rsidR="00181083" w:rsidRDefault="00181083">
    <w:pPr>
      <w:spacing w:line="288" w:lineRule="auto"/>
      <w:rPr>
        <w:rFonts w:ascii="Arial" w:eastAsia="Arial" w:hAnsi="Arial" w:cs="Arial"/>
        <w:sz w:val="20"/>
      </w:rPr>
    </w:pPr>
  </w:p>
  <w:p w:rsidR="00181083" w:rsidRDefault="00181083">
    <w:pPr>
      <w:spacing w:line="288" w:lineRule="auto"/>
      <w:rPr>
        <w:rFonts w:ascii="Arial" w:eastAsia="Arial" w:hAnsi="Arial" w:cs="Arial"/>
        <w:sz w:val="20"/>
      </w:rPr>
    </w:pPr>
  </w:p>
  <w:p w:rsidR="00181083" w:rsidRDefault="00181083">
    <w:pPr>
      <w:spacing w:line="288" w:lineRule="auto"/>
      <w:rPr>
        <w:rFonts w:ascii="Arial" w:eastAsia="Arial" w:hAnsi="Arial"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083" w:rsidRDefault="0010173D">
    <w:pPr>
      <w:keepLines/>
      <w:widowControl w:val="0"/>
      <w:spacing w:line="288" w:lineRule="auto"/>
      <w:outlineLvl w:val="0"/>
      <w:rPr>
        <w:rFonts w:ascii="Arial" w:eastAsia="Arial" w:hAnsi="Arial" w:cs="Arial"/>
        <w:sz w:val="20"/>
      </w:rPr>
    </w:pPr>
    <w:r>
      <w:rPr>
        <w:rFonts w:ascii="Arial" w:eastAsia="Arial" w:hAnsi="Arial" w:cs="Arial"/>
        <w:sz w:val="20"/>
      </w:rPr>
      <w:t>The Dixie Group Reports 2020 Results</w:t>
    </w:r>
  </w:p>
  <w:p w:rsidR="00181083" w:rsidRDefault="0010173D">
    <w:pPr>
      <w:spacing w:line="288" w:lineRule="auto"/>
      <w:rPr>
        <w:rFonts w:ascii="Arial" w:eastAsia="Arial" w:hAnsi="Arial" w:cs="Arial"/>
        <w:sz w:val="20"/>
      </w:rPr>
    </w:pPr>
    <w:r>
      <w:rPr>
        <w:rFonts w:ascii="Arial" w:eastAsia="Arial" w:hAnsi="Arial" w:cs="Arial"/>
        <w:sz w:val="20"/>
      </w:rPr>
      <w:t xml:space="preserve">Page </w:t>
    </w:r>
    <w:r>
      <w:rPr>
        <w:rFonts w:ascii="Arial" w:eastAsia="Arial" w:hAnsi="Arial" w:cs="Arial"/>
        <w:sz w:val="20"/>
      </w:rPr>
      <w:fldChar w:fldCharType="begin"/>
    </w:r>
    <w:r>
      <w:rPr>
        <w:rFonts w:ascii="Arial" w:eastAsia="Arial" w:hAnsi="Arial" w:cs="Arial"/>
        <w:sz w:val="20"/>
      </w:rPr>
      <w:instrText xml:space="preserve"> PAGE </w:instrText>
    </w:r>
    <w:r>
      <w:rPr>
        <w:rFonts w:ascii="Arial" w:eastAsia="Arial" w:hAnsi="Arial" w:cs="Arial"/>
        <w:sz w:val="20"/>
      </w:rPr>
      <w:fldChar w:fldCharType="separate"/>
    </w:r>
    <w:r>
      <w:rPr>
        <w:rFonts w:ascii="Arial" w:eastAsia="Arial" w:hAnsi="Arial" w:cs="Arial"/>
        <w:noProof/>
        <w:sz w:val="20"/>
      </w:rPr>
      <w:t>3</w:t>
    </w:r>
    <w:r>
      <w:rPr>
        <w:rFonts w:ascii="Arial" w:eastAsia="Arial" w:hAnsi="Arial" w:cs="Arial"/>
        <w:sz w:val="20"/>
      </w:rPr>
      <w:fldChar w:fldCharType="end"/>
    </w:r>
  </w:p>
  <w:p w:rsidR="00181083" w:rsidRDefault="0010173D">
    <w:pPr>
      <w:spacing w:line="288" w:lineRule="auto"/>
      <w:rPr>
        <w:rFonts w:ascii="Arial" w:eastAsia="Arial" w:hAnsi="Arial" w:cs="Arial"/>
        <w:sz w:val="20"/>
      </w:rPr>
    </w:pPr>
    <w:r>
      <w:rPr>
        <w:rFonts w:ascii="Arial" w:eastAsia="Arial" w:hAnsi="Arial" w:cs="Arial"/>
        <w:sz w:val="20"/>
      </w:rPr>
      <w:t>March 4, 2021</w:t>
    </w:r>
  </w:p>
  <w:p w:rsidR="00181083" w:rsidRDefault="00181083">
    <w:pPr>
      <w:spacing w:line="288" w:lineRule="auto"/>
      <w:rPr>
        <w:rFonts w:ascii="Arial" w:eastAsia="Arial" w:hAnsi="Arial" w:cs="Arial"/>
        <w:sz w:val="20"/>
      </w:rPr>
    </w:pPr>
  </w:p>
  <w:p w:rsidR="00181083" w:rsidRDefault="00181083">
    <w:pPr>
      <w:spacing w:line="288" w:lineRule="auto"/>
      <w:rPr>
        <w:rFonts w:ascii="Arial" w:eastAsia="Arial" w:hAnsi="Arial" w:cs="Arial"/>
        <w:sz w:val="20"/>
      </w:rPr>
    </w:pPr>
  </w:p>
  <w:p w:rsidR="00181083" w:rsidRDefault="00181083">
    <w:pPr>
      <w:spacing w:line="288" w:lineRule="auto"/>
      <w:rPr>
        <w:rFonts w:ascii="Arial" w:eastAsia="Arial" w:hAnsi="Arial" w:cs="Arial"/>
        <w:sz w:val="20"/>
      </w:rPr>
    </w:pPr>
  </w:p>
  <w:p w:rsidR="00181083" w:rsidRDefault="00181083">
    <w:pPr>
      <w:spacing w:line="288" w:lineRule="auto"/>
      <w:rPr>
        <w:rFonts w:ascii="Arial" w:eastAsia="Arial" w:hAnsi="Arial" w:cs="Arial"/>
        <w:sz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083" w:rsidRDefault="0010173D">
    <w:pPr>
      <w:spacing w:line="288" w:lineRule="auto"/>
      <w:ind w:right="-270"/>
      <w:outlineLvl w:val="0"/>
      <w:rPr>
        <w:rFonts w:ascii="Arial" w:eastAsia="Arial" w:hAnsi="Arial" w:cs="Arial"/>
        <w:sz w:val="20"/>
      </w:rPr>
    </w:pPr>
    <w:r>
      <w:rPr>
        <w:rFonts w:ascii="Arial" w:eastAsia="Arial" w:hAnsi="Arial" w:cs="Arial"/>
        <w:sz w:val="20"/>
      </w:rPr>
      <w:t>The Dixie Group Reports 2020 Results</w:t>
    </w:r>
  </w:p>
  <w:p w:rsidR="00181083" w:rsidRDefault="0010173D">
    <w:pPr>
      <w:spacing w:line="288" w:lineRule="auto"/>
      <w:ind w:right="-270"/>
      <w:rPr>
        <w:rFonts w:ascii="Arial" w:eastAsia="Arial" w:hAnsi="Arial" w:cs="Arial"/>
        <w:sz w:val="20"/>
      </w:rPr>
    </w:pPr>
    <w:r>
      <w:rPr>
        <w:rFonts w:ascii="Arial" w:eastAsia="Arial" w:hAnsi="Arial" w:cs="Arial"/>
        <w:sz w:val="20"/>
      </w:rPr>
      <w:t>Page 4</w:t>
    </w:r>
  </w:p>
  <w:p w:rsidR="00181083" w:rsidRDefault="0010173D">
    <w:pPr>
      <w:spacing w:line="288" w:lineRule="auto"/>
      <w:ind w:right="-270"/>
      <w:rPr>
        <w:rFonts w:ascii="Arial" w:eastAsia="Arial" w:hAnsi="Arial" w:cs="Arial"/>
        <w:sz w:val="20"/>
      </w:rPr>
    </w:pPr>
    <w:r>
      <w:rPr>
        <w:rFonts w:ascii="Arial" w:eastAsia="Arial" w:hAnsi="Arial" w:cs="Arial"/>
        <w:sz w:val="20"/>
      </w:rPr>
      <w:t>March 4, 2021</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083" w:rsidRDefault="0010173D">
    <w:pPr>
      <w:spacing w:line="288" w:lineRule="auto"/>
      <w:outlineLvl w:val="0"/>
      <w:rPr>
        <w:rFonts w:ascii="Arial" w:eastAsia="Arial" w:hAnsi="Arial" w:cs="Arial"/>
        <w:sz w:val="20"/>
      </w:rPr>
    </w:pPr>
    <w:r>
      <w:rPr>
        <w:rFonts w:ascii="Arial" w:eastAsia="Arial" w:hAnsi="Arial" w:cs="Arial"/>
        <w:sz w:val="20"/>
      </w:rPr>
      <w:t>The Dixie Group Reports 2020 Results</w:t>
    </w:r>
  </w:p>
  <w:p w:rsidR="00181083" w:rsidRDefault="0010173D">
    <w:pPr>
      <w:spacing w:line="288" w:lineRule="auto"/>
      <w:rPr>
        <w:rFonts w:ascii="Arial" w:eastAsia="Arial" w:hAnsi="Arial" w:cs="Arial"/>
        <w:sz w:val="20"/>
      </w:rPr>
    </w:pPr>
    <w:r>
      <w:rPr>
        <w:rFonts w:ascii="Arial" w:eastAsia="Arial" w:hAnsi="Arial" w:cs="Arial"/>
        <w:sz w:val="20"/>
      </w:rPr>
      <w:t>Page 5</w:t>
    </w:r>
  </w:p>
  <w:p w:rsidR="00181083" w:rsidRDefault="0010173D">
    <w:pPr>
      <w:spacing w:line="288" w:lineRule="auto"/>
      <w:rPr>
        <w:rFonts w:ascii="Arial" w:eastAsia="Arial" w:hAnsi="Arial" w:cs="Arial"/>
        <w:sz w:val="20"/>
      </w:rPr>
    </w:pPr>
    <w:r>
      <w:rPr>
        <w:rFonts w:ascii="Arial" w:eastAsia="Arial" w:hAnsi="Arial" w:cs="Arial"/>
        <w:sz w:val="20"/>
      </w:rPr>
      <w:t>March 4, 2021</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083" w:rsidRDefault="0010173D">
    <w:pPr>
      <w:spacing w:line="288" w:lineRule="auto"/>
      <w:outlineLvl w:val="0"/>
      <w:rPr>
        <w:rFonts w:ascii="Arial" w:eastAsia="Arial" w:hAnsi="Arial" w:cs="Arial"/>
        <w:sz w:val="20"/>
      </w:rPr>
    </w:pPr>
    <w:r>
      <w:rPr>
        <w:rFonts w:ascii="Arial" w:eastAsia="Arial" w:hAnsi="Arial" w:cs="Arial"/>
        <w:sz w:val="20"/>
      </w:rPr>
      <w:t xml:space="preserve">The </w:t>
    </w:r>
    <w:r>
      <w:rPr>
        <w:rFonts w:ascii="Arial" w:eastAsia="Arial" w:hAnsi="Arial" w:cs="Arial"/>
        <w:sz w:val="20"/>
      </w:rPr>
      <w:t>Dixie Group Reports 2020 Results</w:t>
    </w:r>
  </w:p>
  <w:p w:rsidR="00181083" w:rsidRDefault="0010173D">
    <w:pPr>
      <w:spacing w:line="288" w:lineRule="auto"/>
      <w:rPr>
        <w:rFonts w:ascii="Arial" w:eastAsia="Arial" w:hAnsi="Arial" w:cs="Arial"/>
        <w:sz w:val="20"/>
      </w:rPr>
    </w:pPr>
    <w:r>
      <w:rPr>
        <w:rFonts w:ascii="Arial" w:eastAsia="Arial" w:hAnsi="Arial" w:cs="Arial"/>
        <w:sz w:val="20"/>
      </w:rPr>
      <w:t>Page 6</w:t>
    </w:r>
  </w:p>
  <w:p w:rsidR="00181083" w:rsidRDefault="0010173D">
    <w:pPr>
      <w:spacing w:line="288" w:lineRule="auto"/>
      <w:rPr>
        <w:rFonts w:ascii="Arial" w:eastAsia="Arial" w:hAnsi="Arial" w:cs="Arial"/>
        <w:sz w:val="20"/>
      </w:rPr>
    </w:pPr>
    <w:r>
      <w:rPr>
        <w:rFonts w:ascii="Arial" w:eastAsia="Arial" w:hAnsi="Arial" w:cs="Arial"/>
        <w:sz w:val="20"/>
      </w:rPr>
      <w:t>March 4,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styleLink w:val="DiscSYMBOL"/>
    <w:lvl w:ilvl="0">
      <w:start w:val="1"/>
      <w:numFmt w:val="decimal"/>
      <w:lvlText w:val="•"/>
      <w:lvlJc w:val="left"/>
      <w:pPr>
        <w:tabs>
          <w:tab w:val="num" w:pos="720"/>
        </w:tabs>
        <w:ind w:left="720" w:hanging="360"/>
      </w:p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 w15:restartNumberingAfterBreak="0">
    <w:nsid w:val="00000002"/>
    <w:multiLevelType w:val="multilevel"/>
    <w:tmpl w:val="00000001"/>
    <w:lvl w:ilvl="0">
      <w:start w:val="1"/>
      <w:numFmt w:val="decimal"/>
      <w:lvlText w:val="•"/>
      <w:lvlJc w:val="left"/>
      <w:pPr>
        <w:tabs>
          <w:tab w:val="num" w:pos="720"/>
        </w:tabs>
        <w:ind w:left="720" w:hanging="360"/>
      </w:pPr>
      <w:rPr>
        <w:rFonts w:ascii="Arial" w:eastAsia="Arial" w:hAnsi="Arial" w:cs="Arial"/>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2" w15:restartNumberingAfterBreak="0">
    <w:nsid w:val="00000003"/>
    <w:multiLevelType w:val="multilevel"/>
    <w:tmpl w:val="00000001"/>
    <w:lvl w:ilvl="0">
      <w:start w:val="1"/>
      <w:numFmt w:val="decimal"/>
      <w:lvlText w:val="•"/>
      <w:lvlJc w:val="left"/>
      <w:pPr>
        <w:tabs>
          <w:tab w:val="num" w:pos="720"/>
        </w:tabs>
        <w:ind w:left="720" w:hanging="360"/>
      </w:pPr>
      <w:rPr>
        <w:rFonts w:ascii="Arial" w:eastAsia="Arial" w:hAnsi="Arial" w:cs="Arial"/>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3" w15:restartNumberingAfterBreak="0">
    <w:nsid w:val="00000004"/>
    <w:multiLevelType w:val="multilevel"/>
    <w:tmpl w:val="00000001"/>
    <w:lvl w:ilvl="0">
      <w:start w:val="1"/>
      <w:numFmt w:val="decimal"/>
      <w:lvlText w:val="•"/>
      <w:lvlJc w:val="left"/>
      <w:pPr>
        <w:tabs>
          <w:tab w:val="num" w:pos="720"/>
        </w:tabs>
        <w:ind w:left="720" w:hanging="360"/>
      </w:pPr>
      <w:rPr>
        <w:rFonts w:ascii="Arial" w:eastAsia="Arial" w:hAnsi="Arial" w:cs="Arial"/>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4" w15:restartNumberingAfterBreak="0">
    <w:nsid w:val="00000005"/>
    <w:multiLevelType w:val="multilevel"/>
    <w:tmpl w:val="00000001"/>
    <w:lvl w:ilvl="0">
      <w:start w:val="1"/>
      <w:numFmt w:val="decimal"/>
      <w:lvlText w:val="•"/>
      <w:lvlJc w:val="left"/>
      <w:pPr>
        <w:tabs>
          <w:tab w:val="num" w:pos="720"/>
        </w:tabs>
        <w:ind w:left="720" w:hanging="360"/>
      </w:pPr>
      <w:rPr>
        <w:rFonts w:ascii="Arial" w:eastAsia="Arial" w:hAnsi="Arial" w:cs="Arial"/>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5" w15:restartNumberingAfterBreak="0">
    <w:nsid w:val="00000006"/>
    <w:multiLevelType w:val="multilevel"/>
    <w:tmpl w:val="00000001"/>
    <w:lvl w:ilvl="0">
      <w:start w:val="1"/>
      <w:numFmt w:val="decimal"/>
      <w:lvlText w:val="•"/>
      <w:lvlJc w:val="left"/>
      <w:pPr>
        <w:tabs>
          <w:tab w:val="num" w:pos="720"/>
        </w:tabs>
        <w:ind w:left="720" w:hanging="360"/>
      </w:pPr>
      <w:rPr>
        <w:rFonts w:ascii="Arial" w:eastAsia="Arial" w:hAnsi="Arial" w:cs="Arial"/>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noLeading/>
    <w:suppressTopSpacingWP/>
    <w:compatSetting w:name="compatibilityMode" w:uri="http://schemas.microsoft.com/office/word" w:val="12"/>
  </w:compat>
  <w:rsids>
    <w:rsidRoot w:val="00A77B3E"/>
    <w:rsid w:val="0010173D"/>
    <w:rsid w:val="00181083"/>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576E418-13FB-4182-B2B3-658EF46A8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kern w:val="1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DiscSYMBOL">
    <w:name w:val="DiscSYMBOL•◦▪"/>
    <w:pPr>
      <w:numPr>
        <w:numId w:val="1"/>
      </w:numPr>
    </w:pPr>
  </w:style>
  <w:style w:type="character" w:styleId="FootnoteReference">
    <w:name w:val="footnote reference"/>
    <w:basedOn w:val="DefaultParagraphFont"/>
    <w:rsid w:val="00805BCE"/>
    <w:rPr>
      <w:vertAlign w:val="superscript"/>
    </w:rPr>
  </w:style>
  <w:style w:type="paragraph" w:styleId="FootnoteText">
    <w:name w:val="footnote text"/>
    <w:basedOn w:val="Normal"/>
    <w:link w:val="FootnoteTextChar"/>
    <w:uiPriority w:val="99"/>
    <w:rsid w:val="000F3DF7"/>
    <w:rPr>
      <w:sz w:val="20"/>
      <w:szCs w:val="20"/>
    </w:rPr>
  </w:style>
  <w:style w:type="character" w:customStyle="1" w:styleId="FootnoteTextChar">
    <w:name w:val="Footnote Text Char"/>
    <w:basedOn w:val="DefaultParagraphFont"/>
    <w:link w:val="FootnoteText"/>
    <w:uiPriority w:val="99"/>
    <w:rsid w:val="000F3DF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2612</Words>
  <Characters>14895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Q4 2020  - 8K</dc:title>
  <dc:creator>Anna Whitman</dc:creator>
  <cp:lastModifiedBy>Anna Whitman</cp:lastModifiedBy>
  <cp:revision>2</cp:revision>
  <dcterms:created xsi:type="dcterms:W3CDTF">2021-03-04T00:51:00Z</dcterms:created>
  <dcterms:modified xsi:type="dcterms:W3CDTF">2021-03-04T00:51:00Z</dcterms:modified>
</cp:coreProperties>
</file>