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225446" w14:textId="713F2CEF" w:rsidR="00D53AAB" w:rsidRDefault="00D53AAB">
      <w:pPr>
        <w:rPr>
          <w:rFonts w:ascii="Times New Roman" w:hAnsi="Times New Roman"/>
          <w:b/>
          <w:szCs w:val="24"/>
        </w:rPr>
      </w:pPr>
    </w:p>
    <w:p w14:paraId="377EB4B1" w14:textId="77777777" w:rsidR="00D53AAB" w:rsidRDefault="00D53AAB">
      <w:pPr>
        <w:rPr>
          <w:rFonts w:ascii="Times New Roman" w:hAnsi="Times New Roman"/>
          <w:b/>
          <w:szCs w:val="24"/>
        </w:rPr>
      </w:pPr>
    </w:p>
    <w:p w14:paraId="394A52E6" w14:textId="3E988FEC" w:rsidR="00D53AAB" w:rsidRDefault="00D53AAB">
      <w:pPr>
        <w:rPr>
          <w:rFonts w:ascii="Times New Roman" w:hAnsi="Times New Roman"/>
          <w:b/>
          <w:szCs w:val="24"/>
        </w:rPr>
      </w:pPr>
    </w:p>
    <w:p w14:paraId="7DD6227A" w14:textId="77777777" w:rsidR="00D53AAB" w:rsidRDefault="00D53AAB">
      <w:pPr>
        <w:rPr>
          <w:rFonts w:ascii="Times New Roman" w:hAnsi="Times New Roman"/>
          <w:b/>
          <w:szCs w:val="24"/>
        </w:rPr>
      </w:pPr>
    </w:p>
    <w:p w14:paraId="1A384AF2" w14:textId="12E6BF6C" w:rsidR="002B3927" w:rsidRDefault="002B3927">
      <w:pPr>
        <w:rPr>
          <w:rFonts w:ascii="Times New Roman" w:hAnsi="Times New Roman"/>
          <w:b/>
          <w:szCs w:val="24"/>
        </w:rPr>
      </w:pPr>
      <w:r>
        <w:rPr>
          <w:rFonts w:ascii="Times New Roman" w:hAnsi="Times New Roman"/>
          <w:b/>
          <w:szCs w:val="24"/>
        </w:rPr>
        <w:t>FOR IMMEDIATE RELEASE</w:t>
      </w:r>
    </w:p>
    <w:p w14:paraId="7C9FE753" w14:textId="25E6B878" w:rsidR="002B3927" w:rsidRDefault="002B3927">
      <w:pPr>
        <w:rPr>
          <w:rFonts w:ascii="Times New Roman" w:hAnsi="Times New Roman"/>
          <w:sz w:val="24"/>
          <w:szCs w:val="24"/>
        </w:rPr>
      </w:pPr>
      <w:bookmarkStart w:id="0" w:name="_DV_M1"/>
      <w:bookmarkEnd w:id="0"/>
      <w:r>
        <w:rPr>
          <w:rFonts w:ascii="Times New Roman" w:hAnsi="Times New Roman"/>
          <w:sz w:val="24"/>
          <w:szCs w:val="24"/>
        </w:rPr>
        <w:t>Contacts:</w:t>
      </w:r>
    </w:p>
    <w:p w14:paraId="1D7A4AF3" w14:textId="77777777" w:rsidR="002B3927" w:rsidRDefault="000E0A2B">
      <w:pPr>
        <w:spacing w:after="0" w:line="240" w:lineRule="auto"/>
        <w:rPr>
          <w:rFonts w:ascii="Times New Roman" w:hAnsi="Times New Roman"/>
          <w:sz w:val="24"/>
          <w:szCs w:val="24"/>
        </w:rPr>
      </w:pPr>
      <w:bookmarkStart w:id="1" w:name="_DV_M2"/>
      <w:bookmarkEnd w:id="1"/>
      <w:r>
        <w:rPr>
          <w:rFonts w:ascii="Times New Roman" w:hAnsi="Times New Roman"/>
          <w:sz w:val="24"/>
          <w:szCs w:val="24"/>
        </w:rPr>
        <w:t>Network-1 Technologies</w:t>
      </w:r>
      <w:r w:rsidR="002B3927">
        <w:rPr>
          <w:rFonts w:ascii="Times New Roman" w:hAnsi="Times New Roman"/>
          <w:sz w:val="24"/>
          <w:szCs w:val="24"/>
        </w:rPr>
        <w:t>, Inc.</w:t>
      </w:r>
    </w:p>
    <w:p w14:paraId="779A000D" w14:textId="77777777" w:rsidR="002B3927" w:rsidRDefault="002B3927">
      <w:pPr>
        <w:spacing w:after="0" w:line="240" w:lineRule="auto"/>
        <w:rPr>
          <w:rFonts w:ascii="Times New Roman" w:hAnsi="Times New Roman"/>
          <w:sz w:val="24"/>
          <w:szCs w:val="24"/>
        </w:rPr>
      </w:pPr>
      <w:bookmarkStart w:id="2" w:name="_DV_M3"/>
      <w:bookmarkEnd w:id="2"/>
      <w:r>
        <w:rPr>
          <w:rFonts w:ascii="Times New Roman" w:hAnsi="Times New Roman"/>
          <w:sz w:val="24"/>
          <w:szCs w:val="24"/>
        </w:rPr>
        <w:t>Corey M. Horowitz</w:t>
      </w:r>
      <w:r w:rsidR="00C72C9A">
        <w:rPr>
          <w:rFonts w:ascii="Times New Roman" w:hAnsi="Times New Roman"/>
          <w:sz w:val="24"/>
          <w:szCs w:val="24"/>
        </w:rPr>
        <w:t>, Chairman and CEO</w:t>
      </w:r>
    </w:p>
    <w:p w14:paraId="6A00E044" w14:textId="77777777" w:rsidR="002B3927" w:rsidRDefault="00536DC2">
      <w:pPr>
        <w:spacing w:after="0" w:line="240" w:lineRule="auto"/>
        <w:rPr>
          <w:rFonts w:ascii="Times New Roman" w:hAnsi="Times New Roman"/>
          <w:sz w:val="24"/>
          <w:szCs w:val="24"/>
        </w:rPr>
      </w:pPr>
      <w:bookmarkStart w:id="3" w:name="_DV_M4"/>
      <w:bookmarkEnd w:id="3"/>
      <w:r>
        <w:rPr>
          <w:rFonts w:ascii="Times New Roman" w:hAnsi="Times New Roman"/>
          <w:sz w:val="24"/>
          <w:szCs w:val="24"/>
        </w:rPr>
        <w:t>212-829-5770 (o)</w:t>
      </w:r>
    </w:p>
    <w:p w14:paraId="3EA8801F" w14:textId="77777777" w:rsidR="00536DC2" w:rsidRDefault="00536DC2">
      <w:pPr>
        <w:spacing w:after="0" w:line="240" w:lineRule="auto"/>
        <w:rPr>
          <w:rFonts w:ascii="Times New Roman" w:hAnsi="Times New Roman"/>
          <w:sz w:val="24"/>
          <w:szCs w:val="24"/>
        </w:rPr>
      </w:pPr>
      <w:bookmarkStart w:id="4" w:name="_DV_M5"/>
      <w:bookmarkEnd w:id="4"/>
      <w:r>
        <w:rPr>
          <w:rFonts w:ascii="Times New Roman" w:hAnsi="Times New Roman"/>
          <w:sz w:val="24"/>
          <w:szCs w:val="24"/>
        </w:rPr>
        <w:t>917-692-0000 (m)</w:t>
      </w:r>
    </w:p>
    <w:p w14:paraId="614802EC" w14:textId="6A06426E" w:rsidR="00AF3166" w:rsidRDefault="00AF3166">
      <w:pPr>
        <w:rPr>
          <w:rFonts w:ascii="Times New Roman" w:hAnsi="Times New Roman"/>
          <w:szCs w:val="24"/>
        </w:rPr>
      </w:pPr>
    </w:p>
    <w:p w14:paraId="3C844A41" w14:textId="7DED76A9" w:rsidR="00005AC8" w:rsidRDefault="00293C3B" w:rsidP="00D261E3">
      <w:pPr>
        <w:spacing w:after="360" w:line="240" w:lineRule="auto"/>
        <w:ind w:left="-187" w:right="-547"/>
        <w:jc w:val="center"/>
        <w:rPr>
          <w:rFonts w:ascii="Times New Roman" w:hAnsi="Times New Roman"/>
          <w:b/>
          <w:sz w:val="24"/>
          <w:szCs w:val="24"/>
        </w:rPr>
      </w:pPr>
      <w:bookmarkStart w:id="5" w:name="_DV_M6"/>
      <w:bookmarkEnd w:id="5"/>
      <w:r>
        <w:rPr>
          <w:rFonts w:ascii="Times New Roman" w:hAnsi="Times New Roman"/>
          <w:b/>
          <w:sz w:val="24"/>
          <w:szCs w:val="24"/>
        </w:rPr>
        <w:t xml:space="preserve">NETWORK-1 REPORTS </w:t>
      </w:r>
      <w:r w:rsidR="003B03CE">
        <w:rPr>
          <w:rFonts w:ascii="Times New Roman" w:hAnsi="Times New Roman"/>
          <w:b/>
          <w:sz w:val="24"/>
          <w:szCs w:val="24"/>
        </w:rPr>
        <w:t>20</w:t>
      </w:r>
      <w:r w:rsidR="004C6E8D" w:rsidRPr="00854EED">
        <w:rPr>
          <w:rFonts w:ascii="Times New Roman" w:hAnsi="Times New Roman"/>
          <w:b/>
          <w:sz w:val="24"/>
          <w:szCs w:val="24"/>
        </w:rPr>
        <w:t>20</w:t>
      </w:r>
      <w:r>
        <w:rPr>
          <w:rFonts w:ascii="Times New Roman" w:hAnsi="Times New Roman"/>
          <w:b/>
          <w:sz w:val="24"/>
          <w:szCs w:val="24"/>
        </w:rPr>
        <w:t xml:space="preserve"> YEAR-END FINANCIAL RESULTS</w:t>
      </w:r>
      <w:bookmarkStart w:id="6" w:name="_DV_M7"/>
      <w:bookmarkEnd w:id="6"/>
    </w:p>
    <w:p w14:paraId="3609F0BE" w14:textId="035F3EE7" w:rsidR="000D4F62" w:rsidRDefault="00E73E6D" w:rsidP="00D261E3">
      <w:pPr>
        <w:spacing w:after="240" w:line="240" w:lineRule="auto"/>
        <w:jc w:val="both"/>
        <w:rPr>
          <w:rFonts w:ascii="Times New Roman" w:hAnsi="Times New Roman"/>
          <w:sz w:val="24"/>
          <w:szCs w:val="24"/>
        </w:rPr>
      </w:pPr>
      <w:bookmarkStart w:id="7" w:name="_DV_M8"/>
      <w:bookmarkEnd w:id="7"/>
      <w:r w:rsidRPr="001B0E81">
        <w:rPr>
          <w:rFonts w:ascii="Times New Roman" w:hAnsi="Times New Roman"/>
          <w:b/>
          <w:sz w:val="24"/>
          <w:szCs w:val="24"/>
        </w:rPr>
        <w:t>NEW YORK, N</w:t>
      </w:r>
      <w:r w:rsidR="001B0E81" w:rsidRPr="001B0E81">
        <w:rPr>
          <w:rFonts w:ascii="Times New Roman" w:hAnsi="Times New Roman"/>
          <w:b/>
          <w:sz w:val="24"/>
          <w:szCs w:val="24"/>
        </w:rPr>
        <w:t>EW Y</w:t>
      </w:r>
      <w:bookmarkStart w:id="8" w:name="_DV_C5"/>
      <w:r w:rsidR="001B0E81" w:rsidRPr="001B0E81">
        <w:rPr>
          <w:rFonts w:ascii="Times New Roman" w:hAnsi="Times New Roman"/>
          <w:b/>
          <w:sz w:val="24"/>
          <w:szCs w:val="24"/>
        </w:rPr>
        <w:t>ORK</w:t>
      </w:r>
      <w:r w:rsidR="001B0E81">
        <w:rPr>
          <w:rFonts w:ascii="Times New Roman" w:hAnsi="Times New Roman"/>
          <w:sz w:val="24"/>
          <w:szCs w:val="24"/>
        </w:rPr>
        <w:t xml:space="preserve"> </w:t>
      </w:r>
      <w:r w:rsidR="00497A16">
        <w:rPr>
          <w:rFonts w:ascii="Times New Roman" w:hAnsi="Times New Roman"/>
          <w:sz w:val="24"/>
          <w:szCs w:val="24"/>
        </w:rPr>
        <w:t>–</w:t>
      </w:r>
      <w:r w:rsidR="003B03CE">
        <w:rPr>
          <w:rFonts w:ascii="Times New Roman" w:hAnsi="Times New Roman"/>
          <w:sz w:val="24"/>
          <w:szCs w:val="24"/>
        </w:rPr>
        <w:t xml:space="preserve"> </w:t>
      </w:r>
      <w:bookmarkStart w:id="9" w:name="_DV_M9"/>
      <w:bookmarkEnd w:id="8"/>
      <w:bookmarkEnd w:id="9"/>
      <w:r w:rsidR="00497A16">
        <w:rPr>
          <w:rFonts w:ascii="Times New Roman" w:hAnsi="Times New Roman"/>
          <w:sz w:val="24"/>
          <w:szCs w:val="24"/>
        </w:rPr>
        <w:t xml:space="preserve">March </w:t>
      </w:r>
      <w:r w:rsidR="004C6E8D">
        <w:rPr>
          <w:rFonts w:ascii="Times New Roman" w:hAnsi="Times New Roman"/>
          <w:sz w:val="24"/>
          <w:szCs w:val="24"/>
        </w:rPr>
        <w:t>3</w:t>
      </w:r>
      <w:r w:rsidR="00D53AAB">
        <w:rPr>
          <w:rFonts w:ascii="Times New Roman" w:hAnsi="Times New Roman"/>
          <w:sz w:val="24"/>
          <w:szCs w:val="24"/>
        </w:rPr>
        <w:t>1</w:t>
      </w:r>
      <w:r w:rsidR="00497A16">
        <w:rPr>
          <w:rFonts w:ascii="Times New Roman" w:hAnsi="Times New Roman"/>
          <w:sz w:val="24"/>
          <w:szCs w:val="24"/>
        </w:rPr>
        <w:t>, 202</w:t>
      </w:r>
      <w:r w:rsidR="004C6E8D">
        <w:rPr>
          <w:rFonts w:ascii="Times New Roman" w:hAnsi="Times New Roman"/>
          <w:sz w:val="24"/>
          <w:szCs w:val="24"/>
        </w:rPr>
        <w:t>1</w:t>
      </w:r>
      <w:r w:rsidR="00843D0C">
        <w:rPr>
          <w:rFonts w:ascii="Times New Roman" w:hAnsi="Times New Roman"/>
          <w:sz w:val="24"/>
          <w:szCs w:val="24"/>
        </w:rPr>
        <w:t xml:space="preserve"> </w:t>
      </w:r>
      <w:r w:rsidR="00124C29">
        <w:rPr>
          <w:rFonts w:ascii="Times New Roman" w:hAnsi="Times New Roman"/>
          <w:sz w:val="24"/>
          <w:szCs w:val="24"/>
        </w:rPr>
        <w:t>-</w:t>
      </w:r>
      <w:r w:rsidR="00843D0C">
        <w:rPr>
          <w:rFonts w:ascii="Times New Roman" w:hAnsi="Times New Roman"/>
          <w:sz w:val="24"/>
          <w:szCs w:val="24"/>
        </w:rPr>
        <w:t xml:space="preserve"> </w:t>
      </w:r>
      <w:r w:rsidR="00293C3B">
        <w:rPr>
          <w:rFonts w:ascii="Times New Roman" w:hAnsi="Times New Roman"/>
          <w:sz w:val="24"/>
          <w:szCs w:val="24"/>
        </w:rPr>
        <w:t xml:space="preserve">Network-1 Technologies, Inc. (NYSE </w:t>
      </w:r>
      <w:r w:rsidR="003B0497">
        <w:rPr>
          <w:rFonts w:ascii="Times New Roman" w:hAnsi="Times New Roman"/>
          <w:sz w:val="24"/>
          <w:szCs w:val="24"/>
        </w:rPr>
        <w:t>American</w:t>
      </w:r>
      <w:r w:rsidR="00293C3B">
        <w:rPr>
          <w:rFonts w:ascii="Times New Roman" w:hAnsi="Times New Roman"/>
          <w:sz w:val="24"/>
          <w:szCs w:val="24"/>
        </w:rPr>
        <w:t xml:space="preserve">: NTIP), a company specializing in the development, licensing, and protection of its intellectual property assets, today announced financial results for the year ended December 31, </w:t>
      </w:r>
      <w:r w:rsidR="00497A16">
        <w:rPr>
          <w:rFonts w:ascii="Times New Roman" w:hAnsi="Times New Roman"/>
          <w:sz w:val="24"/>
          <w:szCs w:val="24"/>
        </w:rPr>
        <w:t>20</w:t>
      </w:r>
      <w:r w:rsidR="004C6E8D">
        <w:rPr>
          <w:rFonts w:ascii="Times New Roman" w:hAnsi="Times New Roman"/>
          <w:sz w:val="24"/>
          <w:szCs w:val="24"/>
        </w:rPr>
        <w:t>20</w:t>
      </w:r>
      <w:r w:rsidR="00F96F58">
        <w:rPr>
          <w:rFonts w:ascii="Times New Roman" w:hAnsi="Times New Roman"/>
          <w:sz w:val="24"/>
          <w:szCs w:val="24"/>
        </w:rPr>
        <w:t>.</w:t>
      </w:r>
    </w:p>
    <w:p w14:paraId="08F341E1" w14:textId="0472EAD3" w:rsidR="004C6E8D" w:rsidRPr="00203E0A" w:rsidRDefault="00E06CC2" w:rsidP="00D261E3">
      <w:pPr>
        <w:spacing w:after="240" w:line="240" w:lineRule="auto"/>
        <w:jc w:val="both"/>
        <w:rPr>
          <w:rFonts w:ascii="Times New Roman" w:hAnsi="Times New Roman"/>
          <w:sz w:val="24"/>
          <w:szCs w:val="24"/>
        </w:rPr>
      </w:pPr>
      <w:bookmarkStart w:id="10" w:name="_DV_M10"/>
      <w:bookmarkStart w:id="11" w:name="_DV_M11"/>
      <w:bookmarkEnd w:id="10"/>
      <w:bookmarkEnd w:id="11"/>
      <w:r w:rsidRPr="00C07253">
        <w:rPr>
          <w:rFonts w:ascii="Times New Roman" w:hAnsi="Times New Roman"/>
          <w:sz w:val="24"/>
          <w:szCs w:val="24"/>
        </w:rPr>
        <w:t xml:space="preserve">Network-1 </w:t>
      </w:r>
      <w:r w:rsidR="00D61189" w:rsidRPr="00C07253">
        <w:rPr>
          <w:rFonts w:ascii="Times New Roman" w:hAnsi="Times New Roman"/>
          <w:sz w:val="24"/>
          <w:szCs w:val="24"/>
        </w:rPr>
        <w:t xml:space="preserve">had revenue of </w:t>
      </w:r>
      <w:r w:rsidR="00A914E1" w:rsidRPr="00C07253">
        <w:rPr>
          <w:rFonts w:ascii="Times New Roman" w:hAnsi="Times New Roman"/>
          <w:sz w:val="24"/>
          <w:szCs w:val="24"/>
        </w:rPr>
        <w:t>$</w:t>
      </w:r>
      <w:r w:rsidR="004C6E8D">
        <w:rPr>
          <w:rFonts w:ascii="Times New Roman" w:hAnsi="Times New Roman"/>
          <w:sz w:val="24"/>
          <w:szCs w:val="24"/>
        </w:rPr>
        <w:t>4,403,000</w:t>
      </w:r>
      <w:r w:rsidR="00A914E1" w:rsidRPr="00C07253">
        <w:rPr>
          <w:rFonts w:ascii="Times New Roman" w:hAnsi="Times New Roman"/>
          <w:sz w:val="24"/>
          <w:szCs w:val="24"/>
        </w:rPr>
        <w:t xml:space="preserve"> for the year ended December 31, 20</w:t>
      </w:r>
      <w:r w:rsidR="004C6E8D">
        <w:rPr>
          <w:rFonts w:ascii="Times New Roman" w:hAnsi="Times New Roman"/>
          <w:sz w:val="24"/>
          <w:szCs w:val="24"/>
        </w:rPr>
        <w:t>20</w:t>
      </w:r>
      <w:r w:rsidR="00A914E1" w:rsidRPr="00C07253">
        <w:rPr>
          <w:rFonts w:ascii="Times New Roman" w:hAnsi="Times New Roman"/>
          <w:sz w:val="24"/>
          <w:szCs w:val="24"/>
        </w:rPr>
        <w:t xml:space="preserve"> as compared to revenue of $</w:t>
      </w:r>
      <w:r w:rsidR="004C6E8D">
        <w:rPr>
          <w:rFonts w:ascii="Times New Roman" w:hAnsi="Times New Roman"/>
          <w:sz w:val="24"/>
          <w:szCs w:val="24"/>
        </w:rPr>
        <w:t>3,037,000</w:t>
      </w:r>
      <w:r w:rsidR="00A914E1" w:rsidRPr="00C07253">
        <w:rPr>
          <w:rFonts w:ascii="Times New Roman" w:hAnsi="Times New Roman"/>
          <w:sz w:val="24"/>
          <w:szCs w:val="24"/>
        </w:rPr>
        <w:t xml:space="preserve"> for the year ended December 31, 201</w:t>
      </w:r>
      <w:r w:rsidR="004C6E8D">
        <w:rPr>
          <w:rFonts w:ascii="Times New Roman" w:hAnsi="Times New Roman"/>
          <w:sz w:val="24"/>
          <w:szCs w:val="24"/>
        </w:rPr>
        <w:t>9</w:t>
      </w:r>
      <w:r w:rsidR="00A914E1" w:rsidRPr="00C07253">
        <w:rPr>
          <w:rFonts w:ascii="Times New Roman" w:hAnsi="Times New Roman"/>
          <w:sz w:val="24"/>
          <w:szCs w:val="24"/>
        </w:rPr>
        <w:t xml:space="preserve">.  </w:t>
      </w:r>
      <w:r w:rsidR="004C6E8D" w:rsidRPr="00203E0A">
        <w:rPr>
          <w:rFonts w:ascii="Times New Roman" w:hAnsi="Times New Roman"/>
          <w:sz w:val="24"/>
          <w:szCs w:val="24"/>
        </w:rPr>
        <w:t xml:space="preserve">The increase in revenue of $1,366,000 for 2020 was primarily due to revenue of $4,150,000 from </w:t>
      </w:r>
      <w:r w:rsidR="004C6E8D">
        <w:rPr>
          <w:rFonts w:ascii="Times New Roman" w:hAnsi="Times New Roman"/>
          <w:sz w:val="24"/>
          <w:szCs w:val="24"/>
        </w:rPr>
        <w:t>a litigation</w:t>
      </w:r>
      <w:r w:rsidR="004C6E8D" w:rsidRPr="00203E0A">
        <w:rPr>
          <w:rFonts w:ascii="Times New Roman" w:hAnsi="Times New Roman"/>
          <w:sz w:val="24"/>
          <w:szCs w:val="24"/>
        </w:rPr>
        <w:t xml:space="preserve"> settlement</w:t>
      </w:r>
      <w:r w:rsidR="004C6E8D">
        <w:rPr>
          <w:rFonts w:ascii="Times New Roman" w:hAnsi="Times New Roman"/>
          <w:sz w:val="24"/>
          <w:szCs w:val="24"/>
        </w:rPr>
        <w:t>.</w:t>
      </w:r>
    </w:p>
    <w:p w14:paraId="4C2D6782" w14:textId="4F5AD971" w:rsidR="004C6E8D" w:rsidRPr="00203E0A" w:rsidRDefault="004C6E8D" w:rsidP="00D261E3">
      <w:pPr>
        <w:pStyle w:val="BodyText"/>
        <w:spacing w:after="240"/>
        <w:rPr>
          <w:rFonts w:ascii="Times New Roman" w:hAnsi="Times New Roman"/>
          <w:sz w:val="24"/>
          <w:szCs w:val="24"/>
        </w:rPr>
      </w:pPr>
      <w:r w:rsidRPr="00203E0A">
        <w:rPr>
          <w:rFonts w:ascii="Times New Roman" w:hAnsi="Times New Roman"/>
          <w:sz w:val="24"/>
          <w:szCs w:val="24"/>
        </w:rPr>
        <w:t xml:space="preserve">Network-1 reported a net loss of $1,709,000 or $(0.07) per share basic and diluted for 2020 compared with a net loss of $1,792,000 or $(0.07) per share basic and diluted </w:t>
      </w:r>
      <w:r w:rsidR="00854EED">
        <w:rPr>
          <w:rFonts w:ascii="Times New Roman" w:hAnsi="Times New Roman"/>
          <w:sz w:val="24"/>
          <w:szCs w:val="24"/>
        </w:rPr>
        <w:t>for</w:t>
      </w:r>
      <w:r w:rsidRPr="00203E0A">
        <w:rPr>
          <w:rFonts w:ascii="Times New Roman" w:hAnsi="Times New Roman"/>
          <w:sz w:val="24"/>
          <w:szCs w:val="24"/>
        </w:rPr>
        <w:t xml:space="preserve"> 2019</w:t>
      </w:r>
      <w:r w:rsidR="00854EED">
        <w:rPr>
          <w:rFonts w:ascii="Times New Roman" w:hAnsi="Times New Roman"/>
          <w:sz w:val="24"/>
          <w:szCs w:val="24"/>
        </w:rPr>
        <w:t>.</w:t>
      </w:r>
    </w:p>
    <w:p w14:paraId="6541BFB4" w14:textId="043FBDD6" w:rsidR="00536DC2" w:rsidRDefault="004C6E8D" w:rsidP="00D261E3">
      <w:pPr>
        <w:spacing w:after="240" w:line="240" w:lineRule="auto"/>
        <w:jc w:val="both"/>
        <w:rPr>
          <w:rFonts w:ascii="Times New Roman" w:hAnsi="Times New Roman"/>
          <w:sz w:val="24"/>
          <w:szCs w:val="24"/>
        </w:rPr>
      </w:pPr>
      <w:proofErr w:type="gramStart"/>
      <w:r w:rsidRPr="00854EED">
        <w:rPr>
          <w:rFonts w:ascii="Times New Roman" w:hAnsi="Times New Roman"/>
          <w:sz w:val="24"/>
          <w:szCs w:val="24"/>
        </w:rPr>
        <w:t>At</w:t>
      </w:r>
      <w:proofErr w:type="gramEnd"/>
      <w:r w:rsidRPr="00854EED">
        <w:rPr>
          <w:rFonts w:ascii="Times New Roman" w:hAnsi="Times New Roman"/>
          <w:sz w:val="24"/>
          <w:szCs w:val="24"/>
        </w:rPr>
        <w:t xml:space="preserve"> December 31, 2020, Network-1</w:t>
      </w:r>
      <w:r w:rsidR="003F0BAC">
        <w:rPr>
          <w:rFonts w:ascii="Times New Roman" w:hAnsi="Times New Roman"/>
          <w:sz w:val="24"/>
          <w:szCs w:val="24"/>
        </w:rPr>
        <w:t>’</w:t>
      </w:r>
      <w:r w:rsidRPr="00854EED">
        <w:rPr>
          <w:rFonts w:ascii="Times New Roman" w:hAnsi="Times New Roman"/>
          <w:sz w:val="24"/>
          <w:szCs w:val="24"/>
        </w:rPr>
        <w:t>s principal sources of liquidity consisted of cash and cash equivalents and marketable securities of $44,871,000 and working capital of $4</w:t>
      </w:r>
      <w:r w:rsidR="00854EED">
        <w:rPr>
          <w:rFonts w:ascii="Times New Roman" w:hAnsi="Times New Roman"/>
          <w:sz w:val="24"/>
          <w:szCs w:val="24"/>
        </w:rPr>
        <w:t>2</w:t>
      </w:r>
      <w:r w:rsidRPr="00854EED">
        <w:rPr>
          <w:rFonts w:ascii="Times New Roman" w:hAnsi="Times New Roman"/>
          <w:sz w:val="24"/>
          <w:szCs w:val="24"/>
        </w:rPr>
        <w:t>,</w:t>
      </w:r>
      <w:r w:rsidR="00854EED">
        <w:rPr>
          <w:rFonts w:ascii="Times New Roman" w:hAnsi="Times New Roman"/>
          <w:sz w:val="24"/>
          <w:szCs w:val="24"/>
        </w:rPr>
        <w:t>959</w:t>
      </w:r>
      <w:r w:rsidRPr="00854EED">
        <w:rPr>
          <w:rFonts w:ascii="Times New Roman" w:hAnsi="Times New Roman"/>
          <w:sz w:val="24"/>
          <w:szCs w:val="24"/>
        </w:rPr>
        <w:t xml:space="preserve">,000. </w:t>
      </w:r>
      <w:r w:rsidRPr="00854EED">
        <w:rPr>
          <w:rStyle w:val="DeltaViewInsertion"/>
          <w:rFonts w:ascii="Times New Roman" w:hAnsi="Times New Roman"/>
          <w:color w:val="auto"/>
          <w:sz w:val="24"/>
          <w:szCs w:val="24"/>
          <w:u w:val="none"/>
        </w:rPr>
        <w:t>Management believes based on Network-1</w:t>
      </w:r>
      <w:r w:rsidR="003F0BAC">
        <w:rPr>
          <w:rStyle w:val="DeltaViewInsertion"/>
          <w:rFonts w:ascii="Times New Roman" w:hAnsi="Times New Roman"/>
          <w:color w:val="auto"/>
          <w:sz w:val="24"/>
          <w:szCs w:val="24"/>
          <w:u w:val="none"/>
        </w:rPr>
        <w:t>’</w:t>
      </w:r>
      <w:r w:rsidRPr="00854EED">
        <w:rPr>
          <w:rStyle w:val="DeltaViewInsertion"/>
          <w:rFonts w:ascii="Times New Roman" w:hAnsi="Times New Roman"/>
          <w:color w:val="auto"/>
          <w:sz w:val="24"/>
          <w:szCs w:val="24"/>
          <w:u w:val="none"/>
        </w:rPr>
        <w:t xml:space="preserve">s current cash position </w:t>
      </w:r>
      <w:r w:rsidR="00854EED">
        <w:rPr>
          <w:rStyle w:val="DeltaViewInsertion"/>
          <w:rFonts w:ascii="Times New Roman" w:hAnsi="Times New Roman"/>
          <w:color w:val="auto"/>
          <w:sz w:val="24"/>
          <w:szCs w:val="24"/>
          <w:u w:val="none"/>
        </w:rPr>
        <w:t xml:space="preserve">that </w:t>
      </w:r>
      <w:r w:rsidRPr="00854EED">
        <w:rPr>
          <w:rStyle w:val="DeltaViewInsertion"/>
          <w:rFonts w:ascii="Times New Roman" w:hAnsi="Times New Roman"/>
          <w:color w:val="auto"/>
          <w:sz w:val="24"/>
          <w:szCs w:val="24"/>
          <w:u w:val="none"/>
        </w:rPr>
        <w:t>Network-1 will have sufficient cash to fund its operations for the foreseeable future</w:t>
      </w:r>
      <w:r w:rsidR="00D261E3">
        <w:rPr>
          <w:rStyle w:val="DeltaViewInsertion"/>
          <w:rFonts w:ascii="Times New Roman" w:hAnsi="Times New Roman"/>
          <w:color w:val="auto"/>
          <w:sz w:val="24"/>
          <w:szCs w:val="24"/>
          <w:u w:val="none"/>
        </w:rPr>
        <w:t xml:space="preserve">.  </w:t>
      </w:r>
      <w:bookmarkStart w:id="12" w:name="_DV_M13"/>
      <w:bookmarkEnd w:id="12"/>
      <w:r w:rsidR="00536DC2" w:rsidRPr="00540756">
        <w:rPr>
          <w:rFonts w:ascii="Times New Roman" w:hAnsi="Times New Roman"/>
          <w:sz w:val="24"/>
          <w:szCs w:val="24"/>
        </w:rPr>
        <w:t>Based on its cash position, Network-1 continually reviews opportunities to acquire additional intellectual property for developmen</w:t>
      </w:r>
      <w:r w:rsidR="00585DAD" w:rsidRPr="00540756">
        <w:rPr>
          <w:rFonts w:ascii="Times New Roman" w:hAnsi="Times New Roman"/>
          <w:sz w:val="24"/>
          <w:szCs w:val="24"/>
        </w:rPr>
        <w:t>t and licensing as well as</w:t>
      </w:r>
      <w:r w:rsidR="00536DC2" w:rsidRPr="00540756">
        <w:rPr>
          <w:rFonts w:ascii="Times New Roman" w:hAnsi="Times New Roman"/>
          <w:sz w:val="24"/>
          <w:szCs w:val="24"/>
        </w:rPr>
        <w:t xml:space="preserve"> evaluates other strategic alternatives.</w:t>
      </w:r>
    </w:p>
    <w:p w14:paraId="7C1A0021" w14:textId="77777777" w:rsidR="00A16F86" w:rsidRDefault="00A16F86" w:rsidP="00A8057D">
      <w:pPr>
        <w:spacing w:after="0" w:line="240" w:lineRule="auto"/>
        <w:jc w:val="both"/>
        <w:rPr>
          <w:rFonts w:ascii="Times New Roman" w:hAnsi="Times New Roman"/>
          <w:sz w:val="24"/>
          <w:szCs w:val="24"/>
        </w:rPr>
      </w:pPr>
    </w:p>
    <w:p w14:paraId="2CDD47E9" w14:textId="0F8BB15F" w:rsidR="00CF6B13" w:rsidRDefault="00CF6B13">
      <w:pPr>
        <w:autoSpaceDE/>
        <w:autoSpaceDN/>
        <w:adjustRightInd/>
        <w:rPr>
          <w:rFonts w:ascii="Times New Roman" w:hAnsi="Times New Roman"/>
          <w:sz w:val="24"/>
          <w:szCs w:val="24"/>
        </w:rPr>
      </w:pPr>
      <w:r>
        <w:rPr>
          <w:rFonts w:ascii="Times New Roman" w:hAnsi="Times New Roman"/>
          <w:sz w:val="24"/>
          <w:szCs w:val="24"/>
        </w:rPr>
        <w:br w:type="page"/>
      </w:r>
    </w:p>
    <w:p w14:paraId="7D204DFE" w14:textId="77777777" w:rsidR="00747963" w:rsidRDefault="00747963" w:rsidP="00A8057D">
      <w:pPr>
        <w:spacing w:after="0" w:line="240" w:lineRule="auto"/>
        <w:jc w:val="both"/>
        <w:rPr>
          <w:rFonts w:ascii="Times New Roman" w:hAnsi="Times New Roman"/>
          <w:sz w:val="24"/>
          <w:szCs w:val="24"/>
        </w:rPr>
      </w:pPr>
    </w:p>
    <w:p w14:paraId="1EE4D6CB" w14:textId="766514E5" w:rsidR="00A8057D" w:rsidRPr="00540756" w:rsidRDefault="002B3927" w:rsidP="00814A0A">
      <w:pPr>
        <w:tabs>
          <w:tab w:val="left" w:pos="9084"/>
        </w:tabs>
        <w:spacing w:line="240" w:lineRule="auto"/>
        <w:rPr>
          <w:rFonts w:ascii="Times New Roman" w:hAnsi="Times New Roman"/>
          <w:b/>
          <w:sz w:val="24"/>
          <w:szCs w:val="24"/>
        </w:rPr>
      </w:pPr>
      <w:bookmarkStart w:id="13" w:name="_DV_M14"/>
      <w:bookmarkStart w:id="14" w:name="_DV_M15"/>
      <w:bookmarkEnd w:id="13"/>
      <w:bookmarkEnd w:id="14"/>
      <w:r w:rsidRPr="00540756">
        <w:rPr>
          <w:rFonts w:ascii="Times New Roman" w:hAnsi="Times New Roman"/>
          <w:b/>
          <w:sz w:val="24"/>
          <w:szCs w:val="24"/>
        </w:rPr>
        <w:t xml:space="preserve">The following </w:t>
      </w:r>
      <w:r w:rsidR="002E272D" w:rsidRPr="00540756">
        <w:rPr>
          <w:rFonts w:ascii="Times New Roman" w:hAnsi="Times New Roman"/>
          <w:b/>
          <w:sz w:val="24"/>
          <w:szCs w:val="24"/>
        </w:rPr>
        <w:t xml:space="preserve">are financial and strategic </w:t>
      </w:r>
      <w:r w:rsidRPr="00540756">
        <w:rPr>
          <w:rFonts w:ascii="Times New Roman" w:hAnsi="Times New Roman"/>
          <w:b/>
          <w:sz w:val="24"/>
          <w:szCs w:val="24"/>
        </w:rPr>
        <w:t>highlights</w:t>
      </w:r>
      <w:r w:rsidR="00E81507">
        <w:rPr>
          <w:rFonts w:ascii="Times New Roman" w:hAnsi="Times New Roman"/>
          <w:b/>
          <w:sz w:val="24"/>
          <w:szCs w:val="24"/>
        </w:rPr>
        <w:t xml:space="preserve"> for 20</w:t>
      </w:r>
      <w:r w:rsidR="00854EED">
        <w:rPr>
          <w:rFonts w:ascii="Times New Roman" w:hAnsi="Times New Roman"/>
          <w:b/>
          <w:sz w:val="24"/>
          <w:szCs w:val="24"/>
        </w:rPr>
        <w:t>20 and to date</w:t>
      </w:r>
      <w:r w:rsidRPr="00540756">
        <w:rPr>
          <w:rFonts w:ascii="Times New Roman" w:hAnsi="Times New Roman"/>
          <w:b/>
          <w:sz w:val="24"/>
          <w:szCs w:val="24"/>
        </w:rPr>
        <w:t>:</w:t>
      </w:r>
    </w:p>
    <w:p w14:paraId="22A5ACE2" w14:textId="285B67EB" w:rsidR="004C6E8D" w:rsidRDefault="00F96F58" w:rsidP="00F96F58">
      <w:pPr>
        <w:pStyle w:val="ListParagraph"/>
        <w:numPr>
          <w:ilvl w:val="0"/>
          <w:numId w:val="12"/>
        </w:numPr>
        <w:spacing w:after="240"/>
        <w:jc w:val="both"/>
        <w:rPr>
          <w:rFonts w:ascii="Times New Roman" w:hAnsi="Times New Roman"/>
          <w:sz w:val="24"/>
          <w:szCs w:val="24"/>
        </w:rPr>
      </w:pPr>
      <w:r w:rsidRPr="00215E17">
        <w:rPr>
          <w:rFonts w:ascii="Times New Roman" w:hAnsi="Times New Roman"/>
          <w:sz w:val="24"/>
          <w:szCs w:val="24"/>
        </w:rPr>
        <w:t>On November 13, 2017, a jury empaneled in the U.S. District Court for the Eastern District of Texas found that certain claims of Network-1</w:t>
      </w:r>
      <w:r w:rsidR="003F0BAC">
        <w:rPr>
          <w:rFonts w:ascii="Times New Roman" w:hAnsi="Times New Roman"/>
          <w:sz w:val="24"/>
          <w:szCs w:val="24"/>
        </w:rPr>
        <w:t>’</w:t>
      </w:r>
      <w:r w:rsidRPr="00215E17">
        <w:rPr>
          <w:rFonts w:ascii="Times New Roman" w:hAnsi="Times New Roman"/>
          <w:sz w:val="24"/>
          <w:szCs w:val="24"/>
        </w:rPr>
        <w:t>s Remote Power Patent were invalid and not infringed by Hewlett-Packard (HP).  On August 29, 2018, the District Court (</w:t>
      </w:r>
      <w:proofErr w:type="spellStart"/>
      <w:r w:rsidRPr="00215E17">
        <w:rPr>
          <w:rFonts w:ascii="Times New Roman" w:hAnsi="Times New Roman"/>
          <w:sz w:val="24"/>
          <w:szCs w:val="24"/>
        </w:rPr>
        <w:t>i</w:t>
      </w:r>
      <w:proofErr w:type="spellEnd"/>
      <w:r w:rsidRPr="00215E17">
        <w:rPr>
          <w:rFonts w:ascii="Times New Roman" w:hAnsi="Times New Roman"/>
          <w:sz w:val="24"/>
          <w:szCs w:val="24"/>
        </w:rPr>
        <w:t>) granted Network-1</w:t>
      </w:r>
      <w:r w:rsidR="003F0BAC">
        <w:rPr>
          <w:rFonts w:ascii="Times New Roman" w:hAnsi="Times New Roman"/>
          <w:sz w:val="24"/>
          <w:szCs w:val="24"/>
        </w:rPr>
        <w:t>’</w:t>
      </w:r>
      <w:r w:rsidRPr="00215E17">
        <w:rPr>
          <w:rFonts w:ascii="Times New Roman" w:hAnsi="Times New Roman"/>
          <w:sz w:val="24"/>
          <w:szCs w:val="24"/>
        </w:rPr>
        <w:t>s motion for judgment as a matter of law that its Remote Power Patent is valid, thereby overturning the HP jury verdict of invalidity and (ii) denied Network-1</w:t>
      </w:r>
      <w:r w:rsidR="003F0BAC">
        <w:rPr>
          <w:rFonts w:ascii="Times New Roman" w:hAnsi="Times New Roman"/>
          <w:sz w:val="24"/>
          <w:szCs w:val="24"/>
        </w:rPr>
        <w:t>’</w:t>
      </w:r>
      <w:r w:rsidRPr="00215E17">
        <w:rPr>
          <w:rFonts w:ascii="Times New Roman" w:hAnsi="Times New Roman"/>
          <w:sz w:val="24"/>
          <w:szCs w:val="24"/>
        </w:rPr>
        <w:t xml:space="preserve">s motion for a new trial on infringement.  </w:t>
      </w:r>
      <w:r>
        <w:rPr>
          <w:rFonts w:ascii="Times New Roman" w:hAnsi="Times New Roman"/>
          <w:sz w:val="24"/>
          <w:szCs w:val="24"/>
        </w:rPr>
        <w:t xml:space="preserve">On August 29, 2018, </w:t>
      </w:r>
      <w:r w:rsidRPr="00215E17">
        <w:rPr>
          <w:rFonts w:ascii="Times New Roman" w:hAnsi="Times New Roman"/>
          <w:sz w:val="24"/>
          <w:szCs w:val="24"/>
        </w:rPr>
        <w:t>Network-1 appealed the District Court</w:t>
      </w:r>
      <w:r w:rsidR="003F0BAC">
        <w:rPr>
          <w:rFonts w:ascii="Times New Roman" w:hAnsi="Times New Roman"/>
          <w:sz w:val="24"/>
          <w:szCs w:val="24"/>
        </w:rPr>
        <w:t>’</w:t>
      </w:r>
      <w:r w:rsidRPr="00215E17">
        <w:rPr>
          <w:rFonts w:ascii="Times New Roman" w:hAnsi="Times New Roman"/>
          <w:sz w:val="24"/>
          <w:szCs w:val="24"/>
        </w:rPr>
        <w:t xml:space="preserve">s denial of its motion for a </w:t>
      </w:r>
      <w:r w:rsidRPr="00A5726B">
        <w:rPr>
          <w:rFonts w:ascii="Times New Roman" w:hAnsi="Times New Roman"/>
          <w:sz w:val="24"/>
          <w:szCs w:val="24"/>
        </w:rPr>
        <w:t>new trial on infringement to the U.S. Court of Appeals for the Federal Circuit</w:t>
      </w:r>
      <w:r w:rsidR="004C6E8D" w:rsidRPr="00A5726B">
        <w:rPr>
          <w:rFonts w:ascii="Times New Roman" w:hAnsi="Times New Roman"/>
          <w:sz w:val="24"/>
          <w:szCs w:val="24"/>
        </w:rPr>
        <w:t>.</w:t>
      </w:r>
      <w:r w:rsidR="00A5726B" w:rsidRPr="00A5726B">
        <w:rPr>
          <w:rFonts w:ascii="Times New Roman" w:hAnsi="Times New Roman"/>
          <w:sz w:val="24"/>
          <w:szCs w:val="24"/>
        </w:rPr>
        <w:t xml:space="preserve"> On September 24, 2020, the Court of Appeals ruled in </w:t>
      </w:r>
      <w:r w:rsidR="00854EED">
        <w:rPr>
          <w:rFonts w:ascii="Times New Roman" w:hAnsi="Times New Roman"/>
          <w:sz w:val="24"/>
          <w:szCs w:val="24"/>
        </w:rPr>
        <w:t>Network</w:t>
      </w:r>
      <w:r w:rsidR="00854EED">
        <w:rPr>
          <w:rFonts w:ascii="Times New Roman" w:hAnsi="Times New Roman"/>
          <w:sz w:val="24"/>
          <w:szCs w:val="24"/>
        </w:rPr>
        <w:noBreakHyphen/>
        <w:t>1</w:t>
      </w:r>
      <w:r w:rsidR="003F0BAC">
        <w:rPr>
          <w:rFonts w:ascii="Times New Roman" w:hAnsi="Times New Roman"/>
          <w:sz w:val="24"/>
          <w:szCs w:val="24"/>
        </w:rPr>
        <w:t>’</w:t>
      </w:r>
      <w:r w:rsidR="00854EED">
        <w:rPr>
          <w:rFonts w:ascii="Times New Roman" w:hAnsi="Times New Roman"/>
          <w:sz w:val="24"/>
          <w:szCs w:val="24"/>
        </w:rPr>
        <w:t xml:space="preserve">s </w:t>
      </w:r>
      <w:r w:rsidR="00A5726B" w:rsidRPr="00A5726B">
        <w:rPr>
          <w:rFonts w:ascii="Times New Roman" w:hAnsi="Times New Roman"/>
          <w:sz w:val="24"/>
          <w:szCs w:val="24"/>
        </w:rPr>
        <w:t xml:space="preserve">favor on </w:t>
      </w:r>
      <w:r w:rsidR="00854EED">
        <w:rPr>
          <w:rFonts w:ascii="Times New Roman" w:hAnsi="Times New Roman"/>
          <w:sz w:val="24"/>
          <w:szCs w:val="24"/>
        </w:rPr>
        <w:t>its</w:t>
      </w:r>
      <w:r w:rsidR="00A5726B" w:rsidRPr="00A5726B">
        <w:rPr>
          <w:rFonts w:ascii="Times New Roman" w:hAnsi="Times New Roman"/>
          <w:sz w:val="24"/>
          <w:szCs w:val="24"/>
        </w:rPr>
        <w:t xml:space="preserve"> appeal by overturning the judgment of non-infringement of the U.S. District Court of the Eastern District of Texas in </w:t>
      </w:r>
      <w:r w:rsidR="001A0860">
        <w:rPr>
          <w:rFonts w:ascii="Times New Roman" w:hAnsi="Times New Roman"/>
          <w:sz w:val="24"/>
          <w:szCs w:val="24"/>
        </w:rPr>
        <w:t>Network</w:t>
      </w:r>
      <w:r w:rsidR="001A0860">
        <w:rPr>
          <w:rFonts w:ascii="Times New Roman" w:hAnsi="Times New Roman"/>
          <w:sz w:val="24"/>
          <w:szCs w:val="24"/>
        </w:rPr>
        <w:noBreakHyphen/>
        <w:t>1</w:t>
      </w:r>
      <w:r w:rsidR="003F0BAC">
        <w:rPr>
          <w:rFonts w:ascii="Times New Roman" w:hAnsi="Times New Roman"/>
          <w:sz w:val="24"/>
          <w:szCs w:val="24"/>
        </w:rPr>
        <w:t>’</w:t>
      </w:r>
      <w:r w:rsidR="001A0860">
        <w:rPr>
          <w:rFonts w:ascii="Times New Roman" w:hAnsi="Times New Roman"/>
          <w:sz w:val="24"/>
          <w:szCs w:val="24"/>
        </w:rPr>
        <w:t>s</w:t>
      </w:r>
      <w:r w:rsidR="00A5726B" w:rsidRPr="00A5726B">
        <w:rPr>
          <w:rFonts w:ascii="Times New Roman" w:hAnsi="Times New Roman"/>
          <w:sz w:val="24"/>
          <w:szCs w:val="24"/>
        </w:rPr>
        <w:t xml:space="preserve"> litigation with HP involving </w:t>
      </w:r>
      <w:r w:rsidR="001A0860">
        <w:rPr>
          <w:rFonts w:ascii="Times New Roman" w:hAnsi="Times New Roman"/>
          <w:sz w:val="24"/>
          <w:szCs w:val="24"/>
        </w:rPr>
        <w:t>its</w:t>
      </w:r>
      <w:r w:rsidR="00A5726B" w:rsidRPr="00A5726B">
        <w:rPr>
          <w:rFonts w:ascii="Times New Roman" w:hAnsi="Times New Roman"/>
          <w:sz w:val="24"/>
          <w:szCs w:val="24"/>
        </w:rPr>
        <w:t xml:space="preserve"> Remote Power Patent.  The Federal Circuit also vacated the District Court judgment of validity of </w:t>
      </w:r>
      <w:r w:rsidR="00854EED">
        <w:rPr>
          <w:rFonts w:ascii="Times New Roman" w:hAnsi="Times New Roman"/>
          <w:sz w:val="24"/>
          <w:szCs w:val="24"/>
        </w:rPr>
        <w:t>the</w:t>
      </w:r>
      <w:r w:rsidR="00A5726B" w:rsidRPr="00A5726B">
        <w:rPr>
          <w:rFonts w:ascii="Times New Roman" w:hAnsi="Times New Roman"/>
          <w:sz w:val="24"/>
          <w:szCs w:val="24"/>
        </w:rPr>
        <w:t xml:space="preserve"> Remote Power Patent.  The Federal Circuit has remanded the case to the District Court for a new trial on infringement against HP and further proceedings on validity</w:t>
      </w:r>
      <w:r w:rsidR="00A5726B">
        <w:rPr>
          <w:rFonts w:ascii="Times New Roman" w:hAnsi="Times New Roman"/>
          <w:sz w:val="24"/>
          <w:szCs w:val="24"/>
        </w:rPr>
        <w:t>.</w:t>
      </w:r>
    </w:p>
    <w:p w14:paraId="3AF2490E" w14:textId="1DE942F2" w:rsidR="004C0BBB" w:rsidRPr="004C0BBB" w:rsidRDefault="004C0BBB" w:rsidP="00D261E3">
      <w:pPr>
        <w:pStyle w:val="ListParagraph"/>
        <w:numPr>
          <w:ilvl w:val="0"/>
          <w:numId w:val="12"/>
        </w:numPr>
        <w:spacing w:after="240" w:line="240" w:lineRule="auto"/>
        <w:jc w:val="both"/>
        <w:rPr>
          <w:rFonts w:ascii="Times New Roman" w:eastAsiaTheme="minorEastAsia" w:hAnsi="Times New Roman"/>
          <w:sz w:val="24"/>
          <w:szCs w:val="24"/>
        </w:rPr>
      </w:pPr>
      <w:r w:rsidRPr="004C0BBB">
        <w:rPr>
          <w:rFonts w:ascii="Times New Roman" w:eastAsiaTheme="minorEastAsia" w:hAnsi="Times New Roman"/>
          <w:sz w:val="24"/>
          <w:szCs w:val="24"/>
        </w:rPr>
        <w:t xml:space="preserve">On March </w:t>
      </w:r>
      <w:r w:rsidR="001A0860">
        <w:rPr>
          <w:rFonts w:ascii="Times New Roman" w:eastAsiaTheme="minorEastAsia" w:hAnsi="Times New Roman"/>
          <w:sz w:val="24"/>
          <w:szCs w:val="24"/>
        </w:rPr>
        <w:t>30</w:t>
      </w:r>
      <w:r w:rsidRPr="004C0BBB">
        <w:rPr>
          <w:rFonts w:ascii="Times New Roman" w:eastAsiaTheme="minorEastAsia" w:hAnsi="Times New Roman"/>
          <w:sz w:val="24"/>
          <w:szCs w:val="24"/>
        </w:rPr>
        <w:t>, 2021, Network-1 entered into an Amendment (</w:t>
      </w:r>
      <w:r w:rsidR="003F0BAC">
        <w:rPr>
          <w:rFonts w:ascii="Times New Roman" w:eastAsiaTheme="minorEastAsia" w:hAnsi="Times New Roman"/>
          <w:sz w:val="24"/>
          <w:szCs w:val="24"/>
        </w:rPr>
        <w:t>“</w:t>
      </w:r>
      <w:r w:rsidRPr="004C0BBB">
        <w:rPr>
          <w:rFonts w:ascii="Times New Roman" w:eastAsiaTheme="minorEastAsia" w:hAnsi="Times New Roman"/>
          <w:sz w:val="24"/>
          <w:szCs w:val="24"/>
        </w:rPr>
        <w:t>Amendment</w:t>
      </w:r>
      <w:r w:rsidR="003F0BAC">
        <w:rPr>
          <w:rFonts w:ascii="Times New Roman" w:eastAsiaTheme="minorEastAsia" w:hAnsi="Times New Roman"/>
          <w:sz w:val="24"/>
          <w:szCs w:val="24"/>
        </w:rPr>
        <w:t>”</w:t>
      </w:r>
      <w:r w:rsidRPr="004C0BBB">
        <w:rPr>
          <w:rFonts w:ascii="Times New Roman" w:eastAsiaTheme="minorEastAsia" w:hAnsi="Times New Roman"/>
          <w:sz w:val="24"/>
          <w:szCs w:val="24"/>
        </w:rPr>
        <w:t>) to the Settlement and License Agreement between Network-1 and Cisco, dated May 25, 2011</w:t>
      </w:r>
      <w:r w:rsidR="00854EED">
        <w:rPr>
          <w:rFonts w:ascii="Times New Roman" w:eastAsiaTheme="minorEastAsia" w:hAnsi="Times New Roman"/>
          <w:sz w:val="24"/>
          <w:szCs w:val="24"/>
        </w:rPr>
        <w:t xml:space="preserve"> </w:t>
      </w:r>
      <w:r w:rsidR="00854EED" w:rsidRPr="004C0BBB">
        <w:rPr>
          <w:rFonts w:ascii="Times New Roman" w:eastAsiaTheme="minorEastAsia" w:hAnsi="Times New Roman"/>
          <w:sz w:val="24"/>
          <w:szCs w:val="24"/>
        </w:rPr>
        <w:t>(</w:t>
      </w:r>
      <w:r w:rsidR="00854EED">
        <w:rPr>
          <w:rFonts w:ascii="Times New Roman" w:eastAsiaTheme="minorEastAsia" w:hAnsi="Times New Roman"/>
          <w:sz w:val="24"/>
          <w:szCs w:val="24"/>
        </w:rPr>
        <w:t xml:space="preserve">the </w:t>
      </w:r>
      <w:r w:rsidR="003F0BAC">
        <w:rPr>
          <w:rFonts w:ascii="Times New Roman" w:eastAsiaTheme="minorEastAsia" w:hAnsi="Times New Roman"/>
          <w:sz w:val="24"/>
          <w:szCs w:val="24"/>
        </w:rPr>
        <w:t>“</w:t>
      </w:r>
      <w:r w:rsidR="00854EED" w:rsidRPr="004C0BBB">
        <w:rPr>
          <w:rFonts w:ascii="Times New Roman" w:eastAsiaTheme="minorEastAsia" w:hAnsi="Times New Roman"/>
          <w:sz w:val="24"/>
          <w:szCs w:val="24"/>
        </w:rPr>
        <w:t>Agreement</w:t>
      </w:r>
      <w:r w:rsidR="003F0BAC">
        <w:rPr>
          <w:rFonts w:ascii="Times New Roman" w:eastAsiaTheme="minorEastAsia" w:hAnsi="Times New Roman"/>
          <w:sz w:val="24"/>
          <w:szCs w:val="24"/>
        </w:rPr>
        <w:t>”</w:t>
      </w:r>
      <w:r w:rsidR="00854EED" w:rsidRPr="004C0BBB">
        <w:rPr>
          <w:rFonts w:ascii="Times New Roman" w:eastAsiaTheme="minorEastAsia" w:hAnsi="Times New Roman"/>
          <w:sz w:val="24"/>
          <w:szCs w:val="24"/>
        </w:rPr>
        <w:t>)</w:t>
      </w:r>
      <w:r w:rsidRPr="004C0BBB">
        <w:rPr>
          <w:rFonts w:ascii="Times New Roman" w:eastAsiaTheme="minorEastAsia" w:hAnsi="Times New Roman"/>
          <w:sz w:val="24"/>
          <w:szCs w:val="24"/>
        </w:rPr>
        <w:t>. Pursuant to the Amendment, Cisco agreed to pay $18,691,890 to Network-1 to resolve a dispute relating to Cisco</w:t>
      </w:r>
      <w:r w:rsidR="003F0BAC">
        <w:rPr>
          <w:rFonts w:ascii="Times New Roman" w:eastAsiaTheme="minorEastAsia" w:hAnsi="Times New Roman"/>
          <w:sz w:val="24"/>
          <w:szCs w:val="24"/>
        </w:rPr>
        <w:t>’</w:t>
      </w:r>
      <w:r w:rsidRPr="004C0BBB">
        <w:rPr>
          <w:rFonts w:ascii="Times New Roman" w:eastAsiaTheme="minorEastAsia" w:hAnsi="Times New Roman"/>
          <w:sz w:val="24"/>
          <w:szCs w:val="24"/>
        </w:rPr>
        <w:t>s contractual obligation to pay royalties under the Agreement to Network-1 for the period beginning in the fourth quarter of 2017 through March 7, 2020 (when the Remote Power Patent expired) with respect to licensing the Remote Power Patent</w:t>
      </w:r>
      <w:r w:rsidR="008B3509">
        <w:rPr>
          <w:rFonts w:ascii="Times New Roman" w:eastAsiaTheme="minorEastAsia" w:hAnsi="Times New Roman"/>
          <w:sz w:val="24"/>
          <w:szCs w:val="24"/>
        </w:rPr>
        <w:t>.</w:t>
      </w:r>
    </w:p>
    <w:p w14:paraId="5ED93CA8" w14:textId="2FE74114" w:rsidR="00A5726B" w:rsidRPr="004C0BBB" w:rsidRDefault="001A0860" w:rsidP="00A5726B">
      <w:pPr>
        <w:pStyle w:val="ListParagraph"/>
        <w:numPr>
          <w:ilvl w:val="0"/>
          <w:numId w:val="12"/>
        </w:numPr>
        <w:spacing w:after="240"/>
        <w:jc w:val="both"/>
        <w:rPr>
          <w:rFonts w:ascii="Times New Roman" w:hAnsi="Times New Roman"/>
          <w:sz w:val="24"/>
          <w:szCs w:val="24"/>
        </w:rPr>
      </w:pPr>
      <w:r>
        <w:rPr>
          <w:rFonts w:ascii="Times New Roman" w:hAnsi="Times New Roman"/>
          <w:sz w:val="24"/>
          <w:szCs w:val="24"/>
        </w:rPr>
        <w:t>On July 28, 2020, Network</w:t>
      </w:r>
      <w:r>
        <w:rPr>
          <w:rFonts w:ascii="Times New Roman" w:hAnsi="Times New Roman"/>
          <w:sz w:val="24"/>
          <w:szCs w:val="24"/>
        </w:rPr>
        <w:noBreakHyphen/>
        <w:t xml:space="preserve">1 agreed to </w:t>
      </w:r>
      <w:r w:rsidRPr="001A0860">
        <w:rPr>
          <w:rFonts w:ascii="Times New Roman" w:hAnsi="Times New Roman"/>
          <w:sz w:val="24"/>
          <w:szCs w:val="24"/>
        </w:rPr>
        <w:t>settle its litigation against Dell, Inc. (</w:t>
      </w:r>
      <w:r w:rsidR="003F0BAC">
        <w:rPr>
          <w:rFonts w:ascii="Times New Roman" w:hAnsi="Times New Roman"/>
          <w:sz w:val="24"/>
          <w:szCs w:val="24"/>
        </w:rPr>
        <w:t>“</w:t>
      </w:r>
      <w:r w:rsidRPr="001A0860">
        <w:rPr>
          <w:rFonts w:ascii="Times New Roman" w:hAnsi="Times New Roman"/>
          <w:sz w:val="24"/>
          <w:szCs w:val="24"/>
        </w:rPr>
        <w:t>Dell</w:t>
      </w:r>
      <w:r w:rsidR="003F0BAC">
        <w:rPr>
          <w:rFonts w:ascii="Times New Roman" w:hAnsi="Times New Roman"/>
          <w:sz w:val="24"/>
          <w:szCs w:val="24"/>
        </w:rPr>
        <w:t>”</w:t>
      </w:r>
      <w:r w:rsidRPr="001A0860">
        <w:rPr>
          <w:rFonts w:ascii="Times New Roman" w:hAnsi="Times New Roman"/>
          <w:sz w:val="24"/>
          <w:szCs w:val="24"/>
        </w:rPr>
        <w:t>) pending in the District Court, 241</w:t>
      </w:r>
      <w:r w:rsidRPr="001A0860">
        <w:rPr>
          <w:rFonts w:ascii="Times New Roman" w:hAnsi="Times New Roman"/>
          <w:sz w:val="24"/>
          <w:szCs w:val="24"/>
          <w:vertAlign w:val="superscript"/>
        </w:rPr>
        <w:t>st</w:t>
      </w:r>
      <w:r w:rsidRPr="001A0860">
        <w:rPr>
          <w:rFonts w:ascii="Times New Roman" w:hAnsi="Times New Roman"/>
          <w:sz w:val="24"/>
          <w:szCs w:val="24"/>
        </w:rPr>
        <w:t xml:space="preserve"> Judicial District Smith County, Texas.  The litigation relate</w:t>
      </w:r>
      <w:r>
        <w:rPr>
          <w:rFonts w:ascii="Times New Roman" w:hAnsi="Times New Roman"/>
          <w:sz w:val="24"/>
          <w:szCs w:val="24"/>
        </w:rPr>
        <w:t>d</w:t>
      </w:r>
      <w:r w:rsidRPr="001A0860">
        <w:rPr>
          <w:rFonts w:ascii="Times New Roman" w:hAnsi="Times New Roman"/>
          <w:sz w:val="24"/>
          <w:szCs w:val="24"/>
        </w:rPr>
        <w:t xml:space="preserve"> to a dispute regarding a Settlement and License Agreement, dated August 15, 2016, with respect to royalty payments relating to licensing Network-1</w:t>
      </w:r>
      <w:r w:rsidR="003F0BAC">
        <w:rPr>
          <w:rFonts w:ascii="Times New Roman" w:hAnsi="Times New Roman"/>
          <w:sz w:val="24"/>
          <w:szCs w:val="24"/>
        </w:rPr>
        <w:t>’</w:t>
      </w:r>
      <w:r w:rsidRPr="001A0860">
        <w:rPr>
          <w:rFonts w:ascii="Times New Roman" w:hAnsi="Times New Roman"/>
          <w:sz w:val="24"/>
          <w:szCs w:val="24"/>
        </w:rPr>
        <w:t xml:space="preserve">s Remote Power Patent.  Under the terms of the settlement, Dell </w:t>
      </w:r>
      <w:r w:rsidR="005B7DC6">
        <w:rPr>
          <w:rFonts w:ascii="Times New Roman" w:hAnsi="Times New Roman"/>
          <w:sz w:val="24"/>
          <w:szCs w:val="24"/>
        </w:rPr>
        <w:t>paid Network</w:t>
      </w:r>
      <w:r w:rsidR="005B7DC6">
        <w:rPr>
          <w:rFonts w:ascii="Times New Roman" w:hAnsi="Times New Roman"/>
          <w:sz w:val="24"/>
          <w:szCs w:val="24"/>
        </w:rPr>
        <w:noBreakHyphen/>
        <w:t>1</w:t>
      </w:r>
      <w:r w:rsidRPr="001A0860">
        <w:rPr>
          <w:rFonts w:ascii="Times New Roman" w:hAnsi="Times New Roman"/>
          <w:sz w:val="24"/>
          <w:szCs w:val="24"/>
        </w:rPr>
        <w:t xml:space="preserve"> $4,150,000 in full settlement of the litigation.</w:t>
      </w:r>
    </w:p>
    <w:p w14:paraId="761B02D8" w14:textId="79F795FA" w:rsidR="00A5726B" w:rsidRPr="004C0BBB" w:rsidRDefault="00A5726B" w:rsidP="00A5726B">
      <w:pPr>
        <w:pStyle w:val="ListParagraph"/>
        <w:numPr>
          <w:ilvl w:val="0"/>
          <w:numId w:val="12"/>
        </w:numPr>
        <w:spacing w:after="240"/>
        <w:jc w:val="both"/>
        <w:rPr>
          <w:rFonts w:ascii="Times New Roman" w:hAnsi="Times New Roman"/>
          <w:sz w:val="24"/>
          <w:szCs w:val="24"/>
        </w:rPr>
      </w:pPr>
      <w:r w:rsidRPr="004C0BBB">
        <w:rPr>
          <w:rFonts w:ascii="Times New Roman" w:hAnsi="Times New Roman"/>
          <w:sz w:val="24"/>
          <w:szCs w:val="24"/>
        </w:rPr>
        <w:t xml:space="preserve">On December 15, 2020, </w:t>
      </w:r>
      <w:r w:rsidR="00762466">
        <w:rPr>
          <w:rFonts w:ascii="Times New Roman" w:hAnsi="Times New Roman"/>
          <w:sz w:val="24"/>
          <w:szCs w:val="24"/>
        </w:rPr>
        <w:t>Network</w:t>
      </w:r>
      <w:r w:rsidR="00762466">
        <w:rPr>
          <w:rFonts w:ascii="Times New Roman" w:hAnsi="Times New Roman"/>
          <w:sz w:val="24"/>
          <w:szCs w:val="24"/>
        </w:rPr>
        <w:noBreakHyphen/>
        <w:t xml:space="preserve">1 </w:t>
      </w:r>
      <w:r w:rsidRPr="004C0BBB">
        <w:rPr>
          <w:rFonts w:ascii="Times New Roman" w:hAnsi="Times New Roman"/>
          <w:sz w:val="24"/>
          <w:szCs w:val="24"/>
        </w:rPr>
        <w:t xml:space="preserve">filed a lawsuit against </w:t>
      </w:r>
      <w:proofErr w:type="spellStart"/>
      <w:r w:rsidRPr="004C0BBB">
        <w:rPr>
          <w:rFonts w:ascii="Times New Roman" w:hAnsi="Times New Roman"/>
          <w:sz w:val="24"/>
          <w:szCs w:val="24"/>
        </w:rPr>
        <w:t>Netgear</w:t>
      </w:r>
      <w:proofErr w:type="spellEnd"/>
      <w:r w:rsidRPr="004C0BBB">
        <w:rPr>
          <w:rFonts w:ascii="Times New Roman" w:hAnsi="Times New Roman"/>
          <w:sz w:val="24"/>
          <w:szCs w:val="24"/>
        </w:rPr>
        <w:t xml:space="preserve"> in the Supreme Court of the State of New York, County of New York, for breach of a Settlement and License Agreement, dated May 22, 2009, with </w:t>
      </w:r>
      <w:r w:rsidR="00762466">
        <w:rPr>
          <w:rFonts w:ascii="Times New Roman" w:hAnsi="Times New Roman"/>
          <w:sz w:val="24"/>
          <w:szCs w:val="24"/>
        </w:rPr>
        <w:t>Network</w:t>
      </w:r>
      <w:r w:rsidR="00762466">
        <w:rPr>
          <w:rFonts w:ascii="Times New Roman" w:hAnsi="Times New Roman"/>
          <w:sz w:val="24"/>
          <w:szCs w:val="24"/>
        </w:rPr>
        <w:noBreakHyphen/>
        <w:t>1</w:t>
      </w:r>
      <w:r w:rsidRPr="004C0BBB">
        <w:rPr>
          <w:rFonts w:ascii="Times New Roman" w:hAnsi="Times New Roman"/>
          <w:sz w:val="24"/>
          <w:szCs w:val="24"/>
        </w:rPr>
        <w:t xml:space="preserve"> for </w:t>
      </w:r>
      <w:proofErr w:type="spellStart"/>
      <w:r w:rsidRPr="004C0BBB">
        <w:rPr>
          <w:rFonts w:ascii="Times New Roman" w:hAnsi="Times New Roman"/>
          <w:sz w:val="24"/>
          <w:szCs w:val="24"/>
        </w:rPr>
        <w:t>Netgear</w:t>
      </w:r>
      <w:r w:rsidR="003F0BAC">
        <w:rPr>
          <w:rFonts w:ascii="Times New Roman" w:hAnsi="Times New Roman"/>
          <w:sz w:val="24"/>
          <w:szCs w:val="24"/>
        </w:rPr>
        <w:t>’</w:t>
      </w:r>
      <w:r w:rsidRPr="004C0BBB">
        <w:rPr>
          <w:rFonts w:ascii="Times New Roman" w:hAnsi="Times New Roman"/>
          <w:sz w:val="24"/>
          <w:szCs w:val="24"/>
        </w:rPr>
        <w:t>s</w:t>
      </w:r>
      <w:proofErr w:type="spellEnd"/>
      <w:r w:rsidRPr="004C0BBB">
        <w:rPr>
          <w:rFonts w:ascii="Times New Roman" w:hAnsi="Times New Roman"/>
          <w:sz w:val="24"/>
          <w:szCs w:val="24"/>
        </w:rPr>
        <w:t xml:space="preserve"> failure to make royalty payments, and provide corresponding royalty reports, to </w:t>
      </w:r>
      <w:r w:rsidR="00762466">
        <w:rPr>
          <w:rFonts w:ascii="Times New Roman" w:hAnsi="Times New Roman"/>
          <w:sz w:val="24"/>
          <w:szCs w:val="24"/>
        </w:rPr>
        <w:t>Network</w:t>
      </w:r>
      <w:r w:rsidR="00762466">
        <w:rPr>
          <w:rFonts w:ascii="Times New Roman" w:hAnsi="Times New Roman"/>
          <w:sz w:val="24"/>
          <w:szCs w:val="24"/>
        </w:rPr>
        <w:noBreakHyphen/>
        <w:t>1</w:t>
      </w:r>
      <w:r w:rsidRPr="004C0BBB">
        <w:rPr>
          <w:rFonts w:ascii="Times New Roman" w:hAnsi="Times New Roman"/>
          <w:sz w:val="24"/>
          <w:szCs w:val="24"/>
        </w:rPr>
        <w:t xml:space="preserve"> based on sales of </w:t>
      </w:r>
      <w:proofErr w:type="spellStart"/>
      <w:r w:rsidRPr="004C0BBB">
        <w:rPr>
          <w:rFonts w:ascii="Times New Roman" w:hAnsi="Times New Roman"/>
          <w:sz w:val="24"/>
          <w:szCs w:val="24"/>
        </w:rPr>
        <w:t>Netgear</w:t>
      </w:r>
      <w:r w:rsidR="003F0BAC">
        <w:rPr>
          <w:rFonts w:ascii="Times New Roman" w:hAnsi="Times New Roman"/>
          <w:sz w:val="24"/>
          <w:szCs w:val="24"/>
        </w:rPr>
        <w:t>’</w:t>
      </w:r>
      <w:r w:rsidRPr="004C0BBB">
        <w:rPr>
          <w:rFonts w:ascii="Times New Roman" w:hAnsi="Times New Roman"/>
          <w:sz w:val="24"/>
          <w:szCs w:val="24"/>
        </w:rPr>
        <w:t>s</w:t>
      </w:r>
      <w:proofErr w:type="spellEnd"/>
      <w:r w:rsidRPr="004C0BBB">
        <w:rPr>
          <w:rFonts w:ascii="Times New Roman" w:hAnsi="Times New Roman"/>
          <w:sz w:val="24"/>
          <w:szCs w:val="24"/>
        </w:rPr>
        <w:t xml:space="preserve"> PoE products. The litigation is currently pending.</w:t>
      </w:r>
    </w:p>
    <w:p w14:paraId="1B1B6FA3" w14:textId="77777777" w:rsidR="00D261E3" w:rsidRDefault="00D261E3">
      <w:pPr>
        <w:autoSpaceDE/>
        <w:autoSpaceDN/>
        <w:adjustRightInd/>
        <w:rPr>
          <w:rFonts w:ascii="Times New Roman" w:hAnsi="Times New Roman"/>
          <w:sz w:val="24"/>
          <w:szCs w:val="24"/>
        </w:rPr>
      </w:pPr>
      <w:r>
        <w:rPr>
          <w:rFonts w:ascii="Times New Roman" w:hAnsi="Times New Roman"/>
          <w:sz w:val="24"/>
          <w:szCs w:val="24"/>
        </w:rPr>
        <w:br w:type="page"/>
      </w:r>
    </w:p>
    <w:p w14:paraId="35955B55" w14:textId="10AB6A58" w:rsidR="00A5726B" w:rsidRPr="001456EE" w:rsidRDefault="00A5726B" w:rsidP="00A5726B">
      <w:pPr>
        <w:pStyle w:val="ListParagraph"/>
        <w:numPr>
          <w:ilvl w:val="0"/>
          <w:numId w:val="12"/>
        </w:numPr>
        <w:spacing w:after="240"/>
        <w:jc w:val="both"/>
        <w:rPr>
          <w:rFonts w:ascii="Times New Roman" w:hAnsi="Times New Roman"/>
          <w:sz w:val="24"/>
          <w:szCs w:val="24"/>
        </w:rPr>
      </w:pPr>
      <w:r w:rsidRPr="004C0BBB">
        <w:rPr>
          <w:rFonts w:ascii="Times New Roman" w:hAnsi="Times New Roman"/>
          <w:sz w:val="24"/>
          <w:szCs w:val="24"/>
        </w:rPr>
        <w:lastRenderedPageBreak/>
        <w:t xml:space="preserve">On January 7, 2021, </w:t>
      </w:r>
      <w:r w:rsidR="00762466">
        <w:rPr>
          <w:rFonts w:ascii="Times New Roman" w:hAnsi="Times New Roman"/>
          <w:sz w:val="24"/>
          <w:szCs w:val="24"/>
        </w:rPr>
        <w:t>Network</w:t>
      </w:r>
      <w:r w:rsidR="00762466">
        <w:rPr>
          <w:rFonts w:ascii="Times New Roman" w:hAnsi="Times New Roman"/>
          <w:sz w:val="24"/>
          <w:szCs w:val="24"/>
        </w:rPr>
        <w:noBreakHyphen/>
        <w:t xml:space="preserve">1 </w:t>
      </w:r>
      <w:r w:rsidRPr="004C0BBB">
        <w:rPr>
          <w:rFonts w:ascii="Times New Roman" w:hAnsi="Times New Roman"/>
          <w:sz w:val="24"/>
          <w:szCs w:val="24"/>
        </w:rPr>
        <w:t xml:space="preserve">filed a lawsuit against Plantronics, Inc., the successor to Polycom, Inc., in the Superior Court of the State of California, County of Santa Clara, for breach of a Settlement and License Agreement, dated September 2016, with </w:t>
      </w:r>
      <w:r w:rsidR="00762466">
        <w:rPr>
          <w:rFonts w:ascii="Times New Roman" w:hAnsi="Times New Roman"/>
          <w:sz w:val="24"/>
          <w:szCs w:val="24"/>
        </w:rPr>
        <w:t>Network</w:t>
      </w:r>
      <w:r w:rsidR="00762466">
        <w:rPr>
          <w:rFonts w:ascii="Times New Roman" w:hAnsi="Times New Roman"/>
          <w:sz w:val="24"/>
          <w:szCs w:val="24"/>
        </w:rPr>
        <w:noBreakHyphen/>
        <w:t xml:space="preserve">1 </w:t>
      </w:r>
      <w:r w:rsidRPr="004C0BBB">
        <w:rPr>
          <w:rFonts w:ascii="Times New Roman" w:hAnsi="Times New Roman"/>
          <w:sz w:val="24"/>
          <w:szCs w:val="24"/>
        </w:rPr>
        <w:t xml:space="preserve">for the failure of Plantronics and Polycom to make royalty payments, and provide corresponding royalty reports, to </w:t>
      </w:r>
      <w:r w:rsidR="00762466">
        <w:rPr>
          <w:rFonts w:ascii="Times New Roman" w:hAnsi="Times New Roman"/>
          <w:sz w:val="24"/>
          <w:szCs w:val="24"/>
        </w:rPr>
        <w:t>Network</w:t>
      </w:r>
      <w:r w:rsidR="00762466">
        <w:rPr>
          <w:rFonts w:ascii="Times New Roman" w:hAnsi="Times New Roman"/>
          <w:sz w:val="24"/>
          <w:szCs w:val="24"/>
        </w:rPr>
        <w:noBreakHyphen/>
        <w:t xml:space="preserve">1 </w:t>
      </w:r>
      <w:r w:rsidRPr="004C0BBB">
        <w:rPr>
          <w:rFonts w:ascii="Times New Roman" w:hAnsi="Times New Roman"/>
          <w:sz w:val="24"/>
          <w:szCs w:val="24"/>
        </w:rPr>
        <w:t>based on sales of PoE products.  The litigation is currently pending.</w:t>
      </w:r>
    </w:p>
    <w:p w14:paraId="31408373" w14:textId="156808B5" w:rsidR="00A674DC" w:rsidRPr="00266926" w:rsidRDefault="004C0BBB" w:rsidP="00266926">
      <w:pPr>
        <w:pStyle w:val="ListParagraph"/>
        <w:numPr>
          <w:ilvl w:val="0"/>
          <w:numId w:val="12"/>
        </w:numPr>
        <w:spacing w:after="240"/>
        <w:jc w:val="both"/>
        <w:rPr>
          <w:rFonts w:ascii="Times New Roman" w:hAnsi="Times New Roman"/>
          <w:sz w:val="24"/>
          <w:szCs w:val="24"/>
        </w:rPr>
      </w:pPr>
      <w:r w:rsidRPr="004C0BBB">
        <w:rPr>
          <w:rFonts w:ascii="Times New Roman" w:hAnsi="Times New Roman"/>
          <w:sz w:val="24"/>
          <w:szCs w:val="24"/>
        </w:rPr>
        <w:t>Between December 2018 and March 2021</w:t>
      </w:r>
      <w:r w:rsidR="00A674DC" w:rsidRPr="004C0BBB">
        <w:rPr>
          <w:rFonts w:ascii="Times New Roman" w:hAnsi="Times New Roman"/>
          <w:sz w:val="24"/>
          <w:szCs w:val="24"/>
        </w:rPr>
        <w:t xml:space="preserve">, </w:t>
      </w:r>
      <w:r w:rsidR="001B739E" w:rsidRPr="004C0BBB">
        <w:rPr>
          <w:rFonts w:ascii="Times New Roman" w:hAnsi="Times New Roman"/>
          <w:sz w:val="24"/>
          <w:szCs w:val="24"/>
        </w:rPr>
        <w:t xml:space="preserve">Network-1 </w:t>
      </w:r>
      <w:r w:rsidRPr="004C0BBB">
        <w:rPr>
          <w:rFonts w:ascii="Times New Roman" w:hAnsi="Times New Roman"/>
          <w:sz w:val="24"/>
          <w:szCs w:val="24"/>
        </w:rPr>
        <w:t>made an aggregate investment</w:t>
      </w:r>
      <w:r w:rsidR="00A674DC" w:rsidRPr="004C0BBB">
        <w:rPr>
          <w:rFonts w:ascii="Times New Roman" w:hAnsi="Times New Roman"/>
          <w:sz w:val="24"/>
          <w:szCs w:val="24"/>
        </w:rPr>
        <w:t xml:space="preserve"> of $</w:t>
      </w:r>
      <w:r w:rsidRPr="004C0BBB">
        <w:rPr>
          <w:rFonts w:ascii="Times New Roman" w:hAnsi="Times New Roman"/>
          <w:sz w:val="24"/>
          <w:szCs w:val="24"/>
        </w:rPr>
        <w:t>6</w:t>
      </w:r>
      <w:r w:rsidR="00A674DC" w:rsidRPr="004C0BBB">
        <w:rPr>
          <w:rFonts w:ascii="Times New Roman" w:hAnsi="Times New Roman"/>
          <w:sz w:val="24"/>
          <w:szCs w:val="24"/>
        </w:rPr>
        <w:t xml:space="preserve">,000,000 in </w:t>
      </w:r>
      <w:proofErr w:type="spellStart"/>
      <w:r w:rsidR="00A674DC" w:rsidRPr="004C0BBB">
        <w:rPr>
          <w:rFonts w:ascii="Times New Roman" w:hAnsi="Times New Roman"/>
          <w:sz w:val="24"/>
          <w:szCs w:val="24"/>
        </w:rPr>
        <w:t>ILiAD</w:t>
      </w:r>
      <w:proofErr w:type="spellEnd"/>
      <w:r w:rsidR="00A674DC" w:rsidRPr="004C0BBB">
        <w:rPr>
          <w:rFonts w:ascii="Times New Roman" w:hAnsi="Times New Roman"/>
          <w:sz w:val="24"/>
          <w:szCs w:val="24"/>
        </w:rPr>
        <w:t xml:space="preserve"> Biotechnologies, LLC (</w:t>
      </w:r>
      <w:r w:rsidR="003F0BAC">
        <w:rPr>
          <w:rFonts w:ascii="Times New Roman" w:hAnsi="Times New Roman"/>
          <w:sz w:val="24"/>
          <w:szCs w:val="24"/>
        </w:rPr>
        <w:t>“</w:t>
      </w:r>
      <w:proofErr w:type="spellStart"/>
      <w:r w:rsidR="00A674DC" w:rsidRPr="004C0BBB">
        <w:rPr>
          <w:rFonts w:ascii="Times New Roman" w:hAnsi="Times New Roman"/>
          <w:sz w:val="24"/>
          <w:szCs w:val="24"/>
        </w:rPr>
        <w:t>ILiAD</w:t>
      </w:r>
      <w:proofErr w:type="spellEnd"/>
      <w:r w:rsidR="003F0BAC">
        <w:rPr>
          <w:rFonts w:ascii="Times New Roman" w:hAnsi="Times New Roman"/>
          <w:sz w:val="24"/>
          <w:szCs w:val="24"/>
        </w:rPr>
        <w:t>”</w:t>
      </w:r>
      <w:r w:rsidR="00A674DC" w:rsidRPr="004C0BBB">
        <w:rPr>
          <w:rFonts w:ascii="Times New Roman" w:hAnsi="Times New Roman"/>
          <w:sz w:val="24"/>
          <w:szCs w:val="24"/>
        </w:rPr>
        <w:t xml:space="preserve">), a privately held development stage biotechnology company dedicated to the prevention of human disease caused by Bordetella pertussis with a current focus on its proprietary intranasal vaccine, BPZE1, for the prevention of pertussis (whooping cough). </w:t>
      </w:r>
      <w:r w:rsidRPr="004C0BBB">
        <w:rPr>
          <w:rFonts w:ascii="Times New Roman" w:hAnsi="Times New Roman"/>
          <w:sz w:val="24"/>
          <w:szCs w:val="24"/>
        </w:rPr>
        <w:t xml:space="preserve">Pertussis is a life-threatening disease caused by the highly contagious respiratory bacterium </w:t>
      </w:r>
      <w:r w:rsidRPr="004C0BBB">
        <w:rPr>
          <w:rFonts w:ascii="Times New Roman" w:hAnsi="Times New Roman"/>
          <w:i/>
          <w:sz w:val="24"/>
          <w:szCs w:val="24"/>
        </w:rPr>
        <w:t>Bordetella pertussis</w:t>
      </w:r>
      <w:r w:rsidRPr="004C0BBB">
        <w:rPr>
          <w:rFonts w:ascii="Times New Roman" w:hAnsi="Times New Roman"/>
          <w:sz w:val="24"/>
          <w:szCs w:val="24"/>
        </w:rPr>
        <w:t xml:space="preserve">. According to the U.S. Centers for Disease Control and Prevention, each year pertussis affects approximately 16 million people globally, accounting for nearly 200,000 deaths.  </w:t>
      </w:r>
      <w:proofErr w:type="spellStart"/>
      <w:r w:rsidRPr="004C0BBB">
        <w:rPr>
          <w:rFonts w:ascii="Times New Roman" w:hAnsi="Times New Roman"/>
          <w:sz w:val="24"/>
          <w:szCs w:val="24"/>
        </w:rPr>
        <w:t>ILiAD</w:t>
      </w:r>
      <w:proofErr w:type="spellEnd"/>
      <w:r w:rsidRPr="004C0BBB">
        <w:rPr>
          <w:rFonts w:ascii="Times New Roman" w:hAnsi="Times New Roman"/>
          <w:sz w:val="24"/>
          <w:szCs w:val="24"/>
        </w:rPr>
        <w:t xml:space="preserve"> has the exclusive license to fifty-one (51) issued patents and has thirty-five (35) pending patent applications</w:t>
      </w:r>
      <w:r w:rsidR="00266926">
        <w:rPr>
          <w:rFonts w:ascii="Times New Roman" w:hAnsi="Times New Roman"/>
          <w:sz w:val="24"/>
          <w:szCs w:val="24"/>
        </w:rPr>
        <w:t xml:space="preserve">. </w:t>
      </w:r>
      <w:r w:rsidR="001B739E" w:rsidRPr="00266926">
        <w:rPr>
          <w:rFonts w:ascii="Times New Roman" w:hAnsi="Times New Roman"/>
          <w:sz w:val="24"/>
          <w:szCs w:val="24"/>
        </w:rPr>
        <w:t xml:space="preserve">Network-1 </w:t>
      </w:r>
      <w:r w:rsidR="00A674DC" w:rsidRPr="00266926">
        <w:rPr>
          <w:rFonts w:ascii="Times New Roman" w:hAnsi="Times New Roman"/>
          <w:sz w:val="24"/>
          <w:szCs w:val="24"/>
        </w:rPr>
        <w:t xml:space="preserve">owned approximately </w:t>
      </w:r>
      <w:r w:rsidR="009233C0">
        <w:rPr>
          <w:rFonts w:ascii="Times New Roman" w:hAnsi="Times New Roman"/>
          <w:sz w:val="24"/>
          <w:szCs w:val="24"/>
        </w:rPr>
        <w:t>9.5</w:t>
      </w:r>
      <w:r w:rsidR="00A674DC" w:rsidRPr="00266926">
        <w:rPr>
          <w:rFonts w:ascii="Times New Roman" w:hAnsi="Times New Roman"/>
          <w:sz w:val="24"/>
          <w:szCs w:val="24"/>
        </w:rPr>
        <w:t xml:space="preserve">% of the outstanding units of </w:t>
      </w:r>
      <w:proofErr w:type="spellStart"/>
      <w:r w:rsidR="00A674DC" w:rsidRPr="00266926">
        <w:rPr>
          <w:rFonts w:ascii="Times New Roman" w:hAnsi="Times New Roman"/>
          <w:sz w:val="24"/>
          <w:szCs w:val="24"/>
        </w:rPr>
        <w:t>ILiAD</w:t>
      </w:r>
      <w:proofErr w:type="spellEnd"/>
      <w:r w:rsidR="00A674DC" w:rsidRPr="00266926">
        <w:rPr>
          <w:rFonts w:ascii="Times New Roman" w:hAnsi="Times New Roman"/>
          <w:sz w:val="24"/>
          <w:szCs w:val="24"/>
        </w:rPr>
        <w:t xml:space="preserve"> (on a non-fully diluted basis) </w:t>
      </w:r>
      <w:proofErr w:type="gramStart"/>
      <w:r w:rsidR="00A674DC" w:rsidRPr="00266926">
        <w:rPr>
          <w:rFonts w:ascii="Times New Roman" w:hAnsi="Times New Roman"/>
          <w:sz w:val="24"/>
          <w:szCs w:val="24"/>
        </w:rPr>
        <w:t>at</w:t>
      </w:r>
      <w:proofErr w:type="gramEnd"/>
      <w:r w:rsidR="00A674DC" w:rsidRPr="00266926">
        <w:rPr>
          <w:rFonts w:ascii="Times New Roman" w:hAnsi="Times New Roman"/>
          <w:sz w:val="24"/>
          <w:szCs w:val="24"/>
        </w:rPr>
        <w:t xml:space="preserve"> December 31, </w:t>
      </w:r>
      <w:r w:rsidR="00497A16" w:rsidRPr="00266926">
        <w:rPr>
          <w:rFonts w:ascii="Times New Roman" w:hAnsi="Times New Roman"/>
          <w:sz w:val="24"/>
          <w:szCs w:val="24"/>
        </w:rPr>
        <w:t>20</w:t>
      </w:r>
      <w:r w:rsidRPr="00266926">
        <w:rPr>
          <w:rFonts w:ascii="Times New Roman" w:hAnsi="Times New Roman"/>
          <w:sz w:val="24"/>
          <w:szCs w:val="24"/>
        </w:rPr>
        <w:t>20</w:t>
      </w:r>
      <w:r w:rsidR="00215E17" w:rsidRPr="00266926">
        <w:rPr>
          <w:rFonts w:ascii="Times New Roman" w:hAnsi="Times New Roman"/>
          <w:sz w:val="24"/>
          <w:szCs w:val="24"/>
        </w:rPr>
        <w:t xml:space="preserve">. </w:t>
      </w:r>
      <w:r w:rsidR="00A674DC" w:rsidRPr="00266926">
        <w:rPr>
          <w:rFonts w:ascii="Times New Roman" w:hAnsi="Times New Roman"/>
          <w:sz w:val="24"/>
          <w:szCs w:val="24"/>
        </w:rPr>
        <w:t xml:space="preserve"> In connection with </w:t>
      </w:r>
      <w:r w:rsidR="00124C29" w:rsidRPr="00266926">
        <w:rPr>
          <w:rFonts w:ascii="Times New Roman" w:hAnsi="Times New Roman"/>
          <w:sz w:val="24"/>
          <w:szCs w:val="24"/>
        </w:rPr>
        <w:t xml:space="preserve">this </w:t>
      </w:r>
      <w:r w:rsidR="00A674DC" w:rsidRPr="00266926">
        <w:rPr>
          <w:rFonts w:ascii="Times New Roman" w:hAnsi="Times New Roman"/>
          <w:sz w:val="24"/>
          <w:szCs w:val="24"/>
        </w:rPr>
        <w:t xml:space="preserve">investment, </w:t>
      </w:r>
      <w:r w:rsidR="00005AC8" w:rsidRPr="00266926">
        <w:rPr>
          <w:rFonts w:ascii="Times New Roman" w:hAnsi="Times New Roman"/>
          <w:sz w:val="24"/>
          <w:szCs w:val="24"/>
        </w:rPr>
        <w:t xml:space="preserve">Corey M. Horowitz, </w:t>
      </w:r>
      <w:r w:rsidR="001B739E" w:rsidRPr="00266926">
        <w:rPr>
          <w:rFonts w:ascii="Times New Roman" w:hAnsi="Times New Roman"/>
          <w:sz w:val="24"/>
          <w:szCs w:val="24"/>
        </w:rPr>
        <w:t>Network-1</w:t>
      </w:r>
      <w:r w:rsidR="003F0BAC">
        <w:rPr>
          <w:rFonts w:ascii="Times New Roman" w:hAnsi="Times New Roman"/>
          <w:sz w:val="24"/>
          <w:szCs w:val="24"/>
        </w:rPr>
        <w:t>’</w:t>
      </w:r>
      <w:r w:rsidR="001B739E" w:rsidRPr="00266926">
        <w:rPr>
          <w:rFonts w:ascii="Times New Roman" w:hAnsi="Times New Roman"/>
          <w:sz w:val="24"/>
          <w:szCs w:val="24"/>
        </w:rPr>
        <w:t xml:space="preserve">s </w:t>
      </w:r>
      <w:r w:rsidR="00A674DC" w:rsidRPr="00266926">
        <w:rPr>
          <w:rFonts w:ascii="Times New Roman" w:hAnsi="Times New Roman"/>
          <w:sz w:val="24"/>
          <w:szCs w:val="24"/>
        </w:rPr>
        <w:t>Chairman and Chief Executive Officer</w:t>
      </w:r>
      <w:r w:rsidR="001B739E" w:rsidRPr="00266926">
        <w:rPr>
          <w:rFonts w:ascii="Times New Roman" w:hAnsi="Times New Roman"/>
          <w:sz w:val="24"/>
          <w:szCs w:val="24"/>
        </w:rPr>
        <w:t>,</w:t>
      </w:r>
      <w:r w:rsidR="00A674DC" w:rsidRPr="00266926">
        <w:rPr>
          <w:rFonts w:ascii="Times New Roman" w:hAnsi="Times New Roman"/>
          <w:sz w:val="24"/>
          <w:szCs w:val="24"/>
        </w:rPr>
        <w:t xml:space="preserve"> </w:t>
      </w:r>
      <w:r w:rsidR="00124C29" w:rsidRPr="00266926">
        <w:rPr>
          <w:rFonts w:ascii="Times New Roman" w:hAnsi="Times New Roman"/>
          <w:sz w:val="24"/>
          <w:szCs w:val="24"/>
        </w:rPr>
        <w:t xml:space="preserve">became a member of </w:t>
      </w:r>
      <w:proofErr w:type="spellStart"/>
      <w:r w:rsidR="00A674DC" w:rsidRPr="00266926">
        <w:rPr>
          <w:rFonts w:ascii="Times New Roman" w:hAnsi="Times New Roman"/>
          <w:sz w:val="24"/>
          <w:szCs w:val="24"/>
        </w:rPr>
        <w:t>ILiAD</w:t>
      </w:r>
      <w:r w:rsidR="003F0BAC">
        <w:rPr>
          <w:rFonts w:ascii="Times New Roman" w:hAnsi="Times New Roman"/>
          <w:sz w:val="24"/>
          <w:szCs w:val="24"/>
        </w:rPr>
        <w:t>’</w:t>
      </w:r>
      <w:r w:rsidR="00A674DC" w:rsidRPr="00266926">
        <w:rPr>
          <w:rFonts w:ascii="Times New Roman" w:hAnsi="Times New Roman"/>
          <w:sz w:val="24"/>
          <w:szCs w:val="24"/>
        </w:rPr>
        <w:t>s</w:t>
      </w:r>
      <w:proofErr w:type="spellEnd"/>
      <w:r w:rsidR="00A674DC" w:rsidRPr="00266926">
        <w:rPr>
          <w:rFonts w:ascii="Times New Roman" w:hAnsi="Times New Roman"/>
          <w:sz w:val="24"/>
          <w:szCs w:val="24"/>
        </w:rPr>
        <w:t xml:space="preserve"> Board of Managers.</w:t>
      </w:r>
    </w:p>
    <w:p w14:paraId="5FE96686" w14:textId="10A3F0C6" w:rsidR="00E81507" w:rsidRDefault="00E81507" w:rsidP="00E81507">
      <w:pPr>
        <w:pStyle w:val="ListParagraph"/>
        <w:numPr>
          <w:ilvl w:val="0"/>
          <w:numId w:val="12"/>
        </w:numPr>
        <w:spacing w:after="120"/>
        <w:jc w:val="both"/>
        <w:rPr>
          <w:rFonts w:ascii="Times New Roman" w:hAnsi="Times New Roman"/>
          <w:sz w:val="24"/>
          <w:szCs w:val="24"/>
        </w:rPr>
      </w:pPr>
      <w:r w:rsidRPr="00E81507">
        <w:rPr>
          <w:rFonts w:ascii="Times New Roman" w:hAnsi="Times New Roman"/>
          <w:sz w:val="24"/>
          <w:szCs w:val="24"/>
        </w:rPr>
        <w:t xml:space="preserve">On May 9, 2017, Mirror Worlds Technologies, LLC, </w:t>
      </w:r>
      <w:r w:rsidR="00F77262">
        <w:rPr>
          <w:rFonts w:ascii="Times New Roman" w:hAnsi="Times New Roman"/>
          <w:sz w:val="24"/>
          <w:szCs w:val="24"/>
        </w:rPr>
        <w:t>Network-1</w:t>
      </w:r>
      <w:r w:rsidR="003F0BAC">
        <w:rPr>
          <w:rFonts w:ascii="Times New Roman" w:hAnsi="Times New Roman"/>
          <w:sz w:val="24"/>
          <w:szCs w:val="24"/>
        </w:rPr>
        <w:t>’</w:t>
      </w:r>
      <w:r w:rsidR="00F77262">
        <w:rPr>
          <w:rFonts w:ascii="Times New Roman" w:hAnsi="Times New Roman"/>
          <w:sz w:val="24"/>
          <w:szCs w:val="24"/>
        </w:rPr>
        <w:t>s</w:t>
      </w:r>
      <w:r w:rsidRPr="00E81507">
        <w:rPr>
          <w:rFonts w:ascii="Times New Roman" w:hAnsi="Times New Roman"/>
          <w:sz w:val="24"/>
          <w:szCs w:val="24"/>
        </w:rPr>
        <w:t xml:space="preserve"> </w:t>
      </w:r>
      <w:r w:rsidR="004C0BBB" w:rsidRPr="00E81507">
        <w:rPr>
          <w:rFonts w:ascii="Times New Roman" w:hAnsi="Times New Roman"/>
          <w:sz w:val="24"/>
          <w:szCs w:val="24"/>
        </w:rPr>
        <w:t>wholly owned</w:t>
      </w:r>
      <w:r w:rsidRPr="00E81507">
        <w:rPr>
          <w:rFonts w:ascii="Times New Roman" w:hAnsi="Times New Roman"/>
          <w:sz w:val="24"/>
          <w:szCs w:val="24"/>
        </w:rPr>
        <w:t xml:space="preserve"> subsidiary, initiated litigation against Facebook, Inc. (</w:t>
      </w:r>
      <w:r w:rsidR="003F0BAC">
        <w:rPr>
          <w:rFonts w:ascii="Times New Roman" w:hAnsi="Times New Roman"/>
          <w:sz w:val="24"/>
          <w:szCs w:val="24"/>
        </w:rPr>
        <w:t>“</w:t>
      </w:r>
      <w:r w:rsidRPr="00E81507">
        <w:rPr>
          <w:rFonts w:ascii="Times New Roman" w:hAnsi="Times New Roman"/>
          <w:sz w:val="24"/>
          <w:szCs w:val="24"/>
        </w:rPr>
        <w:t>Facebook</w:t>
      </w:r>
      <w:r w:rsidR="003F0BAC">
        <w:rPr>
          <w:rFonts w:ascii="Times New Roman" w:hAnsi="Times New Roman"/>
          <w:sz w:val="24"/>
          <w:szCs w:val="24"/>
        </w:rPr>
        <w:t>”</w:t>
      </w:r>
      <w:r w:rsidRPr="00E81507">
        <w:rPr>
          <w:rFonts w:ascii="Times New Roman" w:hAnsi="Times New Roman"/>
          <w:sz w:val="24"/>
          <w:szCs w:val="24"/>
        </w:rPr>
        <w:t xml:space="preserve">) in the U.S. District Court for the Southern District of New York, for infringement of U.S. Patent No. 6,006,227, U.S. Patent No. 7,865,538 and U.S. Patent No. 8,255,439 (among the patents within </w:t>
      </w:r>
      <w:r w:rsidR="00855624">
        <w:rPr>
          <w:rFonts w:ascii="Times New Roman" w:hAnsi="Times New Roman"/>
          <w:sz w:val="24"/>
          <w:szCs w:val="24"/>
        </w:rPr>
        <w:t>Network-1</w:t>
      </w:r>
      <w:r w:rsidR="003F0BAC">
        <w:rPr>
          <w:rFonts w:ascii="Times New Roman" w:hAnsi="Times New Roman"/>
          <w:sz w:val="24"/>
          <w:szCs w:val="24"/>
        </w:rPr>
        <w:t>’</w:t>
      </w:r>
      <w:r w:rsidR="00855624">
        <w:rPr>
          <w:rFonts w:ascii="Times New Roman" w:hAnsi="Times New Roman"/>
          <w:sz w:val="24"/>
          <w:szCs w:val="24"/>
        </w:rPr>
        <w:t>s</w:t>
      </w:r>
      <w:r w:rsidRPr="00E81507">
        <w:rPr>
          <w:rFonts w:ascii="Times New Roman" w:hAnsi="Times New Roman"/>
          <w:sz w:val="24"/>
          <w:szCs w:val="24"/>
        </w:rPr>
        <w:t xml:space="preserve"> Mirror Worlds Patent Portfolio).</w:t>
      </w:r>
      <w:r w:rsidR="008B3509">
        <w:rPr>
          <w:rFonts w:ascii="Times New Roman" w:hAnsi="Times New Roman"/>
          <w:sz w:val="24"/>
          <w:szCs w:val="24"/>
        </w:rPr>
        <w:t> </w:t>
      </w:r>
      <w:r w:rsidRPr="00E81507">
        <w:rPr>
          <w:rFonts w:ascii="Times New Roman" w:hAnsi="Times New Roman"/>
          <w:sz w:val="24"/>
          <w:szCs w:val="24"/>
        </w:rPr>
        <w:t>On May 7, 2018, Facebook filed a motion for summary judgment on non-infringement. On August 11, 2018, the Court issued an order granting Facebook</w:t>
      </w:r>
      <w:r w:rsidR="003F0BAC">
        <w:rPr>
          <w:rFonts w:ascii="Times New Roman" w:hAnsi="Times New Roman"/>
          <w:sz w:val="24"/>
          <w:szCs w:val="24"/>
        </w:rPr>
        <w:t>’</w:t>
      </w:r>
      <w:r w:rsidRPr="00E81507">
        <w:rPr>
          <w:rFonts w:ascii="Times New Roman" w:hAnsi="Times New Roman"/>
          <w:sz w:val="24"/>
          <w:szCs w:val="24"/>
        </w:rPr>
        <w:t>s motion for summary judgment of non-infringement and dismissed the case.  On January 23, 2020, the U.S. Court of Appeals for the Federal Circuit reversed the summary judgment finding on non-infringement of the District Court and remanded the litigation to the Southern District of New York for further proceedings.</w:t>
      </w:r>
    </w:p>
    <w:p w14:paraId="6604C43E" w14:textId="620BB04F" w:rsidR="00E81507" w:rsidRPr="004C0BBB" w:rsidRDefault="00A5726B" w:rsidP="00A5726B">
      <w:pPr>
        <w:pStyle w:val="ListParagraph"/>
        <w:numPr>
          <w:ilvl w:val="0"/>
          <w:numId w:val="12"/>
        </w:numPr>
        <w:spacing w:after="240"/>
        <w:jc w:val="both"/>
        <w:rPr>
          <w:rFonts w:ascii="Arial" w:hAnsi="Arial" w:cs="Arial"/>
          <w:sz w:val="24"/>
          <w:szCs w:val="24"/>
        </w:rPr>
      </w:pPr>
      <w:r w:rsidRPr="00A5726B">
        <w:rPr>
          <w:rFonts w:ascii="Times New Roman" w:hAnsi="Times New Roman"/>
          <w:sz w:val="24"/>
          <w:szCs w:val="24"/>
        </w:rPr>
        <w:t>On April 4, 2014 and December 3, 2015, Network-1 initiated litigation against Google Inc. (</w:t>
      </w:r>
      <w:r w:rsidR="003F0BAC">
        <w:rPr>
          <w:rFonts w:ascii="Times New Roman" w:hAnsi="Times New Roman"/>
          <w:sz w:val="24"/>
          <w:szCs w:val="24"/>
        </w:rPr>
        <w:t>“</w:t>
      </w:r>
      <w:r w:rsidRPr="00A5726B">
        <w:rPr>
          <w:rFonts w:ascii="Times New Roman" w:hAnsi="Times New Roman"/>
          <w:sz w:val="24"/>
          <w:szCs w:val="24"/>
        </w:rPr>
        <w:t>Google</w:t>
      </w:r>
      <w:r w:rsidR="003F0BAC">
        <w:rPr>
          <w:rFonts w:ascii="Times New Roman" w:hAnsi="Times New Roman"/>
          <w:sz w:val="24"/>
          <w:szCs w:val="24"/>
        </w:rPr>
        <w:t>”</w:t>
      </w:r>
      <w:r w:rsidRPr="00A5726B">
        <w:rPr>
          <w:rFonts w:ascii="Times New Roman" w:hAnsi="Times New Roman"/>
          <w:sz w:val="24"/>
          <w:szCs w:val="24"/>
        </w:rPr>
        <w:t>) and YouTube, LLC (</w:t>
      </w:r>
      <w:r w:rsidR="003F0BAC">
        <w:rPr>
          <w:rFonts w:ascii="Times New Roman" w:hAnsi="Times New Roman"/>
          <w:sz w:val="24"/>
          <w:szCs w:val="24"/>
        </w:rPr>
        <w:t>“</w:t>
      </w:r>
      <w:r w:rsidRPr="00A5726B">
        <w:rPr>
          <w:rFonts w:ascii="Times New Roman" w:hAnsi="Times New Roman"/>
          <w:sz w:val="24"/>
          <w:szCs w:val="24"/>
        </w:rPr>
        <w:t>YouTube</w:t>
      </w:r>
      <w:r w:rsidR="003F0BAC">
        <w:rPr>
          <w:rFonts w:ascii="Times New Roman" w:hAnsi="Times New Roman"/>
          <w:sz w:val="24"/>
          <w:szCs w:val="24"/>
        </w:rPr>
        <w:t>”</w:t>
      </w:r>
      <w:r w:rsidRPr="00A5726B">
        <w:rPr>
          <w:rFonts w:ascii="Times New Roman" w:hAnsi="Times New Roman"/>
          <w:sz w:val="24"/>
          <w:szCs w:val="24"/>
        </w:rPr>
        <w:t>) in the U.S. District Court for the Southern District of New York for infringement of several patents within Network-1</w:t>
      </w:r>
      <w:r w:rsidR="003F0BAC">
        <w:rPr>
          <w:rFonts w:ascii="Times New Roman" w:hAnsi="Times New Roman"/>
          <w:sz w:val="24"/>
          <w:szCs w:val="24"/>
        </w:rPr>
        <w:t>’</w:t>
      </w:r>
      <w:r w:rsidRPr="00A5726B">
        <w:rPr>
          <w:rFonts w:ascii="Times New Roman" w:hAnsi="Times New Roman"/>
          <w:sz w:val="24"/>
          <w:szCs w:val="24"/>
        </w:rPr>
        <w:t>s Cox Patent Portfolio which relate to the identification of media content on the Internet.  The lawsuit alleges that Google and YouTube have infringed and continue to infringe certain of Network-1</w:t>
      </w:r>
      <w:r w:rsidR="003F0BAC">
        <w:rPr>
          <w:rFonts w:ascii="Times New Roman" w:hAnsi="Times New Roman"/>
          <w:sz w:val="24"/>
          <w:szCs w:val="24"/>
        </w:rPr>
        <w:t>’</w:t>
      </w:r>
      <w:r w:rsidRPr="00A5726B">
        <w:rPr>
          <w:rFonts w:ascii="Times New Roman" w:hAnsi="Times New Roman"/>
          <w:sz w:val="24"/>
          <w:szCs w:val="24"/>
        </w:rPr>
        <w:t>s patents by making, using, selling and offering to sell unlicensed systems and related products and services, which include YouTube</w:t>
      </w:r>
      <w:r w:rsidR="003F0BAC">
        <w:rPr>
          <w:rFonts w:ascii="Times New Roman" w:hAnsi="Times New Roman"/>
          <w:sz w:val="24"/>
          <w:szCs w:val="24"/>
        </w:rPr>
        <w:t>’</w:t>
      </w:r>
      <w:r w:rsidRPr="00A5726B">
        <w:rPr>
          <w:rFonts w:ascii="Times New Roman" w:hAnsi="Times New Roman"/>
          <w:sz w:val="24"/>
          <w:szCs w:val="24"/>
        </w:rPr>
        <w:t>s Content ID system. In January 2019, Network-1</w:t>
      </w:r>
      <w:r w:rsidR="003F0BAC">
        <w:rPr>
          <w:rFonts w:ascii="Times New Roman" w:hAnsi="Times New Roman"/>
          <w:sz w:val="24"/>
          <w:szCs w:val="24"/>
        </w:rPr>
        <w:t>’</w:t>
      </w:r>
      <w:r w:rsidRPr="00A5726B">
        <w:rPr>
          <w:rFonts w:ascii="Times New Roman" w:hAnsi="Times New Roman"/>
          <w:sz w:val="24"/>
          <w:szCs w:val="24"/>
        </w:rPr>
        <w:t>s two litigations against Google and YouTube were consolidated.  Discovery is complete and a pre-trial order is pending which would include a trial date.</w:t>
      </w:r>
    </w:p>
    <w:p w14:paraId="63C7D6D4" w14:textId="3E2C66AD" w:rsidR="004C0BBB" w:rsidRPr="004C0BBB" w:rsidRDefault="004C0BBB" w:rsidP="004C0BBB">
      <w:pPr>
        <w:pStyle w:val="ListParagraph"/>
        <w:numPr>
          <w:ilvl w:val="0"/>
          <w:numId w:val="12"/>
        </w:numPr>
        <w:spacing w:after="240"/>
        <w:jc w:val="both"/>
        <w:rPr>
          <w:rFonts w:ascii="Times New Roman" w:eastAsia="Arial" w:hAnsi="Times New Roman"/>
          <w:sz w:val="24"/>
          <w:szCs w:val="24"/>
        </w:rPr>
      </w:pPr>
      <w:r w:rsidRPr="00E81507">
        <w:rPr>
          <w:rFonts w:ascii="Times New Roman" w:hAnsi="Times New Roman"/>
          <w:color w:val="000000"/>
          <w:spacing w:val="-4"/>
          <w:sz w:val="24"/>
          <w:szCs w:val="24"/>
        </w:rPr>
        <w:lastRenderedPageBreak/>
        <w:t>On December 29, 2017, Network-1 acquired from M2M and IoT Technologies, LLC (</w:t>
      </w:r>
      <w:r w:rsidR="003F0BAC">
        <w:rPr>
          <w:rFonts w:ascii="Times New Roman" w:hAnsi="Times New Roman"/>
          <w:color w:val="000000"/>
          <w:spacing w:val="-4"/>
          <w:sz w:val="24"/>
          <w:szCs w:val="24"/>
        </w:rPr>
        <w:t>“</w:t>
      </w:r>
      <w:r w:rsidRPr="00E81507">
        <w:rPr>
          <w:rFonts w:ascii="Times New Roman" w:hAnsi="Times New Roman"/>
          <w:color w:val="000000"/>
          <w:spacing w:val="-4"/>
          <w:sz w:val="24"/>
          <w:szCs w:val="24"/>
        </w:rPr>
        <w:t>M2M</w:t>
      </w:r>
      <w:r w:rsidR="003F0BAC">
        <w:rPr>
          <w:rFonts w:ascii="Times New Roman" w:hAnsi="Times New Roman"/>
          <w:color w:val="000000"/>
          <w:spacing w:val="-4"/>
          <w:sz w:val="24"/>
          <w:szCs w:val="24"/>
        </w:rPr>
        <w:t>”</w:t>
      </w:r>
      <w:r w:rsidRPr="00E81507">
        <w:rPr>
          <w:rFonts w:ascii="Times New Roman" w:hAnsi="Times New Roman"/>
          <w:color w:val="000000"/>
          <w:spacing w:val="-4"/>
          <w:sz w:val="24"/>
          <w:szCs w:val="24"/>
        </w:rPr>
        <w:t xml:space="preserve">) a patent portfolio consisting of twelve (12) issued U.S. patents, seven pending U.S. patent applications and nine pending international patents, all relating to, among other things, the enabling technology for authenticating, provisioning and using embedded SIM cards in next generation IoT, Machine-to-Machine, and other mobile devices, including smartphones, tablets and computers as well as automobiles and drones.  </w:t>
      </w:r>
      <w:r>
        <w:rPr>
          <w:rFonts w:ascii="Times New Roman" w:eastAsia="Arial" w:hAnsi="Times New Roman"/>
          <w:sz w:val="24"/>
          <w:szCs w:val="24"/>
        </w:rPr>
        <w:t>Since the acquisition of the portfolio,</w:t>
      </w:r>
      <w:r w:rsidRPr="00E81507">
        <w:rPr>
          <w:rFonts w:ascii="Times New Roman" w:eastAsia="Arial" w:hAnsi="Times New Roman"/>
          <w:sz w:val="24"/>
          <w:szCs w:val="24"/>
        </w:rPr>
        <w:t xml:space="preserve"> </w:t>
      </w:r>
      <w:r>
        <w:rPr>
          <w:rFonts w:ascii="Times New Roman" w:eastAsia="Arial" w:hAnsi="Times New Roman"/>
          <w:sz w:val="24"/>
          <w:szCs w:val="24"/>
        </w:rPr>
        <w:t>Network-1 has been</w:t>
      </w:r>
      <w:r w:rsidRPr="00E81507">
        <w:rPr>
          <w:rFonts w:ascii="Times New Roman" w:eastAsia="Arial" w:hAnsi="Times New Roman"/>
          <w:sz w:val="24"/>
          <w:szCs w:val="24"/>
        </w:rPr>
        <w:t xml:space="preserve"> issued seven new U.S. patents for the M2M/IoT Portfolio.</w:t>
      </w:r>
      <w:r w:rsidR="00762466">
        <w:rPr>
          <w:rFonts w:ascii="Times New Roman" w:eastAsia="Arial" w:hAnsi="Times New Roman"/>
          <w:sz w:val="24"/>
          <w:szCs w:val="24"/>
        </w:rPr>
        <w:t> </w:t>
      </w:r>
      <w:r w:rsidRPr="00E81507">
        <w:rPr>
          <w:rFonts w:ascii="Times New Roman" w:eastAsia="Arial" w:hAnsi="Times New Roman"/>
          <w:sz w:val="24"/>
          <w:szCs w:val="24"/>
        </w:rPr>
        <w:t>The M2M/IoT Patent Portfolio currently consists of twenty</w:t>
      </w:r>
      <w:r>
        <w:rPr>
          <w:rFonts w:ascii="Times New Roman" w:eastAsia="Arial" w:hAnsi="Times New Roman"/>
          <w:sz w:val="24"/>
          <w:szCs w:val="24"/>
        </w:rPr>
        <w:t>-nine</w:t>
      </w:r>
      <w:r w:rsidRPr="00E81507">
        <w:rPr>
          <w:rFonts w:ascii="Times New Roman" w:eastAsia="Arial" w:hAnsi="Times New Roman"/>
          <w:sz w:val="24"/>
          <w:szCs w:val="24"/>
        </w:rPr>
        <w:t xml:space="preserve"> (2</w:t>
      </w:r>
      <w:r>
        <w:rPr>
          <w:rFonts w:ascii="Times New Roman" w:eastAsia="Arial" w:hAnsi="Times New Roman"/>
          <w:sz w:val="24"/>
          <w:szCs w:val="24"/>
        </w:rPr>
        <w:t>9</w:t>
      </w:r>
      <w:r w:rsidRPr="00E81507">
        <w:rPr>
          <w:rFonts w:ascii="Times New Roman" w:eastAsia="Arial" w:hAnsi="Times New Roman"/>
          <w:sz w:val="24"/>
          <w:szCs w:val="24"/>
        </w:rPr>
        <w:t xml:space="preserve">) issued U.S. patents, five pending U.S. patent applications and seven additional pending non-U.S. patent applications. </w:t>
      </w:r>
      <w:r>
        <w:rPr>
          <w:rFonts w:ascii="Times New Roman" w:eastAsia="Arial" w:hAnsi="Times New Roman"/>
          <w:sz w:val="24"/>
          <w:szCs w:val="24"/>
        </w:rPr>
        <w:t>Network-1</w:t>
      </w:r>
      <w:r w:rsidRPr="00E81507">
        <w:rPr>
          <w:rFonts w:ascii="Times New Roman" w:eastAsia="Arial" w:hAnsi="Times New Roman"/>
          <w:sz w:val="24"/>
          <w:szCs w:val="24"/>
        </w:rPr>
        <w:t xml:space="preserve"> anticipate</w:t>
      </w:r>
      <w:r>
        <w:rPr>
          <w:rFonts w:ascii="Times New Roman" w:eastAsia="Arial" w:hAnsi="Times New Roman"/>
          <w:sz w:val="24"/>
          <w:szCs w:val="24"/>
        </w:rPr>
        <w:t>s</w:t>
      </w:r>
      <w:r w:rsidRPr="00E81507">
        <w:rPr>
          <w:rFonts w:ascii="Times New Roman" w:eastAsia="Arial" w:hAnsi="Times New Roman"/>
          <w:sz w:val="24"/>
          <w:szCs w:val="24"/>
        </w:rPr>
        <w:t xml:space="preserve"> further issuances of additional claims for this portfolio.</w:t>
      </w:r>
    </w:p>
    <w:p w14:paraId="235C0982" w14:textId="0AACB06B" w:rsidR="004C0BBB" w:rsidRPr="004C0BBB" w:rsidRDefault="004C0BBB" w:rsidP="004C0BBB">
      <w:pPr>
        <w:pStyle w:val="ListParagraph"/>
        <w:numPr>
          <w:ilvl w:val="0"/>
          <w:numId w:val="12"/>
        </w:numPr>
        <w:spacing w:after="240"/>
        <w:jc w:val="both"/>
        <w:rPr>
          <w:rFonts w:ascii="Times New Roman" w:hAnsi="Times New Roman"/>
          <w:sz w:val="24"/>
          <w:szCs w:val="24"/>
        </w:rPr>
      </w:pPr>
      <w:r w:rsidRPr="004C0BBB">
        <w:rPr>
          <w:rFonts w:ascii="Times New Roman" w:hAnsi="Times New Roman"/>
          <w:sz w:val="24"/>
          <w:szCs w:val="24"/>
        </w:rPr>
        <w:t xml:space="preserve">On August 22, 2011, </w:t>
      </w:r>
      <w:r w:rsidR="00762466">
        <w:rPr>
          <w:rFonts w:ascii="Times New Roman" w:hAnsi="Times New Roman"/>
          <w:sz w:val="24"/>
          <w:szCs w:val="24"/>
        </w:rPr>
        <w:t>Network</w:t>
      </w:r>
      <w:r w:rsidR="00762466">
        <w:rPr>
          <w:rFonts w:ascii="Times New Roman" w:hAnsi="Times New Roman"/>
          <w:sz w:val="24"/>
          <w:szCs w:val="24"/>
        </w:rPr>
        <w:noBreakHyphen/>
        <w:t>1</w:t>
      </w:r>
      <w:r w:rsidRPr="004C0BBB">
        <w:rPr>
          <w:rFonts w:ascii="Times New Roman" w:hAnsi="Times New Roman"/>
          <w:sz w:val="24"/>
          <w:szCs w:val="24"/>
        </w:rPr>
        <w:t xml:space="preserve"> established a share repurchase program (</w:t>
      </w:r>
      <w:r w:rsidR="003F0BAC">
        <w:rPr>
          <w:rFonts w:ascii="Times New Roman" w:hAnsi="Times New Roman"/>
          <w:sz w:val="24"/>
          <w:szCs w:val="24"/>
        </w:rPr>
        <w:t>“</w:t>
      </w:r>
      <w:r w:rsidRPr="004C0BBB">
        <w:rPr>
          <w:rFonts w:ascii="Times New Roman" w:hAnsi="Times New Roman"/>
          <w:sz w:val="24"/>
          <w:szCs w:val="24"/>
        </w:rPr>
        <w:t>Share Repurchase Program</w:t>
      </w:r>
      <w:r w:rsidR="003F0BAC">
        <w:rPr>
          <w:rFonts w:ascii="Times New Roman" w:hAnsi="Times New Roman"/>
          <w:sz w:val="24"/>
          <w:szCs w:val="24"/>
        </w:rPr>
        <w:t>”</w:t>
      </w:r>
      <w:r w:rsidRPr="004C0BBB">
        <w:rPr>
          <w:rFonts w:ascii="Times New Roman" w:hAnsi="Times New Roman"/>
          <w:sz w:val="24"/>
          <w:szCs w:val="24"/>
        </w:rPr>
        <w:t>).</w:t>
      </w:r>
      <w:r w:rsidR="001A0860">
        <w:rPr>
          <w:rFonts w:ascii="Times New Roman" w:hAnsi="Times New Roman"/>
          <w:sz w:val="24"/>
          <w:szCs w:val="24"/>
        </w:rPr>
        <w:t> </w:t>
      </w:r>
      <w:r w:rsidRPr="004C0BBB">
        <w:rPr>
          <w:rFonts w:ascii="Times New Roman" w:hAnsi="Times New Roman"/>
          <w:sz w:val="24"/>
          <w:szCs w:val="24"/>
        </w:rPr>
        <w:t xml:space="preserve">On June 11, 2019, </w:t>
      </w:r>
      <w:r w:rsidR="00762466">
        <w:rPr>
          <w:rFonts w:ascii="Times New Roman" w:hAnsi="Times New Roman"/>
          <w:sz w:val="24"/>
          <w:szCs w:val="24"/>
        </w:rPr>
        <w:t>Network</w:t>
      </w:r>
      <w:r w:rsidR="00762466">
        <w:rPr>
          <w:rFonts w:ascii="Times New Roman" w:hAnsi="Times New Roman"/>
          <w:sz w:val="24"/>
          <w:szCs w:val="24"/>
        </w:rPr>
        <w:noBreakHyphen/>
        <w:t>1</w:t>
      </w:r>
      <w:r w:rsidR="003F0BAC">
        <w:rPr>
          <w:rFonts w:ascii="Times New Roman" w:hAnsi="Times New Roman"/>
          <w:sz w:val="24"/>
          <w:szCs w:val="24"/>
        </w:rPr>
        <w:t>’</w:t>
      </w:r>
      <w:r w:rsidR="00762466">
        <w:rPr>
          <w:rFonts w:ascii="Times New Roman" w:hAnsi="Times New Roman"/>
          <w:sz w:val="24"/>
          <w:szCs w:val="24"/>
        </w:rPr>
        <w:t>s</w:t>
      </w:r>
      <w:r w:rsidRPr="004C0BBB">
        <w:rPr>
          <w:rFonts w:ascii="Times New Roman" w:hAnsi="Times New Roman"/>
          <w:sz w:val="24"/>
          <w:szCs w:val="24"/>
        </w:rPr>
        <w:t xml:space="preserve"> Board of Directors authorized an extension and increase of the Share Repurchase Program to repurchase up to $5,000,000 of shares of our common stock over the subsequent 24-month period (for a total authorization of approximately $22,000,000 since inception of the program in August 2011).  During the year ended December 31, 2020, </w:t>
      </w:r>
      <w:r w:rsidR="00DD2E67">
        <w:rPr>
          <w:rFonts w:ascii="Times New Roman" w:hAnsi="Times New Roman"/>
          <w:sz w:val="24"/>
          <w:szCs w:val="24"/>
        </w:rPr>
        <w:t>Network</w:t>
      </w:r>
      <w:r w:rsidR="00DD2E67">
        <w:rPr>
          <w:rFonts w:ascii="Times New Roman" w:hAnsi="Times New Roman"/>
          <w:sz w:val="24"/>
          <w:szCs w:val="24"/>
        </w:rPr>
        <w:noBreakHyphen/>
        <w:t>1</w:t>
      </w:r>
      <w:r w:rsidRPr="004C0BBB">
        <w:rPr>
          <w:rFonts w:ascii="Times New Roman" w:hAnsi="Times New Roman"/>
          <w:sz w:val="24"/>
          <w:szCs w:val="24"/>
        </w:rPr>
        <w:t xml:space="preserve"> repurchased an aggregate of 115,889</w:t>
      </w:r>
      <w:r w:rsidRPr="004C0BBB">
        <w:rPr>
          <w:rFonts w:ascii="Times New Roman" w:hAnsi="Times New Roman"/>
          <w:b/>
          <w:sz w:val="24"/>
          <w:szCs w:val="24"/>
        </w:rPr>
        <w:t xml:space="preserve"> </w:t>
      </w:r>
      <w:r w:rsidRPr="004C0BBB">
        <w:rPr>
          <w:rFonts w:ascii="Times New Roman" w:hAnsi="Times New Roman"/>
          <w:sz w:val="24"/>
          <w:szCs w:val="24"/>
        </w:rPr>
        <w:t xml:space="preserve">shares of </w:t>
      </w:r>
      <w:r w:rsidR="00DD2E67">
        <w:rPr>
          <w:rFonts w:ascii="Times New Roman" w:hAnsi="Times New Roman"/>
          <w:sz w:val="24"/>
          <w:szCs w:val="24"/>
        </w:rPr>
        <w:t>its</w:t>
      </w:r>
      <w:r w:rsidRPr="004C0BBB">
        <w:rPr>
          <w:rFonts w:ascii="Times New Roman" w:hAnsi="Times New Roman"/>
          <w:sz w:val="24"/>
          <w:szCs w:val="24"/>
        </w:rPr>
        <w:t xml:space="preserve"> common stock pursuant to </w:t>
      </w:r>
      <w:r w:rsidR="00DD2E67">
        <w:rPr>
          <w:rFonts w:ascii="Times New Roman" w:hAnsi="Times New Roman"/>
          <w:sz w:val="24"/>
          <w:szCs w:val="24"/>
        </w:rPr>
        <w:t>its</w:t>
      </w:r>
      <w:r w:rsidRPr="004C0BBB">
        <w:rPr>
          <w:rFonts w:ascii="Times New Roman" w:hAnsi="Times New Roman"/>
          <w:sz w:val="24"/>
          <w:szCs w:val="24"/>
        </w:rPr>
        <w:t xml:space="preserve"> Share Repurchase Program at a cost of approximately $249,158 (exclusive of commissions) or an average price per share of $2.15.  </w:t>
      </w:r>
      <w:r w:rsidRPr="004C0BBB">
        <w:rPr>
          <w:rFonts w:ascii="Times New Roman" w:hAnsi="Times New Roman"/>
          <w:snapToGrid w:val="0"/>
          <w:sz w:val="24"/>
          <w:szCs w:val="24"/>
        </w:rPr>
        <w:t xml:space="preserve">Since inception of </w:t>
      </w:r>
      <w:r w:rsidR="00DD2E67">
        <w:rPr>
          <w:rFonts w:ascii="Times New Roman" w:hAnsi="Times New Roman"/>
          <w:snapToGrid w:val="0"/>
          <w:sz w:val="24"/>
          <w:szCs w:val="24"/>
        </w:rPr>
        <w:t>its</w:t>
      </w:r>
      <w:r w:rsidRPr="004C0BBB">
        <w:rPr>
          <w:rFonts w:ascii="Times New Roman" w:hAnsi="Times New Roman"/>
          <w:snapToGrid w:val="0"/>
          <w:sz w:val="24"/>
          <w:szCs w:val="24"/>
        </w:rPr>
        <w:t xml:space="preserve"> Share Repurchase Program (August 2011) to December 31, 2020, </w:t>
      </w:r>
      <w:r w:rsidR="00DD2E67">
        <w:rPr>
          <w:rFonts w:ascii="Times New Roman" w:hAnsi="Times New Roman"/>
          <w:snapToGrid w:val="0"/>
          <w:sz w:val="24"/>
          <w:szCs w:val="24"/>
        </w:rPr>
        <w:t>Network</w:t>
      </w:r>
      <w:r w:rsidR="00DD2E67">
        <w:rPr>
          <w:rFonts w:ascii="Times New Roman" w:hAnsi="Times New Roman"/>
          <w:snapToGrid w:val="0"/>
          <w:sz w:val="24"/>
          <w:szCs w:val="24"/>
        </w:rPr>
        <w:noBreakHyphen/>
        <w:t xml:space="preserve">1 </w:t>
      </w:r>
      <w:r w:rsidRPr="004C0BBB">
        <w:rPr>
          <w:rFonts w:ascii="Times New Roman" w:hAnsi="Times New Roman"/>
          <w:snapToGrid w:val="0"/>
          <w:sz w:val="24"/>
          <w:szCs w:val="24"/>
        </w:rPr>
        <w:t xml:space="preserve">repurchased an aggregate of 8,605,659 shares of </w:t>
      </w:r>
      <w:r w:rsidR="00DD2E67">
        <w:rPr>
          <w:rFonts w:ascii="Times New Roman" w:hAnsi="Times New Roman"/>
          <w:snapToGrid w:val="0"/>
          <w:sz w:val="24"/>
          <w:szCs w:val="24"/>
        </w:rPr>
        <w:t>its</w:t>
      </w:r>
      <w:r w:rsidRPr="004C0BBB">
        <w:rPr>
          <w:rFonts w:ascii="Times New Roman" w:hAnsi="Times New Roman"/>
          <w:snapToGrid w:val="0"/>
          <w:sz w:val="24"/>
          <w:szCs w:val="24"/>
        </w:rPr>
        <w:t xml:space="preserve"> common stock at a cost of approximately $16,156,005 (exclusive of commissions) or an average per share price of $1.88.</w:t>
      </w:r>
    </w:p>
    <w:p w14:paraId="72DC00BE" w14:textId="73005338" w:rsidR="001456EE" w:rsidRDefault="001456EE" w:rsidP="001456EE">
      <w:pPr>
        <w:pStyle w:val="BodyText"/>
        <w:numPr>
          <w:ilvl w:val="0"/>
          <w:numId w:val="12"/>
        </w:numPr>
        <w:tabs>
          <w:tab w:val="left" w:pos="720"/>
        </w:tabs>
        <w:spacing w:line="276" w:lineRule="auto"/>
        <w:rPr>
          <w:rFonts w:ascii="Times New Roman" w:hAnsi="Times New Roman"/>
          <w:bCs/>
          <w:sz w:val="24"/>
          <w:szCs w:val="24"/>
        </w:rPr>
      </w:pPr>
      <w:bookmarkStart w:id="15" w:name="_DV_C8"/>
      <w:r w:rsidRPr="001456EE">
        <w:rPr>
          <w:rFonts w:ascii="Times New Roman" w:hAnsi="Times New Roman"/>
          <w:bCs/>
          <w:sz w:val="24"/>
          <w:szCs w:val="24"/>
        </w:rPr>
        <w:t xml:space="preserve">On June 9, 2020, </w:t>
      </w:r>
      <w:r w:rsidR="00DD2E67">
        <w:rPr>
          <w:rFonts w:ascii="Times New Roman" w:hAnsi="Times New Roman"/>
          <w:bCs/>
          <w:sz w:val="24"/>
          <w:szCs w:val="24"/>
        </w:rPr>
        <w:t>Network</w:t>
      </w:r>
      <w:r w:rsidR="00DD2E67">
        <w:rPr>
          <w:rFonts w:ascii="Times New Roman" w:hAnsi="Times New Roman"/>
          <w:bCs/>
          <w:sz w:val="24"/>
          <w:szCs w:val="24"/>
        </w:rPr>
        <w:noBreakHyphen/>
        <w:t>1</w:t>
      </w:r>
      <w:r w:rsidR="003F0BAC">
        <w:rPr>
          <w:rFonts w:ascii="Times New Roman" w:hAnsi="Times New Roman"/>
          <w:bCs/>
          <w:sz w:val="24"/>
          <w:szCs w:val="24"/>
        </w:rPr>
        <w:t>’</w:t>
      </w:r>
      <w:r w:rsidR="00DD2E67">
        <w:rPr>
          <w:rFonts w:ascii="Times New Roman" w:hAnsi="Times New Roman"/>
          <w:bCs/>
          <w:sz w:val="24"/>
          <w:szCs w:val="24"/>
        </w:rPr>
        <w:t>s</w:t>
      </w:r>
      <w:r w:rsidRPr="001456EE">
        <w:rPr>
          <w:rFonts w:ascii="Times New Roman" w:hAnsi="Times New Roman"/>
          <w:bCs/>
          <w:sz w:val="24"/>
          <w:szCs w:val="24"/>
        </w:rPr>
        <w:t xml:space="preserve"> Board of Directors approved the continuation of </w:t>
      </w:r>
      <w:r w:rsidR="00DD2E67">
        <w:rPr>
          <w:rFonts w:ascii="Times New Roman" w:hAnsi="Times New Roman"/>
          <w:bCs/>
          <w:sz w:val="24"/>
          <w:szCs w:val="24"/>
        </w:rPr>
        <w:t>its</w:t>
      </w:r>
      <w:r w:rsidRPr="001456EE">
        <w:rPr>
          <w:rFonts w:ascii="Times New Roman" w:hAnsi="Times New Roman"/>
          <w:bCs/>
          <w:sz w:val="24"/>
          <w:szCs w:val="24"/>
        </w:rPr>
        <w:t xml:space="preserve"> dividend policy which consists of semi-annual cash dividends of $0.05 per share ($0.10 per share annually) which are anticipated to be paid in March and September of each year.  </w:t>
      </w:r>
      <w:r w:rsidR="00DD2E67">
        <w:rPr>
          <w:rFonts w:ascii="Times New Roman" w:hAnsi="Times New Roman"/>
          <w:bCs/>
          <w:sz w:val="24"/>
          <w:szCs w:val="24"/>
        </w:rPr>
        <w:t>In 2020</w:t>
      </w:r>
      <w:r w:rsidR="001A0860">
        <w:rPr>
          <w:rFonts w:ascii="Times New Roman" w:hAnsi="Times New Roman"/>
          <w:bCs/>
          <w:sz w:val="24"/>
          <w:szCs w:val="24"/>
        </w:rPr>
        <w:t xml:space="preserve"> and March 2021</w:t>
      </w:r>
      <w:r w:rsidR="00DD2E67">
        <w:rPr>
          <w:rFonts w:ascii="Times New Roman" w:hAnsi="Times New Roman"/>
          <w:bCs/>
          <w:sz w:val="24"/>
          <w:szCs w:val="24"/>
        </w:rPr>
        <w:t>, Network</w:t>
      </w:r>
      <w:r w:rsidR="00DD2E67">
        <w:rPr>
          <w:rFonts w:ascii="Times New Roman" w:hAnsi="Times New Roman"/>
          <w:bCs/>
          <w:sz w:val="24"/>
          <w:szCs w:val="24"/>
        </w:rPr>
        <w:noBreakHyphen/>
        <w:t>1 declared semi-annual cash dividends of $0.05 per share consistent with its dividend policy.</w:t>
      </w:r>
      <w:r w:rsidRPr="001456EE">
        <w:rPr>
          <w:rFonts w:ascii="Times New Roman" w:hAnsi="Times New Roman"/>
          <w:bCs/>
          <w:sz w:val="24"/>
          <w:szCs w:val="24"/>
        </w:rPr>
        <w:t xml:space="preserve">  </w:t>
      </w:r>
      <w:r w:rsidR="00DD2E67">
        <w:rPr>
          <w:rFonts w:ascii="Times New Roman" w:hAnsi="Times New Roman"/>
          <w:bCs/>
          <w:sz w:val="24"/>
          <w:szCs w:val="24"/>
        </w:rPr>
        <w:t>Network</w:t>
      </w:r>
      <w:r w:rsidR="00DD2E67">
        <w:rPr>
          <w:rFonts w:ascii="Times New Roman" w:hAnsi="Times New Roman"/>
          <w:bCs/>
          <w:sz w:val="24"/>
          <w:szCs w:val="24"/>
        </w:rPr>
        <w:noBreakHyphen/>
        <w:t>1</w:t>
      </w:r>
      <w:r w:rsidR="003F0BAC">
        <w:rPr>
          <w:rFonts w:ascii="Times New Roman" w:hAnsi="Times New Roman"/>
          <w:bCs/>
          <w:sz w:val="24"/>
          <w:szCs w:val="24"/>
        </w:rPr>
        <w:t>’</w:t>
      </w:r>
      <w:r w:rsidR="00DD2E67">
        <w:rPr>
          <w:rFonts w:ascii="Times New Roman" w:hAnsi="Times New Roman"/>
          <w:bCs/>
          <w:sz w:val="24"/>
          <w:szCs w:val="24"/>
        </w:rPr>
        <w:t>s</w:t>
      </w:r>
      <w:r w:rsidRPr="001456EE">
        <w:rPr>
          <w:rFonts w:ascii="Times New Roman" w:hAnsi="Times New Roman"/>
          <w:bCs/>
          <w:sz w:val="24"/>
          <w:szCs w:val="24"/>
        </w:rPr>
        <w:t xml:space="preserve"> dividend policy undergoes a periodic review by </w:t>
      </w:r>
      <w:r w:rsidR="001A0860">
        <w:rPr>
          <w:rFonts w:ascii="Times New Roman" w:hAnsi="Times New Roman"/>
          <w:bCs/>
          <w:sz w:val="24"/>
          <w:szCs w:val="24"/>
        </w:rPr>
        <w:t>its</w:t>
      </w:r>
      <w:r w:rsidRPr="001456EE">
        <w:rPr>
          <w:rFonts w:ascii="Times New Roman" w:hAnsi="Times New Roman"/>
          <w:bCs/>
          <w:sz w:val="24"/>
          <w:szCs w:val="24"/>
        </w:rPr>
        <w:t xml:space="preserve"> Board of Directors and is subject to change at any time depending upon </w:t>
      </w:r>
      <w:r w:rsidR="001A0860">
        <w:rPr>
          <w:rFonts w:ascii="Times New Roman" w:hAnsi="Times New Roman"/>
          <w:bCs/>
          <w:sz w:val="24"/>
          <w:szCs w:val="24"/>
        </w:rPr>
        <w:t>Network</w:t>
      </w:r>
      <w:r w:rsidR="001A0860">
        <w:rPr>
          <w:rFonts w:ascii="Times New Roman" w:hAnsi="Times New Roman"/>
          <w:bCs/>
          <w:sz w:val="24"/>
          <w:szCs w:val="24"/>
        </w:rPr>
        <w:noBreakHyphen/>
        <w:t>1</w:t>
      </w:r>
      <w:r w:rsidR="003F0BAC">
        <w:rPr>
          <w:rFonts w:ascii="Times New Roman" w:hAnsi="Times New Roman"/>
          <w:bCs/>
          <w:sz w:val="24"/>
          <w:szCs w:val="24"/>
        </w:rPr>
        <w:t>’</w:t>
      </w:r>
      <w:r w:rsidRPr="001456EE">
        <w:rPr>
          <w:rFonts w:ascii="Times New Roman" w:hAnsi="Times New Roman"/>
          <w:bCs/>
          <w:sz w:val="24"/>
          <w:szCs w:val="24"/>
        </w:rPr>
        <w:t>s earnings, financial requirements and other factors existing at the time.</w:t>
      </w:r>
    </w:p>
    <w:p w14:paraId="6CB310BA" w14:textId="77777777" w:rsidR="001456EE" w:rsidRPr="001456EE" w:rsidRDefault="001456EE" w:rsidP="001456EE">
      <w:pPr>
        <w:pStyle w:val="BodyText"/>
        <w:tabs>
          <w:tab w:val="left" w:pos="720"/>
        </w:tabs>
        <w:spacing w:line="276" w:lineRule="auto"/>
        <w:ind w:left="720"/>
        <w:rPr>
          <w:rFonts w:ascii="Times New Roman" w:hAnsi="Times New Roman"/>
          <w:bCs/>
          <w:sz w:val="24"/>
          <w:szCs w:val="24"/>
        </w:rPr>
      </w:pPr>
    </w:p>
    <w:p w14:paraId="4BE52DB6" w14:textId="1521C1C8" w:rsidR="00ED4BAB" w:rsidRPr="000D5818" w:rsidRDefault="00ED4BAB" w:rsidP="00EF7C1F">
      <w:pPr>
        <w:pStyle w:val="ListParagraph"/>
        <w:numPr>
          <w:ilvl w:val="0"/>
          <w:numId w:val="8"/>
        </w:numPr>
        <w:spacing w:after="240"/>
        <w:ind w:left="634"/>
        <w:jc w:val="both"/>
        <w:rPr>
          <w:rStyle w:val="DeltaViewInsertion"/>
          <w:rFonts w:ascii="Times New Roman" w:hAnsi="Times New Roman"/>
          <w:color w:val="auto"/>
          <w:sz w:val="24"/>
          <w:szCs w:val="24"/>
          <w:u w:val="none"/>
        </w:rPr>
      </w:pPr>
      <w:r w:rsidRPr="000D5818">
        <w:rPr>
          <w:rStyle w:val="DeltaViewInsertion"/>
          <w:rFonts w:ascii="Times New Roman" w:hAnsi="Times New Roman"/>
          <w:color w:val="auto"/>
          <w:sz w:val="24"/>
          <w:szCs w:val="24"/>
          <w:u w:val="none"/>
        </w:rPr>
        <w:t xml:space="preserve">For additional details regarding the above </w:t>
      </w:r>
      <w:r w:rsidR="00860616" w:rsidRPr="000D5818">
        <w:rPr>
          <w:rStyle w:val="DeltaViewInsertion"/>
          <w:rFonts w:ascii="Times New Roman" w:hAnsi="Times New Roman"/>
          <w:color w:val="auto"/>
          <w:sz w:val="24"/>
          <w:szCs w:val="24"/>
          <w:u w:val="none"/>
        </w:rPr>
        <w:t xml:space="preserve">referenced </w:t>
      </w:r>
      <w:r w:rsidRPr="000D5818">
        <w:rPr>
          <w:rStyle w:val="DeltaViewInsertion"/>
          <w:rFonts w:ascii="Times New Roman" w:hAnsi="Times New Roman"/>
          <w:color w:val="auto"/>
          <w:sz w:val="24"/>
          <w:szCs w:val="24"/>
          <w:u w:val="none"/>
        </w:rPr>
        <w:t>highlights, please see Network-1</w:t>
      </w:r>
      <w:r w:rsidR="003F0BAC">
        <w:rPr>
          <w:rStyle w:val="DeltaViewInsertion"/>
          <w:rFonts w:ascii="Times New Roman" w:hAnsi="Times New Roman"/>
          <w:color w:val="auto"/>
          <w:sz w:val="24"/>
          <w:szCs w:val="24"/>
          <w:u w:val="none"/>
        </w:rPr>
        <w:t>’</w:t>
      </w:r>
      <w:r w:rsidRPr="000D5818">
        <w:rPr>
          <w:rStyle w:val="DeltaViewInsertion"/>
          <w:rFonts w:ascii="Times New Roman" w:hAnsi="Times New Roman"/>
          <w:color w:val="auto"/>
          <w:sz w:val="24"/>
          <w:szCs w:val="24"/>
          <w:u w:val="none"/>
        </w:rPr>
        <w:t xml:space="preserve">s Annual Report on Form 10-K for the year ended December 31, </w:t>
      </w:r>
      <w:r w:rsidR="003B03CE" w:rsidRPr="000D5818">
        <w:rPr>
          <w:rStyle w:val="DeltaViewInsertion"/>
          <w:rFonts w:ascii="Times New Roman" w:hAnsi="Times New Roman"/>
          <w:color w:val="auto"/>
          <w:sz w:val="24"/>
          <w:szCs w:val="24"/>
          <w:u w:val="none"/>
        </w:rPr>
        <w:t>20</w:t>
      </w:r>
      <w:r w:rsidR="004C6E8D">
        <w:rPr>
          <w:rStyle w:val="DeltaViewInsertion"/>
          <w:rFonts w:ascii="Times New Roman" w:hAnsi="Times New Roman"/>
          <w:color w:val="auto"/>
          <w:sz w:val="24"/>
          <w:szCs w:val="24"/>
          <w:u w:val="none"/>
        </w:rPr>
        <w:t>20</w:t>
      </w:r>
      <w:r w:rsidR="00F869A0" w:rsidRPr="000D5818">
        <w:rPr>
          <w:rStyle w:val="DeltaViewInsertion"/>
          <w:rFonts w:ascii="Times New Roman" w:hAnsi="Times New Roman"/>
          <w:color w:val="auto"/>
          <w:sz w:val="24"/>
          <w:szCs w:val="24"/>
          <w:u w:val="none"/>
        </w:rPr>
        <w:t xml:space="preserve"> filed with the SEC on </w:t>
      </w:r>
      <w:r w:rsidR="00AF26CA" w:rsidRPr="000D5818">
        <w:rPr>
          <w:rStyle w:val="DeltaViewInsertion"/>
          <w:rFonts w:ascii="Times New Roman" w:hAnsi="Times New Roman"/>
          <w:color w:val="auto"/>
          <w:sz w:val="24"/>
          <w:szCs w:val="24"/>
          <w:u w:val="none"/>
        </w:rPr>
        <w:t xml:space="preserve">March </w:t>
      </w:r>
      <w:r w:rsidR="004C6E8D">
        <w:rPr>
          <w:rStyle w:val="DeltaViewInsertion"/>
          <w:rFonts w:ascii="Times New Roman" w:hAnsi="Times New Roman"/>
          <w:color w:val="auto"/>
          <w:sz w:val="24"/>
          <w:szCs w:val="24"/>
          <w:u w:val="none"/>
        </w:rPr>
        <w:t>30</w:t>
      </w:r>
      <w:r w:rsidR="00AF26CA" w:rsidRPr="000D5818">
        <w:rPr>
          <w:rStyle w:val="DeltaViewInsertion"/>
          <w:rFonts w:ascii="Times New Roman" w:hAnsi="Times New Roman"/>
          <w:color w:val="auto"/>
          <w:sz w:val="24"/>
          <w:szCs w:val="24"/>
          <w:u w:val="none"/>
        </w:rPr>
        <w:t>, 20</w:t>
      </w:r>
      <w:r w:rsidR="00BC3DAA">
        <w:rPr>
          <w:rStyle w:val="DeltaViewInsertion"/>
          <w:rFonts w:ascii="Times New Roman" w:hAnsi="Times New Roman"/>
          <w:color w:val="auto"/>
          <w:sz w:val="24"/>
          <w:szCs w:val="24"/>
          <w:u w:val="none"/>
        </w:rPr>
        <w:t>2</w:t>
      </w:r>
      <w:r w:rsidR="004C6E8D">
        <w:rPr>
          <w:rStyle w:val="DeltaViewInsertion"/>
          <w:rFonts w:ascii="Times New Roman" w:hAnsi="Times New Roman"/>
          <w:color w:val="auto"/>
          <w:sz w:val="24"/>
          <w:szCs w:val="24"/>
          <w:u w:val="none"/>
        </w:rPr>
        <w:t>1</w:t>
      </w:r>
      <w:r w:rsidRPr="000D5818">
        <w:rPr>
          <w:rStyle w:val="DeltaViewInsertion"/>
          <w:rFonts w:ascii="Times New Roman" w:hAnsi="Times New Roman"/>
          <w:color w:val="auto"/>
          <w:sz w:val="24"/>
          <w:szCs w:val="24"/>
          <w:u w:val="none"/>
        </w:rPr>
        <w:t>.</w:t>
      </w:r>
      <w:bookmarkEnd w:id="15"/>
    </w:p>
    <w:p w14:paraId="2EACDBB2" w14:textId="7A0676A5" w:rsidR="00DD2E67" w:rsidRDefault="00DD2E67">
      <w:pPr>
        <w:autoSpaceDE/>
        <w:autoSpaceDN/>
        <w:adjustRightInd/>
        <w:rPr>
          <w:rFonts w:ascii="Times New Roman" w:hAnsi="Times New Roman"/>
        </w:rPr>
      </w:pPr>
      <w:r>
        <w:rPr>
          <w:rFonts w:ascii="Times New Roman" w:hAnsi="Times New Roman"/>
        </w:rPr>
        <w:br w:type="page"/>
      </w:r>
    </w:p>
    <w:p w14:paraId="051AB58A" w14:textId="77777777" w:rsidR="001456EE" w:rsidRDefault="001456EE" w:rsidP="00EE1115">
      <w:pPr>
        <w:jc w:val="both"/>
        <w:rPr>
          <w:rFonts w:ascii="Times New Roman" w:hAnsi="Times New Roman"/>
        </w:rPr>
      </w:pPr>
    </w:p>
    <w:p w14:paraId="39D063A7" w14:textId="1FD44D79" w:rsidR="00EE1115" w:rsidRPr="00EF7C1F" w:rsidRDefault="00EE1115" w:rsidP="00EE1115">
      <w:pPr>
        <w:jc w:val="both"/>
        <w:rPr>
          <w:rFonts w:ascii="Times New Roman" w:hAnsi="Times New Roman"/>
          <w:sz w:val="24"/>
          <w:szCs w:val="24"/>
        </w:rPr>
      </w:pPr>
      <w:r w:rsidRPr="00EF7C1F">
        <w:rPr>
          <w:rFonts w:ascii="Times New Roman" w:hAnsi="Times New Roman"/>
          <w:sz w:val="24"/>
          <w:szCs w:val="24"/>
        </w:rPr>
        <w:t>ABOUT NETWORK-1 TECHNOLOGIES, INC.</w:t>
      </w:r>
    </w:p>
    <w:p w14:paraId="53979085" w14:textId="3598EC2E" w:rsidR="001E6266" w:rsidRPr="001E6266" w:rsidRDefault="001E6266" w:rsidP="00D261E3">
      <w:pPr>
        <w:spacing w:after="240" w:line="240" w:lineRule="auto"/>
        <w:jc w:val="both"/>
        <w:rPr>
          <w:rFonts w:ascii="Times New Roman" w:hAnsi="Times New Roman"/>
          <w:sz w:val="24"/>
          <w:szCs w:val="24"/>
        </w:rPr>
      </w:pPr>
      <w:r w:rsidRPr="001E6266">
        <w:rPr>
          <w:rFonts w:ascii="Times New Roman" w:hAnsi="Times New Roman"/>
          <w:sz w:val="24"/>
          <w:szCs w:val="24"/>
        </w:rPr>
        <w:t>Network-1 Technologies, Inc. is engaged in the development, licensing and protection of its intellectual property and proprietary technologies. Network-1 works with inventors and patent owners to assist in the development and monetization of their patented technologies. Network-1 currently owns eighty-four (84) patents covering various telecommunications and data networking technologies as well as technologies relating to document stream operating systems and the identification of media content. Network-1</w:t>
      </w:r>
      <w:r w:rsidR="003F0BAC">
        <w:rPr>
          <w:rFonts w:ascii="Times New Roman" w:hAnsi="Times New Roman"/>
          <w:sz w:val="24"/>
          <w:szCs w:val="24"/>
        </w:rPr>
        <w:t>’</w:t>
      </w:r>
      <w:r w:rsidRPr="001E6266">
        <w:rPr>
          <w:rFonts w:ascii="Times New Roman" w:hAnsi="Times New Roman"/>
          <w:sz w:val="24"/>
          <w:szCs w:val="24"/>
        </w:rPr>
        <w:t>s current strategy includes continuing to pursue licensing opportunities for its Remote Power Patent and its efforts to monetize three patent portfolios (the Cox, Mirror Worlds and M2M/IoT Patent Portfolios). Network-1</w:t>
      </w:r>
      <w:r w:rsidR="003F0BAC">
        <w:rPr>
          <w:rFonts w:ascii="Times New Roman" w:hAnsi="Times New Roman"/>
          <w:sz w:val="24"/>
          <w:szCs w:val="24"/>
        </w:rPr>
        <w:t>’</w:t>
      </w:r>
      <w:r w:rsidRPr="001E6266">
        <w:rPr>
          <w:rFonts w:ascii="Times New Roman" w:hAnsi="Times New Roman"/>
          <w:sz w:val="24"/>
          <w:szCs w:val="24"/>
        </w:rPr>
        <w:t>s strategy is to focus on acquiring and investing in high quality patents which management believes have the potential to generate significant licensing opportunities as Network-1 has achieved with respect to its Remote Power Patent and Mirror Worlds Patent Portfolio. Network-1</w:t>
      </w:r>
      <w:r w:rsidR="003F0BAC">
        <w:rPr>
          <w:rFonts w:ascii="Times New Roman" w:hAnsi="Times New Roman"/>
          <w:sz w:val="24"/>
          <w:szCs w:val="24"/>
        </w:rPr>
        <w:t>’</w:t>
      </w:r>
      <w:r w:rsidRPr="001E6266">
        <w:rPr>
          <w:rFonts w:ascii="Times New Roman" w:hAnsi="Times New Roman"/>
          <w:sz w:val="24"/>
          <w:szCs w:val="24"/>
        </w:rPr>
        <w:t xml:space="preserve">s Remote Power Patent has generated licensing revenue in excess of $151,000,000 from May 2007 through </w:t>
      </w:r>
      <w:r w:rsidR="00F6117B">
        <w:rPr>
          <w:rFonts w:ascii="Times New Roman" w:hAnsi="Times New Roman"/>
          <w:sz w:val="24"/>
          <w:szCs w:val="24"/>
        </w:rPr>
        <w:t>December</w:t>
      </w:r>
      <w:r w:rsidRPr="001E6266">
        <w:rPr>
          <w:rFonts w:ascii="Times New Roman" w:hAnsi="Times New Roman"/>
          <w:sz w:val="24"/>
          <w:szCs w:val="24"/>
        </w:rPr>
        <w:t xml:space="preserve"> 3</w:t>
      </w:r>
      <w:r w:rsidR="00F6117B">
        <w:rPr>
          <w:rFonts w:ascii="Times New Roman" w:hAnsi="Times New Roman"/>
          <w:sz w:val="24"/>
          <w:szCs w:val="24"/>
        </w:rPr>
        <w:t>1</w:t>
      </w:r>
      <w:r w:rsidRPr="001E6266">
        <w:rPr>
          <w:rFonts w:ascii="Times New Roman" w:hAnsi="Times New Roman"/>
          <w:sz w:val="24"/>
          <w:szCs w:val="24"/>
        </w:rPr>
        <w:t xml:space="preserve">, 2020.  Network-1 has achieved licensing and other revenue of $47,150,000 through </w:t>
      </w:r>
      <w:r w:rsidR="00F6117B">
        <w:rPr>
          <w:rFonts w:ascii="Times New Roman" w:hAnsi="Times New Roman"/>
          <w:sz w:val="24"/>
          <w:szCs w:val="24"/>
        </w:rPr>
        <w:t>December</w:t>
      </w:r>
      <w:r w:rsidRPr="001E6266">
        <w:rPr>
          <w:rFonts w:ascii="Times New Roman" w:hAnsi="Times New Roman"/>
          <w:sz w:val="24"/>
          <w:szCs w:val="24"/>
        </w:rPr>
        <w:t xml:space="preserve"> 3</w:t>
      </w:r>
      <w:r w:rsidR="00F6117B">
        <w:rPr>
          <w:rFonts w:ascii="Times New Roman" w:hAnsi="Times New Roman"/>
          <w:sz w:val="24"/>
          <w:szCs w:val="24"/>
        </w:rPr>
        <w:t>1</w:t>
      </w:r>
      <w:r w:rsidRPr="001E6266">
        <w:rPr>
          <w:rFonts w:ascii="Times New Roman" w:hAnsi="Times New Roman"/>
          <w:sz w:val="24"/>
          <w:szCs w:val="24"/>
        </w:rPr>
        <w:t>, 2020 with respect to its Mirror Worlds Patent Portfolio.</w:t>
      </w:r>
    </w:p>
    <w:p w14:paraId="2D618900" w14:textId="48DAAF6E" w:rsidR="001E6266" w:rsidRPr="0039632F" w:rsidRDefault="001E6266" w:rsidP="00D261E3">
      <w:pPr>
        <w:spacing w:after="240" w:line="240" w:lineRule="auto"/>
        <w:jc w:val="both"/>
        <w:rPr>
          <w:rFonts w:ascii="Times New Roman" w:hAnsi="Times New Roman"/>
          <w:i/>
          <w:iCs/>
        </w:rPr>
      </w:pPr>
      <w:r w:rsidRPr="0039632F">
        <w:rPr>
          <w:rFonts w:ascii="Times New Roman" w:hAnsi="Times New Roman"/>
          <w:i/>
          <w:iCs/>
          <w:sz w:val="24"/>
          <w:szCs w:val="24"/>
        </w:rPr>
        <w:t xml:space="preserve">This release contains forward-looking statements within the meaning of the </w:t>
      </w:r>
      <w:r w:rsidR="003F0BAC">
        <w:rPr>
          <w:rFonts w:ascii="Times New Roman" w:hAnsi="Times New Roman"/>
          <w:i/>
          <w:iCs/>
          <w:sz w:val="24"/>
          <w:szCs w:val="24"/>
        </w:rPr>
        <w:t>“</w:t>
      </w:r>
      <w:r w:rsidRPr="0039632F">
        <w:rPr>
          <w:rFonts w:ascii="Times New Roman" w:hAnsi="Times New Roman"/>
          <w:i/>
          <w:iCs/>
          <w:sz w:val="24"/>
          <w:szCs w:val="24"/>
        </w:rPr>
        <w:t>safe harbor</w:t>
      </w:r>
      <w:r w:rsidR="003F0BAC">
        <w:rPr>
          <w:rFonts w:ascii="Times New Roman" w:hAnsi="Times New Roman"/>
          <w:i/>
          <w:iCs/>
          <w:sz w:val="24"/>
          <w:szCs w:val="24"/>
        </w:rPr>
        <w:t>”</w:t>
      </w:r>
      <w:r w:rsidRPr="0039632F">
        <w:rPr>
          <w:rFonts w:ascii="Times New Roman" w:hAnsi="Times New Roman"/>
          <w:i/>
          <w:iCs/>
          <w:sz w:val="24"/>
          <w:szCs w:val="24"/>
        </w:rPr>
        <w:t xml:space="preserve"> provisions of the Private Securities Litigation Reform Act of 1995. These statements address future events and conditions concerning Network-1</w:t>
      </w:r>
      <w:r w:rsidR="003F0BAC">
        <w:rPr>
          <w:rFonts w:ascii="Times New Roman" w:hAnsi="Times New Roman"/>
          <w:i/>
          <w:iCs/>
          <w:sz w:val="24"/>
          <w:szCs w:val="24"/>
        </w:rPr>
        <w:t>’</w:t>
      </w:r>
      <w:r w:rsidRPr="0039632F">
        <w:rPr>
          <w:rFonts w:ascii="Times New Roman" w:hAnsi="Times New Roman"/>
          <w:i/>
          <w:iCs/>
          <w:sz w:val="24"/>
          <w:szCs w:val="24"/>
        </w:rPr>
        <w:t>s business plans. Such statements are subject to a number of risk factors and uncertainties as disclosed in the Network-1</w:t>
      </w:r>
      <w:r w:rsidR="003F0BAC">
        <w:rPr>
          <w:rFonts w:ascii="Times New Roman" w:hAnsi="Times New Roman"/>
          <w:i/>
          <w:iCs/>
          <w:sz w:val="24"/>
          <w:szCs w:val="24"/>
        </w:rPr>
        <w:t>’</w:t>
      </w:r>
      <w:r w:rsidRPr="0039632F">
        <w:rPr>
          <w:rFonts w:ascii="Times New Roman" w:hAnsi="Times New Roman"/>
          <w:i/>
          <w:iCs/>
          <w:sz w:val="24"/>
          <w:szCs w:val="24"/>
        </w:rPr>
        <w:t>s Annual Report on Form 10-K for the year ended December 31, 20</w:t>
      </w:r>
      <w:r w:rsidR="00DD2E67">
        <w:rPr>
          <w:rFonts w:ascii="Times New Roman" w:hAnsi="Times New Roman"/>
          <w:i/>
          <w:iCs/>
          <w:sz w:val="24"/>
          <w:szCs w:val="24"/>
        </w:rPr>
        <w:t>20</w:t>
      </w:r>
      <w:r w:rsidRPr="0039632F">
        <w:rPr>
          <w:rFonts w:ascii="Times New Roman" w:hAnsi="Times New Roman"/>
          <w:i/>
          <w:iCs/>
          <w:sz w:val="24"/>
          <w:szCs w:val="24"/>
        </w:rPr>
        <w:t xml:space="preserve"> filed with the Securities and Exchange Commission including, among others, Network-1</w:t>
      </w:r>
      <w:r w:rsidR="003F0BAC">
        <w:rPr>
          <w:rFonts w:ascii="Times New Roman" w:hAnsi="Times New Roman"/>
          <w:i/>
          <w:iCs/>
          <w:sz w:val="24"/>
          <w:szCs w:val="24"/>
        </w:rPr>
        <w:t>’</w:t>
      </w:r>
      <w:r w:rsidRPr="0039632F">
        <w:rPr>
          <w:rFonts w:ascii="Times New Roman" w:hAnsi="Times New Roman"/>
          <w:i/>
          <w:iCs/>
          <w:sz w:val="24"/>
          <w:szCs w:val="24"/>
        </w:rPr>
        <w:t xml:space="preserve">s uncertain revenue stream, </w:t>
      </w:r>
      <w:r w:rsidR="00F6117B">
        <w:rPr>
          <w:rFonts w:ascii="Times New Roman" w:hAnsi="Times New Roman"/>
          <w:i/>
          <w:iCs/>
          <w:sz w:val="24"/>
          <w:szCs w:val="24"/>
        </w:rPr>
        <w:t xml:space="preserve">the uncertainty as to the outcome of pending litigation </w:t>
      </w:r>
      <w:r w:rsidR="005B7DC6">
        <w:rPr>
          <w:rFonts w:ascii="Times New Roman" w:hAnsi="Times New Roman"/>
          <w:i/>
          <w:iCs/>
          <w:sz w:val="24"/>
          <w:szCs w:val="24"/>
        </w:rPr>
        <w:t>involving</w:t>
      </w:r>
      <w:r w:rsidR="00F6117B">
        <w:rPr>
          <w:rFonts w:ascii="Times New Roman" w:hAnsi="Times New Roman"/>
          <w:i/>
          <w:iCs/>
          <w:sz w:val="24"/>
          <w:szCs w:val="24"/>
        </w:rPr>
        <w:t xml:space="preserve"> Network</w:t>
      </w:r>
      <w:r w:rsidR="00F6117B">
        <w:rPr>
          <w:rFonts w:ascii="Times New Roman" w:hAnsi="Times New Roman"/>
          <w:i/>
          <w:iCs/>
          <w:sz w:val="24"/>
          <w:szCs w:val="24"/>
        </w:rPr>
        <w:noBreakHyphen/>
        <w:t>1</w:t>
      </w:r>
      <w:r w:rsidR="003F0BAC">
        <w:rPr>
          <w:rFonts w:ascii="Times New Roman" w:hAnsi="Times New Roman"/>
          <w:i/>
          <w:iCs/>
          <w:sz w:val="24"/>
          <w:szCs w:val="24"/>
        </w:rPr>
        <w:t>’</w:t>
      </w:r>
      <w:r w:rsidR="00F6117B">
        <w:rPr>
          <w:rFonts w:ascii="Times New Roman" w:hAnsi="Times New Roman"/>
          <w:i/>
          <w:iCs/>
          <w:sz w:val="24"/>
          <w:szCs w:val="24"/>
        </w:rPr>
        <w:t xml:space="preserve">s Remote Power Patent, the Cox and Mirror Worlds patent portfolios, </w:t>
      </w:r>
      <w:r w:rsidRPr="0039632F">
        <w:rPr>
          <w:rFonts w:ascii="Times New Roman" w:hAnsi="Times New Roman"/>
          <w:i/>
          <w:iCs/>
          <w:sz w:val="24"/>
          <w:szCs w:val="24"/>
        </w:rPr>
        <w:t>the ability of Network-1 to successfully execute its strategy to acquire or make investments in high quality patents with significant licensing opportunities, Network-1</w:t>
      </w:r>
      <w:r w:rsidR="003F0BAC">
        <w:rPr>
          <w:rFonts w:ascii="Times New Roman" w:hAnsi="Times New Roman"/>
          <w:i/>
          <w:iCs/>
          <w:sz w:val="24"/>
          <w:szCs w:val="24"/>
        </w:rPr>
        <w:t>’</w:t>
      </w:r>
      <w:r w:rsidRPr="0039632F">
        <w:rPr>
          <w:rFonts w:ascii="Times New Roman" w:hAnsi="Times New Roman"/>
          <w:i/>
          <w:iCs/>
          <w:sz w:val="24"/>
          <w:szCs w:val="24"/>
        </w:rPr>
        <w:t xml:space="preserve">s ability to achieve revenue and profits from its Cox Patent Portfolio, its M2M/IoT Patent Portfolio and additional revenue and profit from its Mirror Worlds Patent Portfolio as well as a return on its investment in </w:t>
      </w:r>
      <w:proofErr w:type="spellStart"/>
      <w:r w:rsidRPr="0039632F">
        <w:rPr>
          <w:rFonts w:ascii="Times New Roman" w:hAnsi="Times New Roman"/>
          <w:i/>
          <w:iCs/>
          <w:sz w:val="24"/>
          <w:szCs w:val="24"/>
        </w:rPr>
        <w:t>IliAD</w:t>
      </w:r>
      <w:proofErr w:type="spellEnd"/>
      <w:r w:rsidRPr="0039632F">
        <w:rPr>
          <w:rFonts w:ascii="Times New Roman" w:hAnsi="Times New Roman"/>
          <w:i/>
          <w:iCs/>
          <w:sz w:val="24"/>
          <w:szCs w:val="24"/>
        </w:rPr>
        <w:t xml:space="preserve"> Biotechnologies, LLC or other intellectual property it may acquire or finance in the future, the ability of Network-1 to enter into additional license agreements, uncertainty as to whether cash dividends will continue be paid, </w:t>
      </w:r>
      <w:r w:rsidR="009C5B24" w:rsidRPr="0039632F">
        <w:rPr>
          <w:rFonts w:ascii="Times New Roman" w:hAnsi="Times New Roman"/>
          <w:i/>
          <w:iCs/>
          <w:sz w:val="24"/>
          <w:szCs w:val="24"/>
        </w:rPr>
        <w:t>the risk that the global COVID-19 pandemic could have an adverse impact on Network-1</w:t>
      </w:r>
      <w:r w:rsidR="003F0BAC">
        <w:rPr>
          <w:rFonts w:ascii="Times New Roman" w:hAnsi="Times New Roman"/>
          <w:i/>
          <w:iCs/>
          <w:sz w:val="24"/>
          <w:szCs w:val="24"/>
        </w:rPr>
        <w:t>’</w:t>
      </w:r>
      <w:r w:rsidR="009C5B24" w:rsidRPr="0039632F">
        <w:rPr>
          <w:rFonts w:ascii="Times New Roman" w:hAnsi="Times New Roman"/>
          <w:i/>
          <w:iCs/>
          <w:sz w:val="24"/>
          <w:szCs w:val="24"/>
        </w:rPr>
        <w:t>s business,</w:t>
      </w:r>
      <w:r w:rsidR="009C5B24">
        <w:rPr>
          <w:rFonts w:ascii="Times New Roman" w:hAnsi="Times New Roman"/>
          <w:i/>
          <w:iCs/>
          <w:sz w:val="24"/>
          <w:szCs w:val="24"/>
        </w:rPr>
        <w:t xml:space="preserve"> </w:t>
      </w:r>
      <w:r w:rsidRPr="0039632F">
        <w:rPr>
          <w:rFonts w:ascii="Times New Roman" w:hAnsi="Times New Roman"/>
          <w:i/>
          <w:iCs/>
          <w:sz w:val="24"/>
          <w:szCs w:val="24"/>
        </w:rPr>
        <w:t>Network</w:t>
      </w:r>
      <w:r w:rsidR="009C5B24">
        <w:rPr>
          <w:rFonts w:ascii="Times New Roman" w:hAnsi="Times New Roman"/>
          <w:i/>
          <w:iCs/>
          <w:sz w:val="24"/>
          <w:szCs w:val="24"/>
        </w:rPr>
        <w:noBreakHyphen/>
      </w:r>
      <w:r w:rsidRPr="0039632F">
        <w:rPr>
          <w:rFonts w:ascii="Times New Roman" w:hAnsi="Times New Roman"/>
          <w:i/>
          <w:iCs/>
          <w:sz w:val="24"/>
          <w:szCs w:val="24"/>
        </w:rPr>
        <w:t>1</w:t>
      </w:r>
      <w:r w:rsidR="003F0BAC">
        <w:rPr>
          <w:rFonts w:ascii="Times New Roman" w:hAnsi="Times New Roman"/>
          <w:i/>
          <w:iCs/>
          <w:sz w:val="24"/>
          <w:szCs w:val="24"/>
        </w:rPr>
        <w:t>’</w:t>
      </w:r>
      <w:r w:rsidRPr="0039632F">
        <w:rPr>
          <w:rFonts w:ascii="Times New Roman" w:hAnsi="Times New Roman"/>
          <w:i/>
          <w:iCs/>
          <w:sz w:val="24"/>
          <w:szCs w:val="24"/>
        </w:rPr>
        <w:t>s ability to enter into strategic relationships with third parties to license or otherwise monetize their intellectual property, the risk in the future of Network-1 being classified as a Personal Holding Company, future economic conditions and technology changes and legislative, regulatory and competitive developments. Except as otherwise required to be disclosed in periodic reports, Network-1 expressly disclaims any</w:t>
      </w:r>
      <w:r w:rsidRPr="00F6117B">
        <w:rPr>
          <w:rFonts w:ascii="Times New Roman" w:hAnsi="Times New Roman"/>
          <w:i/>
          <w:iCs/>
          <w:sz w:val="24"/>
          <w:szCs w:val="24"/>
        </w:rPr>
        <w:t xml:space="preserve"> future obligation or undertaking to update or revise any forward-looking statement contained herein.</w:t>
      </w:r>
    </w:p>
    <w:p w14:paraId="1DB81232" w14:textId="53C7EABC" w:rsidR="00F06399" w:rsidRPr="005B7DC6" w:rsidRDefault="00D72F9E" w:rsidP="00E40251">
      <w:pPr>
        <w:autoSpaceDE/>
        <w:autoSpaceDN/>
        <w:adjustRightInd/>
        <w:rPr>
          <w:rFonts w:ascii="Times New Roman" w:hAnsi="Times New Roman"/>
          <w:i/>
          <w:iCs/>
          <w:sz w:val="24"/>
          <w:szCs w:val="24"/>
          <w:lang w:val="en"/>
        </w:rPr>
      </w:pPr>
      <w:r w:rsidRPr="005B7DC6">
        <w:rPr>
          <w:rFonts w:ascii="Times New Roman" w:hAnsi="Times New Roman"/>
          <w:sz w:val="24"/>
          <w:szCs w:val="24"/>
        </w:rPr>
        <w:t>Network-1</w:t>
      </w:r>
      <w:r w:rsidR="003F0BAC">
        <w:rPr>
          <w:rFonts w:ascii="Times New Roman" w:hAnsi="Times New Roman"/>
          <w:sz w:val="24"/>
          <w:szCs w:val="24"/>
        </w:rPr>
        <w:t>’</w:t>
      </w:r>
      <w:r w:rsidRPr="005B7DC6">
        <w:rPr>
          <w:rFonts w:ascii="Times New Roman" w:hAnsi="Times New Roman"/>
          <w:sz w:val="24"/>
          <w:szCs w:val="24"/>
        </w:rPr>
        <w:t xml:space="preserve">s </w:t>
      </w:r>
      <w:r w:rsidR="00005AC8" w:rsidRPr="005B7DC6">
        <w:rPr>
          <w:rFonts w:ascii="Times New Roman" w:hAnsi="Times New Roman"/>
          <w:sz w:val="24"/>
          <w:szCs w:val="24"/>
        </w:rPr>
        <w:t xml:space="preserve">condensed </w:t>
      </w:r>
      <w:r w:rsidR="00027701" w:rsidRPr="005B7DC6">
        <w:rPr>
          <w:rFonts w:ascii="Times New Roman" w:hAnsi="Times New Roman"/>
          <w:sz w:val="24"/>
          <w:szCs w:val="24"/>
        </w:rPr>
        <w:t>statements</w:t>
      </w:r>
      <w:r w:rsidR="00005AC8" w:rsidRPr="005B7DC6">
        <w:rPr>
          <w:rFonts w:ascii="Times New Roman" w:hAnsi="Times New Roman"/>
          <w:sz w:val="24"/>
          <w:szCs w:val="24"/>
        </w:rPr>
        <w:t xml:space="preserve"> of </w:t>
      </w:r>
      <w:bookmarkStart w:id="16" w:name="_DV_M34"/>
      <w:bookmarkEnd w:id="16"/>
      <w:r w:rsidRPr="005B7DC6">
        <w:rPr>
          <w:rFonts w:ascii="Times New Roman" w:hAnsi="Times New Roman"/>
          <w:sz w:val="24"/>
          <w:szCs w:val="24"/>
        </w:rPr>
        <w:t xml:space="preserve">income and comprehensive </w:t>
      </w:r>
      <w:r w:rsidR="001751F2" w:rsidRPr="005B7DC6">
        <w:rPr>
          <w:rFonts w:ascii="Times New Roman" w:hAnsi="Times New Roman"/>
          <w:sz w:val="24"/>
          <w:szCs w:val="24"/>
        </w:rPr>
        <w:t xml:space="preserve">income </w:t>
      </w:r>
      <w:r w:rsidR="00005AC8" w:rsidRPr="005B7DC6">
        <w:rPr>
          <w:rFonts w:ascii="Times New Roman" w:hAnsi="Times New Roman"/>
          <w:sz w:val="24"/>
          <w:szCs w:val="24"/>
        </w:rPr>
        <w:t>and condensed balance sheet are attached.</w:t>
      </w:r>
    </w:p>
    <w:p w14:paraId="7FAA6C9B" w14:textId="77777777" w:rsidR="00473FF2" w:rsidRDefault="00473FF2" w:rsidP="00E40251">
      <w:pPr>
        <w:autoSpaceDE/>
        <w:autoSpaceDN/>
        <w:adjustRightInd/>
        <w:rPr>
          <w:rFonts w:ascii="Times New Roman" w:hAnsi="Times New Roman"/>
          <w:sz w:val="24"/>
          <w:szCs w:val="24"/>
        </w:rPr>
        <w:sectPr w:rsidR="00473FF2" w:rsidSect="00D53AAB">
          <w:footerReference w:type="default" r:id="rId8"/>
          <w:footerReference w:type="first" r:id="rId9"/>
          <w:pgSz w:w="12240" w:h="15840"/>
          <w:pgMar w:top="1440" w:right="1440" w:bottom="1440" w:left="1440" w:header="720" w:footer="518" w:gutter="0"/>
          <w:cols w:space="720"/>
          <w:noEndnote/>
          <w:titlePg/>
          <w:docGrid w:linePitch="299"/>
        </w:sectPr>
      </w:pPr>
    </w:p>
    <w:tbl>
      <w:tblPr>
        <w:tblW w:w="9270" w:type="dxa"/>
        <w:tblLayout w:type="fixed"/>
        <w:tblLook w:val="0000" w:firstRow="0" w:lastRow="0" w:firstColumn="0" w:lastColumn="0" w:noHBand="0" w:noVBand="0"/>
      </w:tblPr>
      <w:tblGrid>
        <w:gridCol w:w="5760"/>
        <w:gridCol w:w="1800"/>
        <w:gridCol w:w="1710"/>
      </w:tblGrid>
      <w:tr w:rsidR="00473FF2" w:rsidRPr="00473FF2" w14:paraId="59579DE5" w14:textId="77777777" w:rsidTr="00BF1FB5">
        <w:tc>
          <w:tcPr>
            <w:tcW w:w="5760" w:type="dxa"/>
          </w:tcPr>
          <w:p w14:paraId="21DDEF0C" w14:textId="77777777" w:rsidR="00473FF2" w:rsidRPr="00473FF2" w:rsidRDefault="00473FF2" w:rsidP="00473FF2">
            <w:pPr>
              <w:tabs>
                <w:tab w:val="left" w:pos="216"/>
                <w:tab w:val="left" w:pos="432"/>
                <w:tab w:val="left" w:pos="648"/>
              </w:tabs>
              <w:autoSpaceDE/>
              <w:autoSpaceDN/>
              <w:adjustRightInd/>
              <w:spacing w:after="0" w:line="240" w:lineRule="auto"/>
              <w:rPr>
                <w:rFonts w:ascii="Arial" w:hAnsi="Arial" w:cs="Arial"/>
                <w:color w:val="000000"/>
                <w:spacing w:val="-4"/>
                <w:sz w:val="20"/>
                <w:szCs w:val="20"/>
                <w:u w:val="single"/>
              </w:rPr>
            </w:pPr>
          </w:p>
        </w:tc>
        <w:tc>
          <w:tcPr>
            <w:tcW w:w="3510" w:type="dxa"/>
            <w:gridSpan w:val="2"/>
          </w:tcPr>
          <w:p w14:paraId="5A285BD3" w14:textId="77777777" w:rsidR="00473FF2" w:rsidRPr="00473FF2" w:rsidRDefault="00473FF2" w:rsidP="00473FF2">
            <w:pPr>
              <w:pBdr>
                <w:bottom w:val="single" w:sz="12" w:space="1" w:color="auto"/>
              </w:pBdr>
              <w:autoSpaceDE/>
              <w:autoSpaceDN/>
              <w:adjustRightInd/>
              <w:spacing w:after="0" w:line="240" w:lineRule="auto"/>
              <w:jc w:val="center"/>
              <w:rPr>
                <w:rFonts w:ascii="Arial" w:hAnsi="Arial" w:cs="Arial"/>
                <w:b/>
                <w:color w:val="000000"/>
                <w:spacing w:val="-4"/>
                <w:sz w:val="20"/>
                <w:szCs w:val="20"/>
              </w:rPr>
            </w:pPr>
            <w:r w:rsidRPr="00473FF2">
              <w:rPr>
                <w:rFonts w:ascii="Arial" w:hAnsi="Arial" w:cs="Arial"/>
                <w:b/>
                <w:color w:val="000000"/>
                <w:spacing w:val="-4"/>
                <w:sz w:val="20"/>
                <w:szCs w:val="20"/>
              </w:rPr>
              <w:t>Years Ended</w:t>
            </w:r>
            <w:r w:rsidRPr="00473FF2">
              <w:rPr>
                <w:rFonts w:ascii="Arial" w:hAnsi="Arial" w:cs="Arial"/>
                <w:b/>
                <w:color w:val="000000"/>
                <w:spacing w:val="-4"/>
                <w:sz w:val="20"/>
                <w:szCs w:val="20"/>
              </w:rPr>
              <w:br/>
              <w:t xml:space="preserve">December 31, </w:t>
            </w:r>
          </w:p>
        </w:tc>
      </w:tr>
      <w:tr w:rsidR="00BF1FB5" w:rsidRPr="00473FF2" w14:paraId="04E929F9" w14:textId="77777777" w:rsidTr="00BF1FB5">
        <w:tc>
          <w:tcPr>
            <w:tcW w:w="5760" w:type="dxa"/>
          </w:tcPr>
          <w:p w14:paraId="115137C8" w14:textId="77777777" w:rsidR="00473FF2" w:rsidRPr="00473FF2" w:rsidRDefault="00473FF2" w:rsidP="00473FF2">
            <w:pPr>
              <w:tabs>
                <w:tab w:val="left" w:pos="216"/>
                <w:tab w:val="left" w:pos="432"/>
                <w:tab w:val="left" w:pos="648"/>
              </w:tabs>
              <w:autoSpaceDE/>
              <w:autoSpaceDN/>
              <w:adjustRightInd/>
              <w:spacing w:after="0" w:line="240" w:lineRule="auto"/>
              <w:rPr>
                <w:rFonts w:ascii="Arial" w:hAnsi="Arial" w:cs="Arial"/>
                <w:color w:val="000000"/>
                <w:spacing w:val="-4"/>
                <w:sz w:val="20"/>
                <w:szCs w:val="20"/>
                <w:u w:val="single"/>
              </w:rPr>
            </w:pPr>
          </w:p>
        </w:tc>
        <w:tc>
          <w:tcPr>
            <w:tcW w:w="1800" w:type="dxa"/>
          </w:tcPr>
          <w:p w14:paraId="73D5A21C" w14:textId="77777777" w:rsidR="00473FF2" w:rsidRPr="00473FF2" w:rsidRDefault="00473FF2" w:rsidP="00473FF2">
            <w:pPr>
              <w:pBdr>
                <w:bottom w:val="single" w:sz="12" w:space="1" w:color="auto"/>
              </w:pBdr>
              <w:autoSpaceDE/>
              <w:autoSpaceDN/>
              <w:adjustRightInd/>
              <w:spacing w:after="0" w:line="240" w:lineRule="auto"/>
              <w:jc w:val="center"/>
              <w:rPr>
                <w:rFonts w:ascii="Arial" w:hAnsi="Arial" w:cs="Arial"/>
                <w:b/>
                <w:color w:val="000000"/>
                <w:spacing w:val="-4"/>
                <w:sz w:val="20"/>
                <w:szCs w:val="20"/>
              </w:rPr>
            </w:pPr>
            <w:r w:rsidRPr="00473FF2">
              <w:rPr>
                <w:rFonts w:ascii="Arial" w:hAnsi="Arial" w:cs="Arial"/>
                <w:b/>
                <w:color w:val="000000"/>
                <w:spacing w:val="-4"/>
                <w:sz w:val="20"/>
                <w:szCs w:val="20"/>
              </w:rPr>
              <w:t>2020</w:t>
            </w:r>
          </w:p>
        </w:tc>
        <w:tc>
          <w:tcPr>
            <w:tcW w:w="1710" w:type="dxa"/>
          </w:tcPr>
          <w:p w14:paraId="65B8FDB0" w14:textId="77777777" w:rsidR="00473FF2" w:rsidRPr="00473FF2" w:rsidRDefault="00473FF2" w:rsidP="00473FF2">
            <w:pPr>
              <w:pBdr>
                <w:bottom w:val="single" w:sz="12" w:space="1" w:color="auto"/>
              </w:pBdr>
              <w:autoSpaceDE/>
              <w:autoSpaceDN/>
              <w:adjustRightInd/>
              <w:spacing w:after="0" w:line="240" w:lineRule="auto"/>
              <w:jc w:val="center"/>
              <w:rPr>
                <w:rFonts w:ascii="Arial" w:hAnsi="Arial" w:cs="Arial"/>
                <w:b/>
                <w:color w:val="000000"/>
                <w:spacing w:val="-4"/>
                <w:sz w:val="20"/>
                <w:szCs w:val="20"/>
              </w:rPr>
            </w:pPr>
            <w:r w:rsidRPr="00473FF2">
              <w:rPr>
                <w:rFonts w:ascii="Arial" w:hAnsi="Arial" w:cs="Arial"/>
                <w:b/>
                <w:color w:val="000000"/>
                <w:spacing w:val="-4"/>
                <w:sz w:val="20"/>
                <w:szCs w:val="20"/>
              </w:rPr>
              <w:t>2019</w:t>
            </w:r>
          </w:p>
        </w:tc>
      </w:tr>
      <w:tr w:rsidR="00473FF2" w:rsidRPr="00473FF2" w14:paraId="505B6788" w14:textId="77777777" w:rsidTr="00473FF2">
        <w:trPr>
          <w:cantSplit/>
        </w:trPr>
        <w:tc>
          <w:tcPr>
            <w:tcW w:w="5760" w:type="dxa"/>
          </w:tcPr>
          <w:p w14:paraId="7FFBF18C" w14:textId="77777777" w:rsidR="00473FF2" w:rsidRPr="00473FF2" w:rsidRDefault="00473FF2" w:rsidP="00473FF2">
            <w:pPr>
              <w:tabs>
                <w:tab w:val="left" w:pos="216"/>
                <w:tab w:val="left" w:pos="432"/>
                <w:tab w:val="left" w:pos="648"/>
              </w:tabs>
              <w:autoSpaceDE/>
              <w:autoSpaceDN/>
              <w:adjustRightInd/>
              <w:spacing w:before="120" w:after="0" w:line="240" w:lineRule="auto"/>
              <w:rPr>
                <w:rFonts w:ascii="Arial" w:hAnsi="Arial" w:cs="Arial"/>
                <w:color w:val="000000"/>
                <w:spacing w:val="-4"/>
                <w:sz w:val="20"/>
                <w:szCs w:val="20"/>
              </w:rPr>
            </w:pPr>
            <w:r w:rsidRPr="00473FF2">
              <w:rPr>
                <w:rFonts w:ascii="Arial" w:hAnsi="Arial" w:cs="Arial"/>
                <w:color w:val="000000"/>
                <w:spacing w:val="-4"/>
                <w:sz w:val="20"/>
                <w:szCs w:val="20"/>
              </w:rPr>
              <w:t>REVENUE</w:t>
            </w:r>
          </w:p>
        </w:tc>
        <w:tc>
          <w:tcPr>
            <w:tcW w:w="1800" w:type="dxa"/>
            <w:vAlign w:val="bottom"/>
          </w:tcPr>
          <w:p w14:paraId="7F6E7B9F" w14:textId="77777777" w:rsidR="00473FF2" w:rsidRPr="00473FF2" w:rsidRDefault="00473FF2" w:rsidP="00BF1FB5">
            <w:pPr>
              <w:tabs>
                <w:tab w:val="decimal" w:pos="1422"/>
              </w:tabs>
              <w:autoSpaceDE/>
              <w:autoSpaceDN/>
              <w:adjustRightInd/>
              <w:spacing w:before="120" w:after="0" w:line="240" w:lineRule="auto"/>
              <w:rPr>
                <w:rFonts w:ascii="Arial" w:hAnsi="Arial" w:cs="Arial"/>
                <w:color w:val="000000"/>
                <w:spacing w:val="-4"/>
                <w:sz w:val="20"/>
                <w:szCs w:val="20"/>
              </w:rPr>
            </w:pPr>
            <w:r w:rsidRPr="00473FF2">
              <w:rPr>
                <w:rFonts w:ascii="Arial" w:hAnsi="Arial" w:cs="Arial"/>
                <w:color w:val="000000"/>
                <w:spacing w:val="-4"/>
                <w:sz w:val="20"/>
                <w:szCs w:val="20"/>
              </w:rPr>
              <w:t>$4,403,000</w:t>
            </w:r>
          </w:p>
        </w:tc>
        <w:tc>
          <w:tcPr>
            <w:tcW w:w="1710" w:type="dxa"/>
          </w:tcPr>
          <w:p w14:paraId="4C897507" w14:textId="77777777" w:rsidR="00473FF2" w:rsidRPr="00473FF2" w:rsidRDefault="00473FF2" w:rsidP="00473FF2">
            <w:pPr>
              <w:tabs>
                <w:tab w:val="decimal" w:pos="1332"/>
              </w:tabs>
              <w:autoSpaceDE/>
              <w:autoSpaceDN/>
              <w:adjustRightInd/>
              <w:spacing w:before="120" w:after="0" w:line="240" w:lineRule="auto"/>
              <w:rPr>
                <w:rFonts w:ascii="Arial" w:hAnsi="Arial" w:cs="Arial"/>
                <w:color w:val="000000"/>
                <w:spacing w:val="-4"/>
                <w:sz w:val="20"/>
                <w:szCs w:val="20"/>
              </w:rPr>
            </w:pPr>
            <w:r w:rsidRPr="00473FF2">
              <w:rPr>
                <w:rFonts w:ascii="Arial" w:hAnsi="Arial" w:cs="Arial"/>
                <w:color w:val="000000"/>
                <w:spacing w:val="-4"/>
                <w:sz w:val="20"/>
                <w:szCs w:val="20"/>
              </w:rPr>
              <w:t>$   3,037,000</w:t>
            </w:r>
          </w:p>
        </w:tc>
      </w:tr>
      <w:tr w:rsidR="00473FF2" w:rsidRPr="00473FF2" w14:paraId="5C0DD271" w14:textId="77777777" w:rsidTr="00473FF2">
        <w:tc>
          <w:tcPr>
            <w:tcW w:w="5760" w:type="dxa"/>
          </w:tcPr>
          <w:p w14:paraId="5D9FAC03" w14:textId="77777777" w:rsidR="00473FF2" w:rsidRPr="00473FF2" w:rsidRDefault="00473FF2" w:rsidP="00473FF2">
            <w:pPr>
              <w:tabs>
                <w:tab w:val="left" w:pos="216"/>
                <w:tab w:val="left" w:pos="432"/>
                <w:tab w:val="left" w:pos="648"/>
              </w:tabs>
              <w:autoSpaceDE/>
              <w:autoSpaceDN/>
              <w:adjustRightInd/>
              <w:spacing w:after="0" w:line="240" w:lineRule="auto"/>
              <w:rPr>
                <w:rFonts w:ascii="Arial" w:hAnsi="Arial" w:cs="Arial"/>
                <w:color w:val="000000"/>
                <w:spacing w:val="-4"/>
                <w:sz w:val="20"/>
                <w:szCs w:val="20"/>
              </w:rPr>
            </w:pPr>
          </w:p>
        </w:tc>
        <w:tc>
          <w:tcPr>
            <w:tcW w:w="1800" w:type="dxa"/>
            <w:vAlign w:val="bottom"/>
          </w:tcPr>
          <w:p w14:paraId="5196E69A" w14:textId="77777777" w:rsidR="00473FF2" w:rsidRPr="00473FF2" w:rsidRDefault="00473FF2" w:rsidP="00BF1FB5">
            <w:pPr>
              <w:tabs>
                <w:tab w:val="decimal" w:pos="1422"/>
              </w:tabs>
              <w:autoSpaceDE/>
              <w:autoSpaceDN/>
              <w:adjustRightInd/>
              <w:spacing w:after="0" w:line="240" w:lineRule="auto"/>
              <w:rPr>
                <w:rFonts w:ascii="Arial" w:hAnsi="Arial" w:cs="Arial"/>
                <w:color w:val="000000"/>
                <w:spacing w:val="-4"/>
                <w:sz w:val="20"/>
                <w:szCs w:val="20"/>
              </w:rPr>
            </w:pPr>
          </w:p>
        </w:tc>
        <w:tc>
          <w:tcPr>
            <w:tcW w:w="1710" w:type="dxa"/>
          </w:tcPr>
          <w:p w14:paraId="251970EC" w14:textId="77777777" w:rsidR="00473FF2" w:rsidRPr="00473FF2" w:rsidRDefault="00473FF2" w:rsidP="00473FF2">
            <w:pPr>
              <w:tabs>
                <w:tab w:val="decimal" w:pos="1332"/>
              </w:tabs>
              <w:autoSpaceDE/>
              <w:autoSpaceDN/>
              <w:adjustRightInd/>
              <w:spacing w:after="0" w:line="240" w:lineRule="auto"/>
              <w:rPr>
                <w:rFonts w:ascii="Arial" w:hAnsi="Arial" w:cs="Arial"/>
                <w:color w:val="000000"/>
                <w:spacing w:val="-4"/>
                <w:sz w:val="20"/>
                <w:szCs w:val="20"/>
              </w:rPr>
            </w:pPr>
          </w:p>
        </w:tc>
      </w:tr>
      <w:tr w:rsidR="00473FF2" w:rsidRPr="00473FF2" w14:paraId="168D44A8" w14:textId="77777777" w:rsidTr="00473FF2">
        <w:tc>
          <w:tcPr>
            <w:tcW w:w="5760" w:type="dxa"/>
          </w:tcPr>
          <w:p w14:paraId="194F288C" w14:textId="77777777" w:rsidR="00473FF2" w:rsidRPr="00473FF2" w:rsidRDefault="00473FF2" w:rsidP="00473FF2">
            <w:pPr>
              <w:tabs>
                <w:tab w:val="left" w:pos="216"/>
                <w:tab w:val="left" w:pos="432"/>
                <w:tab w:val="left" w:pos="648"/>
              </w:tabs>
              <w:autoSpaceDE/>
              <w:autoSpaceDN/>
              <w:adjustRightInd/>
              <w:spacing w:after="0" w:line="240" w:lineRule="auto"/>
              <w:rPr>
                <w:rFonts w:ascii="Arial" w:hAnsi="Arial" w:cs="Arial"/>
                <w:color w:val="000000"/>
                <w:spacing w:val="-4"/>
                <w:sz w:val="20"/>
                <w:szCs w:val="20"/>
              </w:rPr>
            </w:pPr>
            <w:r w:rsidRPr="00473FF2">
              <w:rPr>
                <w:rFonts w:ascii="Arial" w:hAnsi="Arial" w:cs="Arial"/>
                <w:color w:val="000000"/>
                <w:spacing w:val="-4"/>
                <w:sz w:val="20"/>
                <w:szCs w:val="20"/>
              </w:rPr>
              <w:t>OPERATING EXPENSES:</w:t>
            </w:r>
          </w:p>
        </w:tc>
        <w:tc>
          <w:tcPr>
            <w:tcW w:w="1800" w:type="dxa"/>
            <w:vAlign w:val="bottom"/>
          </w:tcPr>
          <w:p w14:paraId="0CD34121" w14:textId="77777777" w:rsidR="00473FF2" w:rsidRPr="00473FF2" w:rsidRDefault="00473FF2" w:rsidP="00BF1FB5">
            <w:pPr>
              <w:tabs>
                <w:tab w:val="decimal" w:pos="1422"/>
              </w:tabs>
              <w:autoSpaceDE/>
              <w:autoSpaceDN/>
              <w:adjustRightInd/>
              <w:spacing w:after="0" w:line="240" w:lineRule="auto"/>
              <w:rPr>
                <w:rFonts w:ascii="Arial" w:hAnsi="Arial" w:cs="Arial"/>
                <w:color w:val="000000"/>
                <w:spacing w:val="-4"/>
                <w:sz w:val="20"/>
                <w:szCs w:val="20"/>
              </w:rPr>
            </w:pPr>
          </w:p>
        </w:tc>
        <w:tc>
          <w:tcPr>
            <w:tcW w:w="1710" w:type="dxa"/>
          </w:tcPr>
          <w:p w14:paraId="1F76404B" w14:textId="77777777" w:rsidR="00473FF2" w:rsidRPr="00473FF2" w:rsidRDefault="00473FF2" w:rsidP="00473FF2">
            <w:pPr>
              <w:tabs>
                <w:tab w:val="decimal" w:pos="1332"/>
              </w:tabs>
              <w:autoSpaceDE/>
              <w:autoSpaceDN/>
              <w:adjustRightInd/>
              <w:spacing w:after="0" w:line="240" w:lineRule="auto"/>
              <w:rPr>
                <w:rFonts w:ascii="Arial" w:hAnsi="Arial" w:cs="Arial"/>
                <w:color w:val="000000"/>
                <w:spacing w:val="-4"/>
                <w:sz w:val="20"/>
                <w:szCs w:val="20"/>
              </w:rPr>
            </w:pPr>
          </w:p>
        </w:tc>
      </w:tr>
      <w:tr w:rsidR="00473FF2" w:rsidRPr="00473FF2" w14:paraId="06F34CE4" w14:textId="77777777" w:rsidTr="00473FF2">
        <w:tc>
          <w:tcPr>
            <w:tcW w:w="5760" w:type="dxa"/>
          </w:tcPr>
          <w:p w14:paraId="448F987A" w14:textId="77777777" w:rsidR="00473FF2" w:rsidRPr="00473FF2" w:rsidRDefault="00473FF2" w:rsidP="00473FF2">
            <w:pPr>
              <w:tabs>
                <w:tab w:val="left" w:pos="216"/>
                <w:tab w:val="left" w:pos="432"/>
                <w:tab w:val="left" w:pos="648"/>
              </w:tabs>
              <w:autoSpaceDE/>
              <w:autoSpaceDN/>
              <w:adjustRightInd/>
              <w:spacing w:after="0" w:line="240" w:lineRule="auto"/>
              <w:rPr>
                <w:rFonts w:ascii="Arial" w:hAnsi="Arial" w:cs="Arial"/>
                <w:color w:val="000000"/>
                <w:spacing w:val="-4"/>
                <w:sz w:val="20"/>
                <w:szCs w:val="20"/>
              </w:rPr>
            </w:pPr>
            <w:r w:rsidRPr="00473FF2">
              <w:rPr>
                <w:rFonts w:ascii="Arial" w:hAnsi="Arial" w:cs="Arial"/>
                <w:color w:val="000000"/>
                <w:spacing w:val="-4"/>
                <w:sz w:val="20"/>
                <w:szCs w:val="20"/>
              </w:rPr>
              <w:tab/>
              <w:t>Costs of revenue</w:t>
            </w:r>
          </w:p>
        </w:tc>
        <w:tc>
          <w:tcPr>
            <w:tcW w:w="1800" w:type="dxa"/>
            <w:vAlign w:val="bottom"/>
          </w:tcPr>
          <w:p w14:paraId="53D96A0B" w14:textId="77777777" w:rsidR="00473FF2" w:rsidRPr="00473FF2" w:rsidRDefault="00473FF2" w:rsidP="00BF1FB5">
            <w:pPr>
              <w:tabs>
                <w:tab w:val="decimal" w:pos="1422"/>
              </w:tabs>
              <w:autoSpaceDE/>
              <w:autoSpaceDN/>
              <w:adjustRightInd/>
              <w:spacing w:after="0" w:line="240" w:lineRule="auto"/>
              <w:rPr>
                <w:rFonts w:ascii="Arial" w:hAnsi="Arial" w:cs="Arial"/>
                <w:color w:val="000000"/>
                <w:spacing w:val="-4"/>
                <w:sz w:val="20"/>
                <w:szCs w:val="20"/>
              </w:rPr>
            </w:pPr>
            <w:r w:rsidRPr="00473FF2">
              <w:rPr>
                <w:rFonts w:ascii="Arial" w:hAnsi="Arial" w:cs="Arial"/>
                <w:color w:val="000000"/>
                <w:spacing w:val="-4"/>
                <w:sz w:val="20"/>
                <w:szCs w:val="20"/>
              </w:rPr>
              <w:t>1,653,000</w:t>
            </w:r>
          </w:p>
        </w:tc>
        <w:tc>
          <w:tcPr>
            <w:tcW w:w="1710" w:type="dxa"/>
            <w:vAlign w:val="bottom"/>
          </w:tcPr>
          <w:p w14:paraId="56C60D26" w14:textId="77777777" w:rsidR="00473FF2" w:rsidRPr="00473FF2" w:rsidRDefault="00473FF2" w:rsidP="00473FF2">
            <w:pPr>
              <w:tabs>
                <w:tab w:val="decimal" w:pos="1332"/>
              </w:tabs>
              <w:autoSpaceDE/>
              <w:autoSpaceDN/>
              <w:adjustRightInd/>
              <w:spacing w:after="0" w:line="240" w:lineRule="auto"/>
              <w:rPr>
                <w:rFonts w:ascii="Arial" w:hAnsi="Arial" w:cs="Arial"/>
                <w:color w:val="000000"/>
                <w:spacing w:val="-4"/>
                <w:sz w:val="20"/>
                <w:szCs w:val="20"/>
              </w:rPr>
            </w:pPr>
            <w:r w:rsidRPr="00473FF2">
              <w:rPr>
                <w:rFonts w:ascii="Arial" w:hAnsi="Arial" w:cs="Arial"/>
                <w:color w:val="000000"/>
                <w:spacing w:val="-4"/>
                <w:sz w:val="20"/>
                <w:szCs w:val="20"/>
              </w:rPr>
              <w:t>882,000</w:t>
            </w:r>
          </w:p>
        </w:tc>
      </w:tr>
      <w:tr w:rsidR="00473FF2" w:rsidRPr="00473FF2" w14:paraId="65CA46FE" w14:textId="77777777" w:rsidTr="00473FF2">
        <w:tc>
          <w:tcPr>
            <w:tcW w:w="5760" w:type="dxa"/>
          </w:tcPr>
          <w:p w14:paraId="3ED97163" w14:textId="77777777" w:rsidR="00473FF2" w:rsidRPr="00473FF2" w:rsidRDefault="00473FF2" w:rsidP="00473FF2">
            <w:pPr>
              <w:tabs>
                <w:tab w:val="left" w:pos="216"/>
                <w:tab w:val="left" w:pos="432"/>
                <w:tab w:val="left" w:pos="648"/>
              </w:tabs>
              <w:autoSpaceDE/>
              <w:autoSpaceDN/>
              <w:adjustRightInd/>
              <w:spacing w:after="0" w:line="240" w:lineRule="auto"/>
              <w:rPr>
                <w:rFonts w:ascii="Arial" w:hAnsi="Arial" w:cs="Arial"/>
                <w:color w:val="000000"/>
                <w:spacing w:val="-4"/>
                <w:sz w:val="20"/>
                <w:szCs w:val="20"/>
              </w:rPr>
            </w:pPr>
            <w:r w:rsidRPr="00473FF2">
              <w:rPr>
                <w:rFonts w:ascii="Arial" w:hAnsi="Arial" w:cs="Arial"/>
                <w:color w:val="000000"/>
                <w:spacing w:val="-4"/>
                <w:sz w:val="20"/>
                <w:szCs w:val="20"/>
              </w:rPr>
              <w:tab/>
              <w:t>Professional fees and related costs</w:t>
            </w:r>
          </w:p>
        </w:tc>
        <w:tc>
          <w:tcPr>
            <w:tcW w:w="1800" w:type="dxa"/>
            <w:vAlign w:val="bottom"/>
          </w:tcPr>
          <w:p w14:paraId="36DFC366" w14:textId="77777777" w:rsidR="00473FF2" w:rsidRPr="00473FF2" w:rsidRDefault="00473FF2" w:rsidP="00BF1FB5">
            <w:pPr>
              <w:tabs>
                <w:tab w:val="decimal" w:pos="1422"/>
              </w:tabs>
              <w:autoSpaceDE/>
              <w:autoSpaceDN/>
              <w:adjustRightInd/>
              <w:spacing w:after="0" w:line="240" w:lineRule="auto"/>
              <w:rPr>
                <w:rFonts w:ascii="Arial" w:hAnsi="Arial" w:cs="Arial"/>
                <w:color w:val="000000"/>
                <w:spacing w:val="-4"/>
                <w:sz w:val="20"/>
                <w:szCs w:val="20"/>
              </w:rPr>
            </w:pPr>
            <w:r w:rsidRPr="00473FF2">
              <w:rPr>
                <w:rFonts w:ascii="Arial" w:hAnsi="Arial" w:cs="Arial"/>
                <w:color w:val="000000"/>
                <w:spacing w:val="-4"/>
                <w:sz w:val="20"/>
                <w:szCs w:val="20"/>
              </w:rPr>
              <w:t>2,407,000</w:t>
            </w:r>
          </w:p>
        </w:tc>
        <w:tc>
          <w:tcPr>
            <w:tcW w:w="1710" w:type="dxa"/>
            <w:vAlign w:val="bottom"/>
          </w:tcPr>
          <w:p w14:paraId="4157F121" w14:textId="77777777" w:rsidR="00473FF2" w:rsidRPr="00473FF2" w:rsidRDefault="00473FF2" w:rsidP="00473FF2">
            <w:pPr>
              <w:tabs>
                <w:tab w:val="decimal" w:pos="1332"/>
              </w:tabs>
              <w:autoSpaceDE/>
              <w:autoSpaceDN/>
              <w:adjustRightInd/>
              <w:spacing w:after="0" w:line="240" w:lineRule="auto"/>
              <w:rPr>
                <w:rFonts w:ascii="Arial" w:hAnsi="Arial" w:cs="Arial"/>
                <w:color w:val="000000"/>
                <w:spacing w:val="-4"/>
                <w:sz w:val="20"/>
                <w:szCs w:val="20"/>
              </w:rPr>
            </w:pPr>
            <w:r w:rsidRPr="00473FF2">
              <w:rPr>
                <w:rFonts w:ascii="Arial" w:hAnsi="Arial" w:cs="Arial"/>
                <w:color w:val="000000"/>
                <w:spacing w:val="-4"/>
                <w:sz w:val="20"/>
                <w:szCs w:val="20"/>
              </w:rPr>
              <w:t>1,490,000</w:t>
            </w:r>
          </w:p>
        </w:tc>
      </w:tr>
      <w:tr w:rsidR="00473FF2" w:rsidRPr="00473FF2" w14:paraId="5F3BE5F4" w14:textId="77777777" w:rsidTr="00473FF2">
        <w:tc>
          <w:tcPr>
            <w:tcW w:w="5760" w:type="dxa"/>
          </w:tcPr>
          <w:p w14:paraId="1C126D78" w14:textId="77777777" w:rsidR="00473FF2" w:rsidRPr="00473FF2" w:rsidRDefault="00473FF2" w:rsidP="00473FF2">
            <w:pPr>
              <w:tabs>
                <w:tab w:val="left" w:pos="216"/>
                <w:tab w:val="left" w:pos="432"/>
                <w:tab w:val="left" w:pos="648"/>
              </w:tabs>
              <w:autoSpaceDE/>
              <w:autoSpaceDN/>
              <w:adjustRightInd/>
              <w:spacing w:after="0" w:line="240" w:lineRule="auto"/>
              <w:rPr>
                <w:rFonts w:ascii="Arial" w:hAnsi="Arial" w:cs="Arial"/>
                <w:color w:val="000000"/>
                <w:spacing w:val="-4"/>
                <w:sz w:val="20"/>
                <w:szCs w:val="20"/>
              </w:rPr>
            </w:pPr>
            <w:r w:rsidRPr="00473FF2">
              <w:rPr>
                <w:rFonts w:ascii="Arial" w:hAnsi="Arial" w:cs="Arial"/>
                <w:color w:val="000000"/>
                <w:spacing w:val="-4"/>
                <w:sz w:val="20"/>
                <w:szCs w:val="20"/>
              </w:rPr>
              <w:tab/>
              <w:t>General and administrative</w:t>
            </w:r>
          </w:p>
        </w:tc>
        <w:tc>
          <w:tcPr>
            <w:tcW w:w="1800" w:type="dxa"/>
            <w:vAlign w:val="bottom"/>
          </w:tcPr>
          <w:p w14:paraId="09FE5D5A" w14:textId="77777777" w:rsidR="00473FF2" w:rsidRPr="00473FF2" w:rsidRDefault="00473FF2" w:rsidP="00BF1FB5">
            <w:pPr>
              <w:tabs>
                <w:tab w:val="decimal" w:pos="1422"/>
              </w:tabs>
              <w:autoSpaceDE/>
              <w:autoSpaceDN/>
              <w:adjustRightInd/>
              <w:spacing w:after="0" w:line="240" w:lineRule="auto"/>
              <w:rPr>
                <w:rFonts w:ascii="Arial" w:hAnsi="Arial" w:cs="Arial"/>
                <w:color w:val="000000"/>
                <w:spacing w:val="-4"/>
                <w:sz w:val="20"/>
                <w:szCs w:val="20"/>
              </w:rPr>
            </w:pPr>
            <w:r w:rsidRPr="00473FF2">
              <w:rPr>
                <w:rFonts w:ascii="Arial" w:hAnsi="Arial" w:cs="Arial"/>
                <w:color w:val="000000"/>
                <w:spacing w:val="-4"/>
                <w:sz w:val="20"/>
                <w:szCs w:val="20"/>
              </w:rPr>
              <w:t>2,162,000</w:t>
            </w:r>
          </w:p>
        </w:tc>
        <w:tc>
          <w:tcPr>
            <w:tcW w:w="1710" w:type="dxa"/>
            <w:vAlign w:val="bottom"/>
          </w:tcPr>
          <w:p w14:paraId="7E50077B" w14:textId="77777777" w:rsidR="00473FF2" w:rsidRPr="00473FF2" w:rsidRDefault="00473FF2" w:rsidP="00473FF2">
            <w:pPr>
              <w:tabs>
                <w:tab w:val="decimal" w:pos="1332"/>
              </w:tabs>
              <w:autoSpaceDE/>
              <w:autoSpaceDN/>
              <w:adjustRightInd/>
              <w:spacing w:after="0" w:line="240" w:lineRule="auto"/>
              <w:rPr>
                <w:rFonts w:ascii="Arial" w:hAnsi="Arial" w:cs="Arial"/>
                <w:color w:val="000000"/>
                <w:spacing w:val="-4"/>
                <w:sz w:val="20"/>
                <w:szCs w:val="20"/>
              </w:rPr>
            </w:pPr>
            <w:r w:rsidRPr="00473FF2">
              <w:rPr>
                <w:rFonts w:ascii="Arial" w:hAnsi="Arial" w:cs="Arial"/>
                <w:color w:val="000000"/>
                <w:spacing w:val="-4"/>
                <w:sz w:val="20"/>
                <w:szCs w:val="20"/>
              </w:rPr>
              <w:t>2,167,000</w:t>
            </w:r>
          </w:p>
        </w:tc>
      </w:tr>
      <w:tr w:rsidR="00473FF2" w:rsidRPr="00473FF2" w14:paraId="17E22E13" w14:textId="77777777" w:rsidTr="00473FF2">
        <w:tc>
          <w:tcPr>
            <w:tcW w:w="5760" w:type="dxa"/>
          </w:tcPr>
          <w:p w14:paraId="17F1AD9D" w14:textId="77777777" w:rsidR="00473FF2" w:rsidRPr="00473FF2" w:rsidRDefault="00473FF2" w:rsidP="00473FF2">
            <w:pPr>
              <w:tabs>
                <w:tab w:val="left" w:pos="216"/>
                <w:tab w:val="left" w:pos="432"/>
                <w:tab w:val="left" w:pos="648"/>
              </w:tabs>
              <w:autoSpaceDE/>
              <w:autoSpaceDN/>
              <w:adjustRightInd/>
              <w:spacing w:after="0" w:line="240" w:lineRule="auto"/>
              <w:rPr>
                <w:rFonts w:ascii="Arial" w:hAnsi="Arial" w:cs="Arial"/>
                <w:color w:val="000000"/>
                <w:spacing w:val="-4"/>
                <w:sz w:val="20"/>
                <w:szCs w:val="20"/>
              </w:rPr>
            </w:pPr>
            <w:r w:rsidRPr="00473FF2">
              <w:rPr>
                <w:rFonts w:ascii="Arial" w:hAnsi="Arial" w:cs="Arial"/>
                <w:color w:val="000000"/>
                <w:spacing w:val="-4"/>
                <w:sz w:val="20"/>
                <w:szCs w:val="20"/>
              </w:rPr>
              <w:tab/>
              <w:t>Amortization of patents</w:t>
            </w:r>
          </w:p>
        </w:tc>
        <w:tc>
          <w:tcPr>
            <w:tcW w:w="1800" w:type="dxa"/>
            <w:vAlign w:val="bottom"/>
          </w:tcPr>
          <w:p w14:paraId="2D9E300F" w14:textId="77777777" w:rsidR="00473FF2" w:rsidRPr="00473FF2" w:rsidRDefault="00473FF2" w:rsidP="00BF1FB5">
            <w:pPr>
              <w:tabs>
                <w:tab w:val="decimal" w:pos="1422"/>
              </w:tabs>
              <w:autoSpaceDE/>
              <w:autoSpaceDN/>
              <w:adjustRightInd/>
              <w:spacing w:after="0" w:line="240" w:lineRule="auto"/>
              <w:rPr>
                <w:rFonts w:ascii="Arial" w:hAnsi="Arial" w:cs="Arial"/>
                <w:color w:val="000000"/>
                <w:spacing w:val="-4"/>
                <w:sz w:val="20"/>
                <w:szCs w:val="20"/>
              </w:rPr>
            </w:pPr>
            <w:r w:rsidRPr="00473FF2">
              <w:rPr>
                <w:rFonts w:ascii="Arial" w:hAnsi="Arial" w:cs="Arial"/>
                <w:color w:val="000000"/>
                <w:spacing w:val="-4"/>
                <w:sz w:val="20"/>
                <w:szCs w:val="20"/>
              </w:rPr>
              <w:t>292,000</w:t>
            </w:r>
          </w:p>
        </w:tc>
        <w:tc>
          <w:tcPr>
            <w:tcW w:w="1710" w:type="dxa"/>
            <w:vAlign w:val="bottom"/>
          </w:tcPr>
          <w:p w14:paraId="28A688FE" w14:textId="77777777" w:rsidR="00473FF2" w:rsidRPr="00473FF2" w:rsidRDefault="00473FF2" w:rsidP="00473FF2">
            <w:pPr>
              <w:tabs>
                <w:tab w:val="decimal" w:pos="1332"/>
              </w:tabs>
              <w:autoSpaceDE/>
              <w:autoSpaceDN/>
              <w:adjustRightInd/>
              <w:spacing w:after="0" w:line="240" w:lineRule="auto"/>
              <w:rPr>
                <w:rFonts w:ascii="Arial" w:hAnsi="Arial" w:cs="Arial"/>
                <w:color w:val="000000"/>
                <w:spacing w:val="-4"/>
                <w:sz w:val="20"/>
                <w:szCs w:val="20"/>
              </w:rPr>
            </w:pPr>
            <w:r w:rsidRPr="00473FF2">
              <w:rPr>
                <w:rFonts w:ascii="Arial" w:hAnsi="Arial" w:cs="Arial"/>
                <w:color w:val="000000"/>
                <w:spacing w:val="-4"/>
                <w:sz w:val="20"/>
                <w:szCs w:val="20"/>
              </w:rPr>
              <w:t>285,000</w:t>
            </w:r>
          </w:p>
        </w:tc>
      </w:tr>
      <w:tr w:rsidR="00473FF2" w:rsidRPr="00473FF2" w14:paraId="450E5AE3" w14:textId="77777777" w:rsidTr="00473FF2">
        <w:tc>
          <w:tcPr>
            <w:tcW w:w="5760" w:type="dxa"/>
          </w:tcPr>
          <w:p w14:paraId="5B0E5269" w14:textId="77777777" w:rsidR="00473FF2" w:rsidRPr="00473FF2" w:rsidRDefault="00473FF2" w:rsidP="00473FF2">
            <w:pPr>
              <w:tabs>
                <w:tab w:val="left" w:pos="216"/>
                <w:tab w:val="left" w:pos="432"/>
                <w:tab w:val="left" w:pos="648"/>
              </w:tabs>
              <w:autoSpaceDE/>
              <w:autoSpaceDN/>
              <w:adjustRightInd/>
              <w:spacing w:after="0" w:line="240" w:lineRule="auto"/>
              <w:rPr>
                <w:rFonts w:ascii="Arial" w:hAnsi="Arial" w:cs="Arial"/>
                <w:color w:val="000000"/>
                <w:spacing w:val="-4"/>
                <w:sz w:val="20"/>
                <w:szCs w:val="20"/>
              </w:rPr>
            </w:pPr>
            <w:r w:rsidRPr="00473FF2">
              <w:rPr>
                <w:rFonts w:ascii="Arial" w:hAnsi="Arial" w:cs="Arial"/>
                <w:color w:val="000000"/>
                <w:spacing w:val="-4"/>
                <w:sz w:val="20"/>
                <w:szCs w:val="20"/>
              </w:rPr>
              <w:tab/>
              <w:t>Stock-based compensation</w:t>
            </w:r>
          </w:p>
        </w:tc>
        <w:tc>
          <w:tcPr>
            <w:tcW w:w="1800" w:type="dxa"/>
            <w:vAlign w:val="bottom"/>
          </w:tcPr>
          <w:p w14:paraId="4F7C793C" w14:textId="77777777" w:rsidR="00473FF2" w:rsidRPr="00473FF2" w:rsidRDefault="00473FF2" w:rsidP="00BF1FB5">
            <w:pPr>
              <w:tabs>
                <w:tab w:val="decimal" w:pos="1422"/>
              </w:tabs>
              <w:autoSpaceDE/>
              <w:autoSpaceDN/>
              <w:adjustRightInd/>
              <w:spacing w:after="0" w:line="240" w:lineRule="auto"/>
              <w:rPr>
                <w:rFonts w:ascii="Arial" w:hAnsi="Arial" w:cs="Arial"/>
                <w:color w:val="000000"/>
                <w:spacing w:val="-4"/>
                <w:sz w:val="20"/>
                <w:szCs w:val="20"/>
              </w:rPr>
            </w:pPr>
            <w:r w:rsidRPr="00473FF2">
              <w:rPr>
                <w:rFonts w:ascii="Arial" w:hAnsi="Arial" w:cs="Arial"/>
                <w:bCs/>
                <w:color w:val="000000"/>
                <w:spacing w:val="-4"/>
                <w:sz w:val="20"/>
                <w:szCs w:val="20"/>
                <w:u w:val="single"/>
              </w:rPr>
              <w:t>     302,000</w:t>
            </w:r>
          </w:p>
        </w:tc>
        <w:tc>
          <w:tcPr>
            <w:tcW w:w="1710" w:type="dxa"/>
            <w:vAlign w:val="bottom"/>
          </w:tcPr>
          <w:p w14:paraId="7543CCA2" w14:textId="77777777" w:rsidR="00473FF2" w:rsidRPr="00473FF2" w:rsidRDefault="00473FF2" w:rsidP="00473FF2">
            <w:pPr>
              <w:tabs>
                <w:tab w:val="decimal" w:pos="1332"/>
              </w:tabs>
              <w:autoSpaceDE/>
              <w:autoSpaceDN/>
              <w:adjustRightInd/>
              <w:spacing w:after="0" w:line="240" w:lineRule="auto"/>
              <w:rPr>
                <w:rFonts w:ascii="Arial" w:hAnsi="Arial" w:cs="Arial"/>
                <w:color w:val="000000"/>
                <w:spacing w:val="-4"/>
                <w:sz w:val="20"/>
                <w:szCs w:val="20"/>
                <w:u w:val="single"/>
              </w:rPr>
            </w:pPr>
            <w:r w:rsidRPr="00473FF2">
              <w:rPr>
                <w:rFonts w:ascii="Arial" w:hAnsi="Arial" w:cs="Arial"/>
                <w:bCs/>
                <w:color w:val="000000"/>
                <w:spacing w:val="-4"/>
                <w:sz w:val="20"/>
                <w:szCs w:val="20"/>
                <w:u w:val="single"/>
              </w:rPr>
              <w:t>     567,000</w:t>
            </w:r>
          </w:p>
        </w:tc>
      </w:tr>
      <w:tr w:rsidR="00473FF2" w:rsidRPr="00473FF2" w14:paraId="37CABC50" w14:textId="77777777" w:rsidTr="00473FF2">
        <w:tc>
          <w:tcPr>
            <w:tcW w:w="5760" w:type="dxa"/>
          </w:tcPr>
          <w:p w14:paraId="52C19001" w14:textId="77777777" w:rsidR="00473FF2" w:rsidRPr="00473FF2" w:rsidRDefault="00473FF2" w:rsidP="00473FF2">
            <w:pPr>
              <w:tabs>
                <w:tab w:val="left" w:pos="216"/>
                <w:tab w:val="left" w:pos="432"/>
                <w:tab w:val="left" w:pos="648"/>
              </w:tabs>
              <w:autoSpaceDE/>
              <w:autoSpaceDN/>
              <w:adjustRightInd/>
              <w:spacing w:after="0" w:line="240" w:lineRule="auto"/>
              <w:rPr>
                <w:rFonts w:ascii="Arial" w:hAnsi="Arial" w:cs="Arial"/>
                <w:color w:val="000000"/>
                <w:spacing w:val="-4"/>
                <w:sz w:val="20"/>
                <w:szCs w:val="20"/>
              </w:rPr>
            </w:pPr>
            <w:r w:rsidRPr="00473FF2">
              <w:rPr>
                <w:rFonts w:ascii="Arial" w:hAnsi="Arial" w:cs="Arial"/>
                <w:color w:val="000000"/>
                <w:spacing w:val="-4"/>
                <w:sz w:val="20"/>
                <w:szCs w:val="20"/>
              </w:rPr>
              <w:tab/>
            </w:r>
          </w:p>
        </w:tc>
        <w:tc>
          <w:tcPr>
            <w:tcW w:w="1800" w:type="dxa"/>
            <w:vAlign w:val="bottom"/>
          </w:tcPr>
          <w:p w14:paraId="66BE5286" w14:textId="77777777" w:rsidR="00473FF2" w:rsidRPr="00473FF2" w:rsidRDefault="00473FF2" w:rsidP="00BF1FB5">
            <w:pPr>
              <w:tabs>
                <w:tab w:val="decimal" w:pos="1422"/>
              </w:tabs>
              <w:autoSpaceDE/>
              <w:autoSpaceDN/>
              <w:adjustRightInd/>
              <w:spacing w:after="0" w:line="240" w:lineRule="auto"/>
              <w:rPr>
                <w:rFonts w:ascii="Arial" w:hAnsi="Arial" w:cs="Arial"/>
                <w:color w:val="000000"/>
                <w:spacing w:val="-4"/>
                <w:sz w:val="20"/>
                <w:szCs w:val="20"/>
                <w:u w:val="single"/>
              </w:rPr>
            </w:pPr>
          </w:p>
        </w:tc>
        <w:tc>
          <w:tcPr>
            <w:tcW w:w="1710" w:type="dxa"/>
            <w:vAlign w:val="bottom"/>
          </w:tcPr>
          <w:p w14:paraId="2E70C88E" w14:textId="77777777" w:rsidR="00473FF2" w:rsidRPr="00473FF2" w:rsidRDefault="00473FF2" w:rsidP="00473FF2">
            <w:pPr>
              <w:tabs>
                <w:tab w:val="decimal" w:pos="1332"/>
              </w:tabs>
              <w:autoSpaceDE/>
              <w:autoSpaceDN/>
              <w:adjustRightInd/>
              <w:spacing w:after="0" w:line="240" w:lineRule="auto"/>
              <w:rPr>
                <w:rFonts w:ascii="Arial" w:hAnsi="Arial" w:cs="Arial"/>
                <w:color w:val="000000"/>
                <w:spacing w:val="-4"/>
                <w:sz w:val="20"/>
                <w:szCs w:val="20"/>
                <w:u w:val="single"/>
              </w:rPr>
            </w:pPr>
          </w:p>
        </w:tc>
      </w:tr>
      <w:tr w:rsidR="00473FF2" w:rsidRPr="00473FF2" w14:paraId="582021DA" w14:textId="77777777" w:rsidTr="00473FF2">
        <w:tc>
          <w:tcPr>
            <w:tcW w:w="5760" w:type="dxa"/>
          </w:tcPr>
          <w:p w14:paraId="77A722E6" w14:textId="77777777" w:rsidR="00473FF2" w:rsidRPr="00473FF2" w:rsidRDefault="00473FF2" w:rsidP="00473FF2">
            <w:pPr>
              <w:tabs>
                <w:tab w:val="left" w:pos="216"/>
                <w:tab w:val="left" w:pos="432"/>
                <w:tab w:val="left" w:pos="648"/>
              </w:tabs>
              <w:autoSpaceDE/>
              <w:autoSpaceDN/>
              <w:adjustRightInd/>
              <w:spacing w:after="0" w:line="240" w:lineRule="auto"/>
              <w:rPr>
                <w:rFonts w:ascii="Arial" w:hAnsi="Arial" w:cs="Arial"/>
                <w:color w:val="000000"/>
                <w:spacing w:val="-4"/>
                <w:sz w:val="20"/>
                <w:szCs w:val="20"/>
              </w:rPr>
            </w:pPr>
            <w:r w:rsidRPr="00473FF2">
              <w:rPr>
                <w:rFonts w:ascii="Arial" w:hAnsi="Arial" w:cs="Arial"/>
                <w:color w:val="000000"/>
                <w:spacing w:val="-4"/>
                <w:sz w:val="20"/>
                <w:szCs w:val="20"/>
              </w:rPr>
              <w:tab/>
              <w:t>TOTAL OPERATING EXPENSES</w:t>
            </w:r>
          </w:p>
        </w:tc>
        <w:tc>
          <w:tcPr>
            <w:tcW w:w="1800" w:type="dxa"/>
            <w:vAlign w:val="bottom"/>
          </w:tcPr>
          <w:p w14:paraId="61F2C997" w14:textId="77777777" w:rsidR="00473FF2" w:rsidRPr="00473FF2" w:rsidRDefault="00473FF2" w:rsidP="00BF1FB5">
            <w:pPr>
              <w:tabs>
                <w:tab w:val="decimal" w:pos="1422"/>
              </w:tabs>
              <w:autoSpaceDE/>
              <w:autoSpaceDN/>
              <w:adjustRightInd/>
              <w:spacing w:after="0" w:line="240" w:lineRule="auto"/>
              <w:jc w:val="both"/>
              <w:rPr>
                <w:rFonts w:ascii="Arial" w:hAnsi="Arial" w:cs="Arial"/>
                <w:color w:val="000000"/>
                <w:spacing w:val="-4"/>
                <w:sz w:val="20"/>
                <w:szCs w:val="20"/>
                <w:u w:val="single"/>
              </w:rPr>
            </w:pPr>
            <w:r w:rsidRPr="00473FF2">
              <w:rPr>
                <w:rFonts w:ascii="Arial" w:hAnsi="Arial" w:cs="Arial"/>
                <w:bCs/>
                <w:color w:val="000000"/>
                <w:spacing w:val="-4"/>
                <w:sz w:val="20"/>
                <w:szCs w:val="20"/>
                <w:u w:val="single"/>
              </w:rPr>
              <w:t>  6,816,000</w:t>
            </w:r>
          </w:p>
        </w:tc>
        <w:tc>
          <w:tcPr>
            <w:tcW w:w="1710" w:type="dxa"/>
            <w:vAlign w:val="bottom"/>
          </w:tcPr>
          <w:p w14:paraId="3A2C7F65" w14:textId="77777777" w:rsidR="00473FF2" w:rsidRPr="00473FF2" w:rsidRDefault="00473FF2" w:rsidP="00473FF2">
            <w:pPr>
              <w:tabs>
                <w:tab w:val="decimal" w:pos="1332"/>
              </w:tabs>
              <w:autoSpaceDE/>
              <w:autoSpaceDN/>
              <w:adjustRightInd/>
              <w:spacing w:after="0" w:line="240" w:lineRule="auto"/>
              <w:rPr>
                <w:rFonts w:ascii="Arial" w:hAnsi="Arial" w:cs="Arial"/>
                <w:color w:val="000000"/>
                <w:spacing w:val="-4"/>
                <w:sz w:val="20"/>
                <w:szCs w:val="20"/>
                <w:u w:val="single"/>
              </w:rPr>
            </w:pPr>
            <w:r w:rsidRPr="00473FF2">
              <w:rPr>
                <w:rFonts w:ascii="Arial" w:hAnsi="Arial" w:cs="Arial"/>
                <w:bCs/>
                <w:color w:val="000000"/>
                <w:spacing w:val="-4"/>
                <w:sz w:val="20"/>
                <w:szCs w:val="20"/>
                <w:u w:val="single"/>
              </w:rPr>
              <w:t>  5,391,000</w:t>
            </w:r>
          </w:p>
        </w:tc>
      </w:tr>
      <w:tr w:rsidR="00473FF2" w:rsidRPr="00473FF2" w14:paraId="41B7D92B" w14:textId="77777777" w:rsidTr="00473FF2">
        <w:tc>
          <w:tcPr>
            <w:tcW w:w="5760" w:type="dxa"/>
          </w:tcPr>
          <w:p w14:paraId="63BF9211" w14:textId="77777777" w:rsidR="00473FF2" w:rsidRPr="00473FF2" w:rsidRDefault="00473FF2" w:rsidP="00473FF2">
            <w:pPr>
              <w:tabs>
                <w:tab w:val="left" w:pos="216"/>
                <w:tab w:val="left" w:pos="432"/>
                <w:tab w:val="left" w:pos="648"/>
              </w:tabs>
              <w:autoSpaceDE/>
              <w:autoSpaceDN/>
              <w:adjustRightInd/>
              <w:spacing w:after="0" w:line="240" w:lineRule="auto"/>
              <w:rPr>
                <w:rFonts w:ascii="Arial" w:hAnsi="Arial" w:cs="Arial"/>
                <w:color w:val="000000"/>
                <w:spacing w:val="-4"/>
                <w:sz w:val="20"/>
                <w:szCs w:val="20"/>
              </w:rPr>
            </w:pPr>
          </w:p>
        </w:tc>
        <w:tc>
          <w:tcPr>
            <w:tcW w:w="1800" w:type="dxa"/>
            <w:vAlign w:val="bottom"/>
          </w:tcPr>
          <w:p w14:paraId="47538944" w14:textId="77777777" w:rsidR="00473FF2" w:rsidRPr="00473FF2" w:rsidRDefault="00473FF2" w:rsidP="00BF1FB5">
            <w:pPr>
              <w:tabs>
                <w:tab w:val="decimal" w:pos="1422"/>
              </w:tabs>
              <w:autoSpaceDE/>
              <w:autoSpaceDN/>
              <w:adjustRightInd/>
              <w:spacing w:after="0" w:line="240" w:lineRule="auto"/>
              <w:rPr>
                <w:rFonts w:ascii="Arial" w:hAnsi="Arial" w:cs="Arial"/>
                <w:color w:val="000000"/>
                <w:spacing w:val="-4"/>
                <w:sz w:val="20"/>
                <w:szCs w:val="20"/>
              </w:rPr>
            </w:pPr>
          </w:p>
        </w:tc>
        <w:tc>
          <w:tcPr>
            <w:tcW w:w="1710" w:type="dxa"/>
            <w:vAlign w:val="bottom"/>
          </w:tcPr>
          <w:p w14:paraId="6AC5CF8A" w14:textId="77777777" w:rsidR="00473FF2" w:rsidRPr="00473FF2" w:rsidRDefault="00473FF2" w:rsidP="00473FF2">
            <w:pPr>
              <w:tabs>
                <w:tab w:val="decimal" w:pos="1332"/>
              </w:tabs>
              <w:autoSpaceDE/>
              <w:autoSpaceDN/>
              <w:adjustRightInd/>
              <w:spacing w:after="0" w:line="240" w:lineRule="auto"/>
              <w:rPr>
                <w:rFonts w:ascii="Arial" w:hAnsi="Arial" w:cs="Arial"/>
                <w:color w:val="000000"/>
                <w:spacing w:val="-4"/>
                <w:sz w:val="20"/>
                <w:szCs w:val="20"/>
                <w:u w:val="single"/>
              </w:rPr>
            </w:pPr>
          </w:p>
        </w:tc>
      </w:tr>
      <w:tr w:rsidR="00473FF2" w:rsidRPr="00473FF2" w14:paraId="5CF9CD18" w14:textId="77777777" w:rsidTr="00473FF2">
        <w:tc>
          <w:tcPr>
            <w:tcW w:w="5760" w:type="dxa"/>
          </w:tcPr>
          <w:p w14:paraId="45132029" w14:textId="77777777" w:rsidR="00473FF2" w:rsidRPr="00473FF2" w:rsidRDefault="00473FF2" w:rsidP="00473FF2">
            <w:pPr>
              <w:tabs>
                <w:tab w:val="left" w:pos="216"/>
                <w:tab w:val="left" w:pos="432"/>
                <w:tab w:val="left" w:pos="648"/>
              </w:tabs>
              <w:autoSpaceDE/>
              <w:autoSpaceDN/>
              <w:adjustRightInd/>
              <w:spacing w:after="0" w:line="240" w:lineRule="auto"/>
              <w:rPr>
                <w:rFonts w:ascii="Arial" w:hAnsi="Arial" w:cs="Arial"/>
                <w:color w:val="000000"/>
                <w:spacing w:val="-4"/>
                <w:sz w:val="20"/>
                <w:szCs w:val="20"/>
              </w:rPr>
            </w:pPr>
            <w:r w:rsidRPr="00473FF2">
              <w:rPr>
                <w:rFonts w:ascii="Arial" w:hAnsi="Arial" w:cs="Arial"/>
                <w:color w:val="000000"/>
                <w:spacing w:val="-4"/>
                <w:sz w:val="20"/>
                <w:szCs w:val="20"/>
              </w:rPr>
              <w:t>OPERATING LOSS</w:t>
            </w:r>
          </w:p>
        </w:tc>
        <w:tc>
          <w:tcPr>
            <w:tcW w:w="1800" w:type="dxa"/>
            <w:vAlign w:val="bottom"/>
          </w:tcPr>
          <w:p w14:paraId="09C5A10F" w14:textId="77777777" w:rsidR="00473FF2" w:rsidRPr="00473FF2" w:rsidRDefault="00473FF2" w:rsidP="00BF1FB5">
            <w:pPr>
              <w:tabs>
                <w:tab w:val="decimal" w:pos="1422"/>
              </w:tabs>
              <w:autoSpaceDE/>
              <w:autoSpaceDN/>
              <w:adjustRightInd/>
              <w:spacing w:after="0" w:line="240" w:lineRule="auto"/>
              <w:rPr>
                <w:rFonts w:ascii="Arial" w:hAnsi="Arial" w:cs="Arial"/>
                <w:color w:val="000000"/>
                <w:spacing w:val="-4"/>
                <w:sz w:val="20"/>
                <w:szCs w:val="20"/>
                <w:u w:val="single"/>
              </w:rPr>
            </w:pPr>
            <w:r w:rsidRPr="00473FF2">
              <w:rPr>
                <w:rFonts w:ascii="Arial" w:hAnsi="Arial" w:cs="Arial"/>
                <w:color w:val="000000"/>
                <w:spacing w:val="-4"/>
                <w:sz w:val="20"/>
                <w:szCs w:val="20"/>
                <w:u w:val="single"/>
              </w:rPr>
              <w:t> (2,413,000)</w:t>
            </w:r>
          </w:p>
        </w:tc>
        <w:tc>
          <w:tcPr>
            <w:tcW w:w="1710" w:type="dxa"/>
            <w:vAlign w:val="bottom"/>
          </w:tcPr>
          <w:p w14:paraId="7DC07FF5" w14:textId="77777777" w:rsidR="00473FF2" w:rsidRPr="00473FF2" w:rsidRDefault="00473FF2" w:rsidP="00473FF2">
            <w:pPr>
              <w:tabs>
                <w:tab w:val="decimal" w:pos="1332"/>
              </w:tabs>
              <w:autoSpaceDE/>
              <w:autoSpaceDN/>
              <w:adjustRightInd/>
              <w:spacing w:after="0" w:line="240" w:lineRule="auto"/>
              <w:rPr>
                <w:rFonts w:ascii="Arial" w:hAnsi="Arial" w:cs="Arial"/>
                <w:color w:val="000000"/>
                <w:spacing w:val="-4"/>
                <w:sz w:val="20"/>
                <w:szCs w:val="20"/>
                <w:u w:val="single"/>
              </w:rPr>
            </w:pPr>
            <w:r w:rsidRPr="00473FF2">
              <w:rPr>
                <w:rFonts w:ascii="Arial" w:hAnsi="Arial" w:cs="Arial"/>
                <w:color w:val="000000"/>
                <w:spacing w:val="-4"/>
                <w:sz w:val="20"/>
                <w:szCs w:val="20"/>
                <w:u w:val="single"/>
              </w:rPr>
              <w:t> (2,354,000)</w:t>
            </w:r>
          </w:p>
        </w:tc>
      </w:tr>
      <w:tr w:rsidR="00473FF2" w:rsidRPr="00473FF2" w14:paraId="1094FB61" w14:textId="77777777" w:rsidTr="00473FF2">
        <w:tc>
          <w:tcPr>
            <w:tcW w:w="5760" w:type="dxa"/>
          </w:tcPr>
          <w:p w14:paraId="763DEB8E" w14:textId="77777777" w:rsidR="00473FF2" w:rsidRPr="00473FF2" w:rsidRDefault="00473FF2" w:rsidP="00473FF2">
            <w:pPr>
              <w:tabs>
                <w:tab w:val="left" w:pos="216"/>
                <w:tab w:val="left" w:pos="432"/>
                <w:tab w:val="left" w:pos="648"/>
              </w:tabs>
              <w:autoSpaceDE/>
              <w:autoSpaceDN/>
              <w:adjustRightInd/>
              <w:spacing w:after="0" w:line="240" w:lineRule="auto"/>
              <w:rPr>
                <w:rFonts w:ascii="Arial" w:hAnsi="Arial" w:cs="Arial"/>
                <w:color w:val="000000"/>
                <w:spacing w:val="-4"/>
                <w:sz w:val="20"/>
                <w:szCs w:val="20"/>
              </w:rPr>
            </w:pPr>
          </w:p>
          <w:p w14:paraId="40829E9F" w14:textId="77777777" w:rsidR="00473FF2" w:rsidRPr="00473FF2" w:rsidRDefault="00473FF2" w:rsidP="00473FF2">
            <w:pPr>
              <w:tabs>
                <w:tab w:val="left" w:pos="216"/>
                <w:tab w:val="left" w:pos="432"/>
                <w:tab w:val="left" w:pos="648"/>
              </w:tabs>
              <w:autoSpaceDE/>
              <w:autoSpaceDN/>
              <w:adjustRightInd/>
              <w:spacing w:after="0" w:line="240" w:lineRule="auto"/>
              <w:rPr>
                <w:rFonts w:ascii="Arial" w:hAnsi="Arial" w:cs="Arial"/>
                <w:color w:val="000000"/>
                <w:spacing w:val="-4"/>
                <w:sz w:val="20"/>
                <w:szCs w:val="20"/>
              </w:rPr>
            </w:pPr>
            <w:r w:rsidRPr="00473FF2">
              <w:rPr>
                <w:rFonts w:ascii="Arial" w:hAnsi="Arial" w:cs="Arial"/>
                <w:color w:val="000000"/>
                <w:spacing w:val="-4"/>
                <w:sz w:val="20"/>
                <w:szCs w:val="20"/>
              </w:rPr>
              <w:t>OTHER INCOME:</w:t>
            </w:r>
          </w:p>
        </w:tc>
        <w:tc>
          <w:tcPr>
            <w:tcW w:w="1800" w:type="dxa"/>
            <w:vAlign w:val="bottom"/>
          </w:tcPr>
          <w:p w14:paraId="6E0C134C" w14:textId="77777777" w:rsidR="00473FF2" w:rsidRPr="00473FF2" w:rsidRDefault="00473FF2" w:rsidP="00BF1FB5">
            <w:pPr>
              <w:tabs>
                <w:tab w:val="decimal" w:pos="1422"/>
              </w:tabs>
              <w:autoSpaceDE/>
              <w:autoSpaceDN/>
              <w:adjustRightInd/>
              <w:spacing w:after="0" w:line="240" w:lineRule="auto"/>
              <w:rPr>
                <w:rFonts w:ascii="Arial" w:hAnsi="Arial" w:cs="Arial"/>
                <w:color w:val="000000"/>
                <w:spacing w:val="-4"/>
                <w:sz w:val="20"/>
                <w:szCs w:val="20"/>
              </w:rPr>
            </w:pPr>
          </w:p>
        </w:tc>
        <w:tc>
          <w:tcPr>
            <w:tcW w:w="1710" w:type="dxa"/>
            <w:vAlign w:val="bottom"/>
          </w:tcPr>
          <w:p w14:paraId="604D4D22" w14:textId="77777777" w:rsidR="00473FF2" w:rsidRPr="00473FF2" w:rsidRDefault="00473FF2" w:rsidP="00473FF2">
            <w:pPr>
              <w:tabs>
                <w:tab w:val="decimal" w:pos="1332"/>
              </w:tabs>
              <w:autoSpaceDE/>
              <w:autoSpaceDN/>
              <w:adjustRightInd/>
              <w:spacing w:after="0" w:line="240" w:lineRule="auto"/>
              <w:rPr>
                <w:rFonts w:ascii="Arial" w:hAnsi="Arial" w:cs="Arial"/>
                <w:color w:val="000000"/>
                <w:spacing w:val="-4"/>
                <w:sz w:val="20"/>
                <w:szCs w:val="20"/>
              </w:rPr>
            </w:pPr>
          </w:p>
        </w:tc>
      </w:tr>
      <w:tr w:rsidR="00473FF2" w:rsidRPr="00473FF2" w14:paraId="42DEC068" w14:textId="77777777" w:rsidTr="00473FF2">
        <w:tc>
          <w:tcPr>
            <w:tcW w:w="5760" w:type="dxa"/>
          </w:tcPr>
          <w:p w14:paraId="3E7C6C8A" w14:textId="77777777" w:rsidR="00473FF2" w:rsidRPr="00473FF2" w:rsidRDefault="00473FF2" w:rsidP="00473FF2">
            <w:pPr>
              <w:tabs>
                <w:tab w:val="left" w:pos="216"/>
                <w:tab w:val="left" w:pos="432"/>
                <w:tab w:val="left" w:pos="648"/>
              </w:tabs>
              <w:autoSpaceDE/>
              <w:autoSpaceDN/>
              <w:adjustRightInd/>
              <w:spacing w:after="0" w:line="240" w:lineRule="auto"/>
              <w:rPr>
                <w:rFonts w:ascii="Arial" w:hAnsi="Arial" w:cs="Arial"/>
                <w:color w:val="000000"/>
                <w:spacing w:val="-4"/>
                <w:sz w:val="20"/>
                <w:szCs w:val="20"/>
              </w:rPr>
            </w:pPr>
            <w:r w:rsidRPr="00473FF2">
              <w:rPr>
                <w:rFonts w:ascii="Arial" w:hAnsi="Arial" w:cs="Arial"/>
                <w:color w:val="000000"/>
                <w:spacing w:val="-4"/>
                <w:sz w:val="20"/>
                <w:szCs w:val="20"/>
              </w:rPr>
              <w:tab/>
              <w:t>Interest and dividend income, net</w:t>
            </w:r>
          </w:p>
        </w:tc>
        <w:tc>
          <w:tcPr>
            <w:tcW w:w="1800" w:type="dxa"/>
            <w:vAlign w:val="bottom"/>
          </w:tcPr>
          <w:p w14:paraId="465CBBBB" w14:textId="77777777" w:rsidR="00473FF2" w:rsidRPr="00473FF2" w:rsidRDefault="00473FF2" w:rsidP="00BF1FB5">
            <w:pPr>
              <w:tabs>
                <w:tab w:val="decimal" w:pos="1422"/>
              </w:tabs>
              <w:autoSpaceDE/>
              <w:autoSpaceDN/>
              <w:adjustRightInd/>
              <w:spacing w:after="0" w:line="240" w:lineRule="auto"/>
              <w:rPr>
                <w:rFonts w:ascii="Arial" w:hAnsi="Arial" w:cs="Arial"/>
                <w:color w:val="000000"/>
                <w:spacing w:val="-4"/>
                <w:sz w:val="20"/>
                <w:szCs w:val="20"/>
              </w:rPr>
            </w:pPr>
            <w:r w:rsidRPr="00473FF2">
              <w:rPr>
                <w:rFonts w:ascii="Arial" w:hAnsi="Arial" w:cs="Arial"/>
                <w:color w:val="000000"/>
                <w:spacing w:val="-4"/>
                <w:sz w:val="20"/>
                <w:szCs w:val="20"/>
              </w:rPr>
              <w:t>522,000</w:t>
            </w:r>
          </w:p>
        </w:tc>
        <w:tc>
          <w:tcPr>
            <w:tcW w:w="1710" w:type="dxa"/>
            <w:vAlign w:val="bottom"/>
          </w:tcPr>
          <w:p w14:paraId="6E9AC75A" w14:textId="77777777" w:rsidR="00473FF2" w:rsidRPr="00473FF2" w:rsidRDefault="00473FF2" w:rsidP="00473FF2">
            <w:pPr>
              <w:tabs>
                <w:tab w:val="decimal" w:pos="1332"/>
              </w:tabs>
              <w:autoSpaceDE/>
              <w:autoSpaceDN/>
              <w:adjustRightInd/>
              <w:spacing w:after="0" w:line="240" w:lineRule="auto"/>
              <w:rPr>
                <w:rFonts w:ascii="Arial" w:hAnsi="Arial" w:cs="Arial"/>
                <w:color w:val="000000"/>
                <w:spacing w:val="-4"/>
                <w:sz w:val="20"/>
                <w:szCs w:val="20"/>
              </w:rPr>
            </w:pPr>
            <w:r w:rsidRPr="00473FF2">
              <w:rPr>
                <w:rFonts w:ascii="Arial" w:hAnsi="Arial" w:cs="Arial"/>
                <w:color w:val="000000"/>
                <w:spacing w:val="-4"/>
                <w:sz w:val="20"/>
                <w:szCs w:val="20"/>
              </w:rPr>
              <w:t>1,150,000</w:t>
            </w:r>
          </w:p>
        </w:tc>
      </w:tr>
      <w:tr w:rsidR="00473FF2" w:rsidRPr="00473FF2" w14:paraId="46E0FA84" w14:textId="77777777" w:rsidTr="00473FF2">
        <w:tc>
          <w:tcPr>
            <w:tcW w:w="5760" w:type="dxa"/>
          </w:tcPr>
          <w:p w14:paraId="7688213B" w14:textId="77777777" w:rsidR="00473FF2" w:rsidRPr="00473FF2" w:rsidRDefault="00473FF2" w:rsidP="00473FF2">
            <w:pPr>
              <w:tabs>
                <w:tab w:val="left" w:pos="216"/>
                <w:tab w:val="left" w:pos="432"/>
                <w:tab w:val="left" w:pos="648"/>
              </w:tabs>
              <w:autoSpaceDE/>
              <w:autoSpaceDN/>
              <w:adjustRightInd/>
              <w:spacing w:after="0" w:line="240" w:lineRule="auto"/>
              <w:rPr>
                <w:rFonts w:ascii="Arial" w:hAnsi="Arial" w:cs="Arial"/>
                <w:color w:val="000000"/>
                <w:spacing w:val="-4"/>
                <w:sz w:val="20"/>
                <w:szCs w:val="20"/>
              </w:rPr>
            </w:pPr>
            <w:r w:rsidRPr="00473FF2">
              <w:rPr>
                <w:rFonts w:ascii="Arial" w:hAnsi="Arial" w:cs="Arial"/>
                <w:color w:val="000000"/>
                <w:spacing w:val="-4"/>
                <w:sz w:val="20"/>
                <w:szCs w:val="20"/>
              </w:rPr>
              <w:t xml:space="preserve">    Net realized and unrealized gain on marketable securities</w:t>
            </w:r>
          </w:p>
        </w:tc>
        <w:tc>
          <w:tcPr>
            <w:tcW w:w="1800" w:type="dxa"/>
            <w:vAlign w:val="bottom"/>
          </w:tcPr>
          <w:p w14:paraId="5F6FD143" w14:textId="77777777" w:rsidR="00473FF2" w:rsidRPr="00473FF2" w:rsidRDefault="00473FF2" w:rsidP="00BF1FB5">
            <w:pPr>
              <w:tabs>
                <w:tab w:val="decimal" w:pos="1422"/>
              </w:tabs>
              <w:autoSpaceDE/>
              <w:autoSpaceDN/>
              <w:adjustRightInd/>
              <w:spacing w:after="0" w:line="240" w:lineRule="auto"/>
              <w:rPr>
                <w:rFonts w:ascii="Arial" w:hAnsi="Arial" w:cs="Arial"/>
                <w:color w:val="000000"/>
                <w:spacing w:val="-4"/>
                <w:sz w:val="20"/>
                <w:szCs w:val="20"/>
                <w:u w:val="single"/>
              </w:rPr>
            </w:pPr>
            <w:r w:rsidRPr="00473FF2">
              <w:rPr>
                <w:rFonts w:ascii="Arial" w:hAnsi="Arial" w:cs="Arial"/>
                <w:color w:val="000000"/>
                <w:spacing w:val="-4"/>
                <w:sz w:val="20"/>
                <w:szCs w:val="20"/>
                <w:u w:val="single"/>
              </w:rPr>
              <w:t>     15,000</w:t>
            </w:r>
          </w:p>
        </w:tc>
        <w:tc>
          <w:tcPr>
            <w:tcW w:w="1710" w:type="dxa"/>
            <w:vAlign w:val="bottom"/>
          </w:tcPr>
          <w:p w14:paraId="5FBBE8DB" w14:textId="77777777" w:rsidR="00473FF2" w:rsidRPr="00473FF2" w:rsidRDefault="00473FF2" w:rsidP="00473FF2">
            <w:pPr>
              <w:tabs>
                <w:tab w:val="decimal" w:pos="1332"/>
              </w:tabs>
              <w:autoSpaceDE/>
              <w:autoSpaceDN/>
              <w:adjustRightInd/>
              <w:spacing w:after="0" w:line="240" w:lineRule="auto"/>
              <w:rPr>
                <w:rFonts w:ascii="Arial" w:hAnsi="Arial" w:cs="Arial"/>
                <w:color w:val="000000"/>
                <w:spacing w:val="-4"/>
                <w:sz w:val="20"/>
                <w:szCs w:val="20"/>
                <w:u w:val="single"/>
              </w:rPr>
            </w:pPr>
            <w:r w:rsidRPr="00473FF2">
              <w:rPr>
                <w:rFonts w:ascii="Arial" w:hAnsi="Arial" w:cs="Arial"/>
                <w:color w:val="000000"/>
                <w:spacing w:val="-4"/>
                <w:sz w:val="20"/>
                <w:szCs w:val="20"/>
                <w:u w:val="single"/>
              </w:rPr>
              <w:t>     37,000</w:t>
            </w:r>
          </w:p>
        </w:tc>
      </w:tr>
      <w:tr w:rsidR="00473FF2" w:rsidRPr="00473FF2" w14:paraId="2558FB07" w14:textId="77777777" w:rsidTr="00473FF2">
        <w:tc>
          <w:tcPr>
            <w:tcW w:w="5760" w:type="dxa"/>
          </w:tcPr>
          <w:p w14:paraId="3FF77571" w14:textId="77777777" w:rsidR="00473FF2" w:rsidRPr="00473FF2" w:rsidRDefault="00473FF2" w:rsidP="00473FF2">
            <w:pPr>
              <w:tabs>
                <w:tab w:val="left" w:pos="216"/>
                <w:tab w:val="left" w:pos="432"/>
                <w:tab w:val="left" w:pos="648"/>
              </w:tabs>
              <w:autoSpaceDE/>
              <w:autoSpaceDN/>
              <w:adjustRightInd/>
              <w:spacing w:after="0" w:line="240" w:lineRule="auto"/>
              <w:rPr>
                <w:rFonts w:ascii="Arial" w:hAnsi="Arial" w:cs="Arial"/>
                <w:color w:val="000000"/>
                <w:spacing w:val="-4"/>
                <w:sz w:val="20"/>
                <w:szCs w:val="20"/>
              </w:rPr>
            </w:pPr>
            <w:r w:rsidRPr="00473FF2">
              <w:rPr>
                <w:rFonts w:ascii="Arial" w:hAnsi="Arial" w:cs="Arial"/>
                <w:color w:val="000000"/>
                <w:spacing w:val="-4"/>
                <w:sz w:val="20"/>
                <w:szCs w:val="20"/>
              </w:rPr>
              <w:t xml:space="preserve">    Total other income, net</w:t>
            </w:r>
          </w:p>
        </w:tc>
        <w:tc>
          <w:tcPr>
            <w:tcW w:w="1800" w:type="dxa"/>
            <w:vAlign w:val="bottom"/>
          </w:tcPr>
          <w:p w14:paraId="13614193" w14:textId="77777777" w:rsidR="00473FF2" w:rsidRPr="00473FF2" w:rsidRDefault="00473FF2" w:rsidP="00BF1FB5">
            <w:pPr>
              <w:tabs>
                <w:tab w:val="decimal" w:pos="1422"/>
              </w:tabs>
              <w:autoSpaceDE/>
              <w:autoSpaceDN/>
              <w:adjustRightInd/>
              <w:spacing w:after="0" w:line="240" w:lineRule="auto"/>
              <w:rPr>
                <w:rFonts w:ascii="Arial" w:hAnsi="Arial" w:cs="Arial"/>
                <w:color w:val="000000"/>
                <w:spacing w:val="-4"/>
                <w:sz w:val="20"/>
                <w:szCs w:val="20"/>
                <w:u w:val="single"/>
              </w:rPr>
            </w:pPr>
            <w:r w:rsidRPr="00473FF2">
              <w:rPr>
                <w:rFonts w:ascii="Arial" w:hAnsi="Arial" w:cs="Arial"/>
                <w:color w:val="000000"/>
                <w:spacing w:val="-4"/>
                <w:sz w:val="20"/>
                <w:szCs w:val="20"/>
                <w:u w:val="single"/>
              </w:rPr>
              <w:t>    537,000</w:t>
            </w:r>
          </w:p>
        </w:tc>
        <w:tc>
          <w:tcPr>
            <w:tcW w:w="1710" w:type="dxa"/>
            <w:vAlign w:val="bottom"/>
          </w:tcPr>
          <w:p w14:paraId="151D6FDC" w14:textId="77777777" w:rsidR="00473FF2" w:rsidRPr="00473FF2" w:rsidRDefault="00473FF2" w:rsidP="00473FF2">
            <w:pPr>
              <w:tabs>
                <w:tab w:val="decimal" w:pos="1332"/>
              </w:tabs>
              <w:autoSpaceDE/>
              <w:autoSpaceDN/>
              <w:adjustRightInd/>
              <w:spacing w:after="0" w:line="240" w:lineRule="auto"/>
              <w:rPr>
                <w:rFonts w:ascii="Arial" w:hAnsi="Arial" w:cs="Arial"/>
                <w:color w:val="000000"/>
                <w:spacing w:val="-4"/>
                <w:sz w:val="20"/>
                <w:szCs w:val="20"/>
                <w:u w:val="single"/>
              </w:rPr>
            </w:pPr>
            <w:r w:rsidRPr="00473FF2">
              <w:rPr>
                <w:rFonts w:ascii="Arial" w:hAnsi="Arial" w:cs="Arial"/>
                <w:color w:val="000000"/>
                <w:spacing w:val="-4"/>
                <w:sz w:val="20"/>
                <w:szCs w:val="20"/>
                <w:u w:val="single"/>
              </w:rPr>
              <w:t>1,187,000</w:t>
            </w:r>
          </w:p>
        </w:tc>
      </w:tr>
      <w:tr w:rsidR="00473FF2" w:rsidRPr="00473FF2" w14:paraId="51D12E5E" w14:textId="77777777" w:rsidTr="00473FF2">
        <w:tc>
          <w:tcPr>
            <w:tcW w:w="5760" w:type="dxa"/>
          </w:tcPr>
          <w:p w14:paraId="61A3068B" w14:textId="77777777" w:rsidR="00473FF2" w:rsidRPr="00473FF2" w:rsidRDefault="00473FF2" w:rsidP="00473FF2">
            <w:pPr>
              <w:tabs>
                <w:tab w:val="left" w:pos="216"/>
                <w:tab w:val="left" w:pos="432"/>
                <w:tab w:val="left" w:pos="648"/>
              </w:tabs>
              <w:autoSpaceDE/>
              <w:autoSpaceDN/>
              <w:adjustRightInd/>
              <w:spacing w:after="0" w:line="240" w:lineRule="auto"/>
              <w:rPr>
                <w:rFonts w:ascii="Arial" w:hAnsi="Arial" w:cs="Arial"/>
                <w:color w:val="000000"/>
                <w:spacing w:val="-4"/>
                <w:sz w:val="20"/>
                <w:szCs w:val="20"/>
              </w:rPr>
            </w:pPr>
          </w:p>
        </w:tc>
        <w:tc>
          <w:tcPr>
            <w:tcW w:w="1800" w:type="dxa"/>
            <w:vAlign w:val="bottom"/>
          </w:tcPr>
          <w:p w14:paraId="463EFBE1" w14:textId="77777777" w:rsidR="00473FF2" w:rsidRPr="00473FF2" w:rsidRDefault="00473FF2" w:rsidP="00BF1FB5">
            <w:pPr>
              <w:tabs>
                <w:tab w:val="decimal" w:pos="1422"/>
              </w:tabs>
              <w:autoSpaceDE/>
              <w:autoSpaceDN/>
              <w:adjustRightInd/>
              <w:spacing w:after="0" w:line="240" w:lineRule="auto"/>
              <w:rPr>
                <w:rFonts w:ascii="Arial" w:hAnsi="Arial" w:cs="Arial"/>
                <w:color w:val="000000"/>
                <w:spacing w:val="-4"/>
                <w:sz w:val="20"/>
                <w:szCs w:val="20"/>
                <w:u w:val="single"/>
              </w:rPr>
            </w:pPr>
          </w:p>
        </w:tc>
        <w:tc>
          <w:tcPr>
            <w:tcW w:w="1710" w:type="dxa"/>
            <w:vAlign w:val="bottom"/>
          </w:tcPr>
          <w:p w14:paraId="7951CA77" w14:textId="77777777" w:rsidR="00473FF2" w:rsidRPr="00473FF2" w:rsidRDefault="00473FF2" w:rsidP="00473FF2">
            <w:pPr>
              <w:tabs>
                <w:tab w:val="decimal" w:pos="1332"/>
              </w:tabs>
              <w:autoSpaceDE/>
              <w:autoSpaceDN/>
              <w:adjustRightInd/>
              <w:spacing w:after="0" w:line="240" w:lineRule="auto"/>
              <w:rPr>
                <w:rFonts w:ascii="Arial" w:hAnsi="Arial" w:cs="Arial"/>
                <w:color w:val="000000"/>
                <w:spacing w:val="-4"/>
                <w:sz w:val="20"/>
                <w:szCs w:val="20"/>
                <w:u w:val="single"/>
              </w:rPr>
            </w:pPr>
          </w:p>
        </w:tc>
      </w:tr>
      <w:tr w:rsidR="00473FF2" w:rsidRPr="00473FF2" w14:paraId="0B630E28" w14:textId="77777777" w:rsidTr="00473FF2">
        <w:tc>
          <w:tcPr>
            <w:tcW w:w="5760" w:type="dxa"/>
          </w:tcPr>
          <w:p w14:paraId="60EC9ECB" w14:textId="77777777" w:rsidR="00473FF2" w:rsidRPr="00473FF2" w:rsidRDefault="00473FF2" w:rsidP="00473FF2">
            <w:pPr>
              <w:tabs>
                <w:tab w:val="left" w:pos="216"/>
                <w:tab w:val="left" w:pos="432"/>
                <w:tab w:val="left" w:pos="648"/>
              </w:tabs>
              <w:autoSpaceDE/>
              <w:autoSpaceDN/>
              <w:adjustRightInd/>
              <w:spacing w:after="0" w:line="240" w:lineRule="auto"/>
              <w:rPr>
                <w:rFonts w:ascii="Arial" w:hAnsi="Arial" w:cs="Arial"/>
                <w:color w:val="000000"/>
                <w:spacing w:val="-4"/>
                <w:sz w:val="20"/>
                <w:szCs w:val="20"/>
              </w:rPr>
            </w:pPr>
            <w:r w:rsidRPr="00473FF2">
              <w:rPr>
                <w:rFonts w:ascii="Arial" w:hAnsi="Arial" w:cs="Arial"/>
                <w:color w:val="000000"/>
                <w:spacing w:val="-4"/>
                <w:sz w:val="20"/>
                <w:szCs w:val="20"/>
              </w:rPr>
              <w:t>LOSS BEFORE INCOME TAXES AND EQUITY IN</w:t>
            </w:r>
          </w:p>
        </w:tc>
        <w:tc>
          <w:tcPr>
            <w:tcW w:w="1800" w:type="dxa"/>
            <w:vAlign w:val="bottom"/>
          </w:tcPr>
          <w:p w14:paraId="7094B8FF" w14:textId="77777777" w:rsidR="00473FF2" w:rsidRPr="00473FF2" w:rsidRDefault="00473FF2" w:rsidP="00BF1FB5">
            <w:pPr>
              <w:tabs>
                <w:tab w:val="decimal" w:pos="1422"/>
              </w:tabs>
              <w:autoSpaceDE/>
              <w:autoSpaceDN/>
              <w:adjustRightInd/>
              <w:spacing w:after="0" w:line="240" w:lineRule="auto"/>
              <w:rPr>
                <w:rFonts w:ascii="Arial" w:hAnsi="Arial" w:cs="Arial"/>
                <w:color w:val="000000"/>
                <w:spacing w:val="-4"/>
                <w:sz w:val="20"/>
                <w:szCs w:val="20"/>
                <w:u w:val="single"/>
              </w:rPr>
            </w:pPr>
          </w:p>
        </w:tc>
        <w:tc>
          <w:tcPr>
            <w:tcW w:w="1710" w:type="dxa"/>
            <w:vAlign w:val="bottom"/>
          </w:tcPr>
          <w:p w14:paraId="1489F405" w14:textId="77777777" w:rsidR="00473FF2" w:rsidRPr="00473FF2" w:rsidRDefault="00473FF2" w:rsidP="00473FF2">
            <w:pPr>
              <w:tabs>
                <w:tab w:val="decimal" w:pos="1332"/>
              </w:tabs>
              <w:autoSpaceDE/>
              <w:autoSpaceDN/>
              <w:adjustRightInd/>
              <w:spacing w:after="0" w:line="240" w:lineRule="auto"/>
              <w:rPr>
                <w:rFonts w:ascii="Arial" w:hAnsi="Arial" w:cs="Arial"/>
                <w:color w:val="000000"/>
                <w:spacing w:val="-4"/>
                <w:sz w:val="20"/>
                <w:szCs w:val="20"/>
                <w:u w:val="single"/>
              </w:rPr>
            </w:pPr>
          </w:p>
        </w:tc>
      </w:tr>
      <w:tr w:rsidR="00473FF2" w:rsidRPr="00473FF2" w14:paraId="38D5BCC8" w14:textId="77777777" w:rsidTr="00473FF2">
        <w:tc>
          <w:tcPr>
            <w:tcW w:w="5760" w:type="dxa"/>
          </w:tcPr>
          <w:p w14:paraId="7222B9B1" w14:textId="77777777" w:rsidR="00473FF2" w:rsidRPr="00473FF2" w:rsidRDefault="00473FF2" w:rsidP="00473FF2">
            <w:pPr>
              <w:tabs>
                <w:tab w:val="left" w:pos="216"/>
                <w:tab w:val="left" w:pos="432"/>
                <w:tab w:val="left" w:pos="648"/>
              </w:tabs>
              <w:autoSpaceDE/>
              <w:autoSpaceDN/>
              <w:adjustRightInd/>
              <w:spacing w:after="0" w:line="240" w:lineRule="auto"/>
              <w:rPr>
                <w:rFonts w:ascii="Arial" w:hAnsi="Arial" w:cs="Arial"/>
                <w:color w:val="000000"/>
                <w:spacing w:val="-4"/>
                <w:sz w:val="20"/>
                <w:szCs w:val="20"/>
              </w:rPr>
            </w:pPr>
            <w:r w:rsidRPr="00473FF2">
              <w:rPr>
                <w:rFonts w:ascii="Arial" w:hAnsi="Arial" w:cs="Arial"/>
                <w:color w:val="000000"/>
                <w:spacing w:val="-4"/>
                <w:sz w:val="20"/>
                <w:szCs w:val="20"/>
              </w:rPr>
              <w:t>NET LOSSES OF EQUITY METHOD INVESTEE</w:t>
            </w:r>
          </w:p>
        </w:tc>
        <w:tc>
          <w:tcPr>
            <w:tcW w:w="1800" w:type="dxa"/>
            <w:vAlign w:val="bottom"/>
          </w:tcPr>
          <w:p w14:paraId="393ABF1A" w14:textId="77777777" w:rsidR="00473FF2" w:rsidRPr="00473FF2" w:rsidRDefault="00473FF2" w:rsidP="00BF1FB5">
            <w:pPr>
              <w:tabs>
                <w:tab w:val="decimal" w:pos="1422"/>
              </w:tabs>
              <w:autoSpaceDE/>
              <w:autoSpaceDN/>
              <w:adjustRightInd/>
              <w:spacing w:after="0" w:line="240" w:lineRule="auto"/>
              <w:rPr>
                <w:rFonts w:ascii="Arial" w:hAnsi="Arial" w:cs="Arial"/>
                <w:color w:val="000000"/>
                <w:spacing w:val="-4"/>
                <w:sz w:val="20"/>
                <w:szCs w:val="20"/>
              </w:rPr>
            </w:pPr>
            <w:r w:rsidRPr="00473FF2">
              <w:rPr>
                <w:rFonts w:ascii="Arial" w:hAnsi="Arial" w:cs="Arial"/>
                <w:color w:val="000000"/>
                <w:spacing w:val="-4"/>
                <w:sz w:val="20"/>
                <w:szCs w:val="20"/>
                <w:u w:val="single"/>
              </w:rPr>
              <w:t>(1,876,000)</w:t>
            </w:r>
          </w:p>
        </w:tc>
        <w:tc>
          <w:tcPr>
            <w:tcW w:w="1710" w:type="dxa"/>
            <w:vAlign w:val="bottom"/>
          </w:tcPr>
          <w:p w14:paraId="1DC20F68" w14:textId="77777777" w:rsidR="00473FF2" w:rsidRPr="00473FF2" w:rsidRDefault="00473FF2" w:rsidP="00473FF2">
            <w:pPr>
              <w:tabs>
                <w:tab w:val="decimal" w:pos="1332"/>
              </w:tabs>
              <w:autoSpaceDE/>
              <w:autoSpaceDN/>
              <w:adjustRightInd/>
              <w:spacing w:after="0" w:line="240" w:lineRule="auto"/>
              <w:rPr>
                <w:rFonts w:ascii="Arial" w:hAnsi="Arial" w:cs="Arial"/>
                <w:color w:val="000000"/>
                <w:spacing w:val="-4"/>
                <w:sz w:val="20"/>
                <w:szCs w:val="20"/>
              </w:rPr>
            </w:pPr>
            <w:r w:rsidRPr="00473FF2">
              <w:rPr>
                <w:rFonts w:ascii="Arial" w:hAnsi="Arial" w:cs="Arial"/>
                <w:color w:val="000000"/>
                <w:spacing w:val="-4"/>
                <w:sz w:val="20"/>
                <w:szCs w:val="20"/>
                <w:u w:val="single"/>
              </w:rPr>
              <w:t>(1,167,000)</w:t>
            </w:r>
          </w:p>
        </w:tc>
      </w:tr>
      <w:tr w:rsidR="00473FF2" w:rsidRPr="00473FF2" w14:paraId="0D37722B" w14:textId="77777777" w:rsidTr="00473FF2">
        <w:tc>
          <w:tcPr>
            <w:tcW w:w="5760" w:type="dxa"/>
          </w:tcPr>
          <w:p w14:paraId="7AB820BD" w14:textId="77777777" w:rsidR="00473FF2" w:rsidRPr="00473FF2" w:rsidRDefault="00473FF2" w:rsidP="00473FF2">
            <w:pPr>
              <w:tabs>
                <w:tab w:val="left" w:pos="216"/>
                <w:tab w:val="left" w:pos="432"/>
                <w:tab w:val="left" w:pos="648"/>
              </w:tabs>
              <w:autoSpaceDE/>
              <w:autoSpaceDN/>
              <w:adjustRightInd/>
              <w:spacing w:after="0" w:line="240" w:lineRule="auto"/>
              <w:rPr>
                <w:rFonts w:ascii="Arial" w:hAnsi="Arial" w:cs="Arial"/>
                <w:color w:val="000000"/>
                <w:spacing w:val="-4"/>
                <w:sz w:val="20"/>
                <w:szCs w:val="20"/>
              </w:rPr>
            </w:pPr>
          </w:p>
        </w:tc>
        <w:tc>
          <w:tcPr>
            <w:tcW w:w="1800" w:type="dxa"/>
            <w:vAlign w:val="bottom"/>
          </w:tcPr>
          <w:p w14:paraId="04CCFBEF" w14:textId="77777777" w:rsidR="00473FF2" w:rsidRPr="00473FF2" w:rsidRDefault="00473FF2" w:rsidP="00BF1FB5">
            <w:pPr>
              <w:tabs>
                <w:tab w:val="decimal" w:pos="1422"/>
              </w:tabs>
              <w:autoSpaceDE/>
              <w:autoSpaceDN/>
              <w:adjustRightInd/>
              <w:spacing w:after="0" w:line="240" w:lineRule="auto"/>
              <w:rPr>
                <w:rFonts w:ascii="Arial" w:hAnsi="Arial" w:cs="Arial"/>
                <w:color w:val="000000"/>
                <w:spacing w:val="-4"/>
                <w:sz w:val="20"/>
                <w:szCs w:val="20"/>
              </w:rPr>
            </w:pPr>
          </w:p>
        </w:tc>
        <w:tc>
          <w:tcPr>
            <w:tcW w:w="1710" w:type="dxa"/>
          </w:tcPr>
          <w:p w14:paraId="46E9AA4F" w14:textId="77777777" w:rsidR="00473FF2" w:rsidRPr="00473FF2" w:rsidRDefault="00473FF2" w:rsidP="00473FF2">
            <w:pPr>
              <w:tabs>
                <w:tab w:val="decimal" w:pos="1332"/>
              </w:tabs>
              <w:autoSpaceDE/>
              <w:autoSpaceDN/>
              <w:adjustRightInd/>
              <w:spacing w:after="0" w:line="240" w:lineRule="auto"/>
              <w:rPr>
                <w:rFonts w:ascii="Arial" w:hAnsi="Arial" w:cs="Arial"/>
                <w:color w:val="000000"/>
                <w:spacing w:val="-4"/>
                <w:sz w:val="20"/>
                <w:szCs w:val="20"/>
              </w:rPr>
            </w:pPr>
          </w:p>
        </w:tc>
      </w:tr>
      <w:tr w:rsidR="00473FF2" w:rsidRPr="00473FF2" w14:paraId="1ECA2285" w14:textId="77777777" w:rsidTr="00473FF2">
        <w:tc>
          <w:tcPr>
            <w:tcW w:w="5760" w:type="dxa"/>
          </w:tcPr>
          <w:p w14:paraId="23238A74" w14:textId="77777777" w:rsidR="00473FF2" w:rsidRPr="00473FF2" w:rsidRDefault="00473FF2" w:rsidP="00473FF2">
            <w:pPr>
              <w:tabs>
                <w:tab w:val="left" w:pos="216"/>
                <w:tab w:val="left" w:pos="432"/>
                <w:tab w:val="left" w:pos="648"/>
              </w:tabs>
              <w:autoSpaceDE/>
              <w:autoSpaceDN/>
              <w:adjustRightInd/>
              <w:spacing w:after="0" w:line="240" w:lineRule="auto"/>
              <w:rPr>
                <w:rFonts w:ascii="Arial" w:hAnsi="Arial" w:cs="Arial"/>
                <w:color w:val="000000"/>
                <w:spacing w:val="-4"/>
                <w:sz w:val="20"/>
                <w:szCs w:val="20"/>
              </w:rPr>
            </w:pPr>
            <w:r w:rsidRPr="00473FF2">
              <w:rPr>
                <w:rFonts w:ascii="Arial" w:hAnsi="Arial" w:cs="Arial"/>
                <w:color w:val="000000"/>
                <w:spacing w:val="-4"/>
                <w:sz w:val="20"/>
                <w:szCs w:val="20"/>
              </w:rPr>
              <w:t>INCOME TAXES PROVISION (BENEFIT):</w:t>
            </w:r>
          </w:p>
        </w:tc>
        <w:tc>
          <w:tcPr>
            <w:tcW w:w="1800" w:type="dxa"/>
            <w:vAlign w:val="bottom"/>
          </w:tcPr>
          <w:p w14:paraId="25834BC6" w14:textId="77777777" w:rsidR="00473FF2" w:rsidRPr="00473FF2" w:rsidRDefault="00473FF2" w:rsidP="00BF1FB5">
            <w:pPr>
              <w:tabs>
                <w:tab w:val="decimal" w:pos="1422"/>
              </w:tabs>
              <w:autoSpaceDE/>
              <w:autoSpaceDN/>
              <w:adjustRightInd/>
              <w:spacing w:after="0" w:line="240" w:lineRule="auto"/>
              <w:rPr>
                <w:rFonts w:ascii="Arial" w:hAnsi="Arial" w:cs="Arial"/>
                <w:color w:val="000000"/>
                <w:spacing w:val="-4"/>
                <w:sz w:val="20"/>
                <w:szCs w:val="20"/>
                <w:u w:val="single"/>
              </w:rPr>
            </w:pPr>
          </w:p>
        </w:tc>
        <w:tc>
          <w:tcPr>
            <w:tcW w:w="1710" w:type="dxa"/>
          </w:tcPr>
          <w:p w14:paraId="38FEB748" w14:textId="77777777" w:rsidR="00473FF2" w:rsidRPr="00473FF2" w:rsidRDefault="00473FF2" w:rsidP="00473FF2">
            <w:pPr>
              <w:tabs>
                <w:tab w:val="decimal" w:pos="1332"/>
              </w:tabs>
              <w:autoSpaceDE/>
              <w:autoSpaceDN/>
              <w:adjustRightInd/>
              <w:spacing w:after="0" w:line="240" w:lineRule="auto"/>
              <w:rPr>
                <w:rFonts w:ascii="Arial" w:hAnsi="Arial" w:cs="Arial"/>
                <w:color w:val="000000"/>
                <w:spacing w:val="-4"/>
                <w:sz w:val="20"/>
                <w:szCs w:val="20"/>
                <w:u w:val="single"/>
              </w:rPr>
            </w:pPr>
          </w:p>
        </w:tc>
      </w:tr>
      <w:tr w:rsidR="00473FF2" w:rsidRPr="00473FF2" w14:paraId="14B7C03A" w14:textId="77777777" w:rsidTr="00473FF2">
        <w:tc>
          <w:tcPr>
            <w:tcW w:w="5760" w:type="dxa"/>
          </w:tcPr>
          <w:p w14:paraId="4B9B083B" w14:textId="77777777" w:rsidR="00473FF2" w:rsidRPr="00473FF2" w:rsidRDefault="00473FF2" w:rsidP="00473FF2">
            <w:pPr>
              <w:tabs>
                <w:tab w:val="left" w:pos="216"/>
                <w:tab w:val="left" w:pos="432"/>
                <w:tab w:val="left" w:pos="648"/>
              </w:tabs>
              <w:autoSpaceDE/>
              <w:autoSpaceDN/>
              <w:adjustRightInd/>
              <w:spacing w:after="0" w:line="240" w:lineRule="auto"/>
              <w:rPr>
                <w:rFonts w:ascii="Arial" w:hAnsi="Arial" w:cs="Arial"/>
                <w:color w:val="000000"/>
                <w:spacing w:val="-4"/>
                <w:sz w:val="20"/>
                <w:szCs w:val="20"/>
              </w:rPr>
            </w:pPr>
            <w:r w:rsidRPr="00473FF2">
              <w:rPr>
                <w:rFonts w:ascii="Arial" w:hAnsi="Arial" w:cs="Arial"/>
                <w:color w:val="000000"/>
                <w:spacing w:val="-4"/>
                <w:sz w:val="20"/>
                <w:szCs w:val="20"/>
              </w:rPr>
              <w:tab/>
              <w:t>Current</w:t>
            </w:r>
          </w:p>
        </w:tc>
        <w:tc>
          <w:tcPr>
            <w:tcW w:w="1800" w:type="dxa"/>
            <w:vAlign w:val="bottom"/>
          </w:tcPr>
          <w:p w14:paraId="159796F4" w14:textId="77777777" w:rsidR="00473FF2" w:rsidRPr="00473FF2" w:rsidRDefault="00473FF2" w:rsidP="00BF1FB5">
            <w:pPr>
              <w:tabs>
                <w:tab w:val="decimal" w:pos="1422"/>
              </w:tabs>
              <w:autoSpaceDE/>
              <w:autoSpaceDN/>
              <w:adjustRightInd/>
              <w:spacing w:after="0" w:line="240" w:lineRule="auto"/>
              <w:rPr>
                <w:rFonts w:ascii="Arial" w:hAnsi="Arial" w:cs="Arial"/>
                <w:color w:val="000000"/>
                <w:spacing w:val="-4"/>
                <w:sz w:val="20"/>
                <w:szCs w:val="20"/>
              </w:rPr>
            </w:pPr>
            <w:r w:rsidRPr="00473FF2">
              <w:rPr>
                <w:rFonts w:ascii="Arial" w:hAnsi="Arial" w:cs="Arial"/>
                <w:color w:val="000000"/>
                <w:spacing w:val="-4"/>
                <w:sz w:val="20"/>
                <w:szCs w:val="20"/>
              </w:rPr>
              <w:t>(464,000)</w:t>
            </w:r>
          </w:p>
        </w:tc>
        <w:tc>
          <w:tcPr>
            <w:tcW w:w="1710" w:type="dxa"/>
            <w:vAlign w:val="bottom"/>
          </w:tcPr>
          <w:p w14:paraId="7386C81C" w14:textId="77777777" w:rsidR="00473FF2" w:rsidRPr="00473FF2" w:rsidRDefault="00473FF2" w:rsidP="00473FF2">
            <w:pPr>
              <w:tabs>
                <w:tab w:val="decimal" w:pos="1332"/>
              </w:tabs>
              <w:autoSpaceDE/>
              <w:autoSpaceDN/>
              <w:adjustRightInd/>
              <w:spacing w:after="0" w:line="240" w:lineRule="auto"/>
              <w:rPr>
                <w:rFonts w:ascii="Arial" w:hAnsi="Arial" w:cs="Arial"/>
                <w:color w:val="000000"/>
                <w:spacing w:val="-4"/>
                <w:sz w:val="20"/>
                <w:szCs w:val="20"/>
              </w:rPr>
            </w:pPr>
            <w:r w:rsidRPr="00473FF2">
              <w:rPr>
                <w:rFonts w:ascii="Arial" w:hAnsi="Arial" w:cs="Arial"/>
                <w:color w:val="000000"/>
                <w:spacing w:val="-4"/>
                <w:sz w:val="20"/>
                <w:szCs w:val="20"/>
              </w:rPr>
              <w:t>(147,000)</w:t>
            </w:r>
          </w:p>
        </w:tc>
      </w:tr>
      <w:tr w:rsidR="00473FF2" w:rsidRPr="00473FF2" w14:paraId="7C9D3BB2" w14:textId="77777777" w:rsidTr="00473FF2">
        <w:tc>
          <w:tcPr>
            <w:tcW w:w="5760" w:type="dxa"/>
          </w:tcPr>
          <w:p w14:paraId="685633D4" w14:textId="77777777" w:rsidR="00473FF2" w:rsidRPr="00473FF2" w:rsidRDefault="00473FF2" w:rsidP="00473FF2">
            <w:pPr>
              <w:tabs>
                <w:tab w:val="left" w:pos="216"/>
                <w:tab w:val="left" w:pos="432"/>
                <w:tab w:val="left" w:pos="648"/>
              </w:tabs>
              <w:autoSpaceDE/>
              <w:autoSpaceDN/>
              <w:adjustRightInd/>
              <w:spacing w:after="0" w:line="240" w:lineRule="auto"/>
              <w:rPr>
                <w:rFonts w:ascii="Arial" w:hAnsi="Arial" w:cs="Arial"/>
                <w:color w:val="000000"/>
                <w:spacing w:val="-4"/>
                <w:sz w:val="20"/>
                <w:szCs w:val="20"/>
              </w:rPr>
            </w:pPr>
            <w:r w:rsidRPr="00473FF2">
              <w:rPr>
                <w:rFonts w:ascii="Arial" w:hAnsi="Arial" w:cs="Arial"/>
                <w:color w:val="000000"/>
                <w:spacing w:val="-4"/>
                <w:sz w:val="20"/>
                <w:szCs w:val="20"/>
              </w:rPr>
              <w:tab/>
              <w:t>Deferred taxes, net</w:t>
            </w:r>
          </w:p>
        </w:tc>
        <w:tc>
          <w:tcPr>
            <w:tcW w:w="1800" w:type="dxa"/>
            <w:vAlign w:val="bottom"/>
          </w:tcPr>
          <w:p w14:paraId="4E0F4626" w14:textId="77777777" w:rsidR="00473FF2" w:rsidRPr="00473FF2" w:rsidRDefault="00473FF2" w:rsidP="00BF1FB5">
            <w:pPr>
              <w:tabs>
                <w:tab w:val="decimal" w:pos="1422"/>
              </w:tabs>
              <w:autoSpaceDE/>
              <w:autoSpaceDN/>
              <w:adjustRightInd/>
              <w:spacing w:after="0" w:line="240" w:lineRule="auto"/>
              <w:rPr>
                <w:rFonts w:ascii="Arial" w:hAnsi="Arial" w:cs="Arial"/>
                <w:color w:val="000000"/>
                <w:spacing w:val="-4"/>
                <w:sz w:val="20"/>
                <w:szCs w:val="20"/>
                <w:u w:val="single"/>
              </w:rPr>
            </w:pPr>
            <w:r w:rsidRPr="00473FF2">
              <w:rPr>
                <w:rFonts w:ascii="Arial" w:hAnsi="Arial" w:cs="Arial"/>
                <w:color w:val="000000"/>
                <w:spacing w:val="-4"/>
                <w:sz w:val="20"/>
                <w:szCs w:val="20"/>
                <w:u w:val="single"/>
              </w:rPr>
              <w:t>     (490,000)</w:t>
            </w:r>
          </w:p>
        </w:tc>
        <w:tc>
          <w:tcPr>
            <w:tcW w:w="1710" w:type="dxa"/>
            <w:vAlign w:val="bottom"/>
          </w:tcPr>
          <w:p w14:paraId="3B02FC7E" w14:textId="77777777" w:rsidR="00473FF2" w:rsidRPr="00473FF2" w:rsidRDefault="00473FF2" w:rsidP="00473FF2">
            <w:pPr>
              <w:tabs>
                <w:tab w:val="decimal" w:pos="1332"/>
              </w:tabs>
              <w:autoSpaceDE/>
              <w:autoSpaceDN/>
              <w:adjustRightInd/>
              <w:spacing w:after="0" w:line="240" w:lineRule="auto"/>
              <w:rPr>
                <w:rFonts w:ascii="Arial" w:hAnsi="Arial" w:cs="Arial"/>
                <w:b/>
                <w:bCs/>
                <w:color w:val="000000"/>
                <w:spacing w:val="-4"/>
                <w:sz w:val="20"/>
                <w:szCs w:val="20"/>
                <w:u w:val="single"/>
              </w:rPr>
            </w:pPr>
            <w:r w:rsidRPr="00473FF2">
              <w:rPr>
                <w:rFonts w:ascii="Arial" w:hAnsi="Arial" w:cs="Arial"/>
                <w:color w:val="000000"/>
                <w:spacing w:val="-4"/>
                <w:sz w:val="20"/>
                <w:szCs w:val="20"/>
                <w:u w:val="single"/>
              </w:rPr>
              <w:t>       168,000</w:t>
            </w:r>
          </w:p>
        </w:tc>
      </w:tr>
      <w:tr w:rsidR="00473FF2" w:rsidRPr="00473FF2" w14:paraId="6F0C9717" w14:textId="77777777" w:rsidTr="00473FF2">
        <w:tc>
          <w:tcPr>
            <w:tcW w:w="5760" w:type="dxa"/>
          </w:tcPr>
          <w:p w14:paraId="37081845" w14:textId="77777777" w:rsidR="00473FF2" w:rsidRPr="00473FF2" w:rsidRDefault="00473FF2" w:rsidP="00473FF2">
            <w:pPr>
              <w:tabs>
                <w:tab w:val="left" w:pos="216"/>
                <w:tab w:val="left" w:pos="432"/>
                <w:tab w:val="left" w:pos="648"/>
              </w:tabs>
              <w:autoSpaceDE/>
              <w:autoSpaceDN/>
              <w:adjustRightInd/>
              <w:spacing w:after="0" w:line="240" w:lineRule="auto"/>
              <w:rPr>
                <w:rFonts w:ascii="Arial" w:hAnsi="Arial" w:cs="Arial"/>
                <w:color w:val="000000"/>
                <w:spacing w:val="-4"/>
                <w:sz w:val="20"/>
                <w:szCs w:val="20"/>
              </w:rPr>
            </w:pPr>
            <w:r w:rsidRPr="00473FF2">
              <w:rPr>
                <w:rFonts w:ascii="Arial" w:hAnsi="Arial" w:cs="Arial"/>
                <w:color w:val="000000"/>
                <w:spacing w:val="-4"/>
                <w:sz w:val="20"/>
                <w:szCs w:val="20"/>
              </w:rPr>
              <w:tab/>
              <w:t>Total income taxes (benefit)</w:t>
            </w:r>
          </w:p>
        </w:tc>
        <w:tc>
          <w:tcPr>
            <w:tcW w:w="1800" w:type="dxa"/>
            <w:vAlign w:val="bottom"/>
          </w:tcPr>
          <w:p w14:paraId="4C97EB9A" w14:textId="77777777" w:rsidR="00473FF2" w:rsidRPr="00473FF2" w:rsidRDefault="00473FF2" w:rsidP="00BF1FB5">
            <w:pPr>
              <w:tabs>
                <w:tab w:val="decimal" w:pos="1422"/>
              </w:tabs>
              <w:autoSpaceDE/>
              <w:autoSpaceDN/>
              <w:adjustRightInd/>
              <w:spacing w:after="0" w:line="240" w:lineRule="auto"/>
              <w:rPr>
                <w:rFonts w:ascii="Arial" w:hAnsi="Arial" w:cs="Arial"/>
                <w:color w:val="000000"/>
                <w:spacing w:val="-4"/>
                <w:sz w:val="20"/>
                <w:szCs w:val="20"/>
                <w:u w:val="single"/>
              </w:rPr>
            </w:pPr>
            <w:r w:rsidRPr="00473FF2">
              <w:rPr>
                <w:rFonts w:ascii="Arial" w:hAnsi="Arial" w:cs="Arial"/>
                <w:color w:val="000000"/>
                <w:spacing w:val="-4"/>
                <w:sz w:val="20"/>
                <w:szCs w:val="20"/>
                <w:u w:val="single"/>
              </w:rPr>
              <w:t>     (954,000)</w:t>
            </w:r>
          </w:p>
        </w:tc>
        <w:tc>
          <w:tcPr>
            <w:tcW w:w="1710" w:type="dxa"/>
            <w:vAlign w:val="bottom"/>
          </w:tcPr>
          <w:p w14:paraId="7B36594B" w14:textId="77777777" w:rsidR="00473FF2" w:rsidRPr="00473FF2" w:rsidRDefault="00473FF2" w:rsidP="00473FF2">
            <w:pPr>
              <w:tabs>
                <w:tab w:val="decimal" w:pos="1332"/>
              </w:tabs>
              <w:autoSpaceDE/>
              <w:autoSpaceDN/>
              <w:adjustRightInd/>
              <w:spacing w:after="0" w:line="240" w:lineRule="auto"/>
              <w:rPr>
                <w:rFonts w:ascii="Arial" w:hAnsi="Arial" w:cs="Arial"/>
                <w:color w:val="000000"/>
                <w:spacing w:val="-4"/>
                <w:sz w:val="20"/>
                <w:szCs w:val="20"/>
                <w:u w:val="single"/>
              </w:rPr>
            </w:pPr>
            <w:r w:rsidRPr="00473FF2">
              <w:rPr>
                <w:rFonts w:ascii="Arial" w:hAnsi="Arial" w:cs="Arial"/>
                <w:color w:val="000000"/>
                <w:spacing w:val="-4"/>
                <w:sz w:val="20"/>
                <w:szCs w:val="20"/>
                <w:u w:val="single"/>
              </w:rPr>
              <w:t>         21,000</w:t>
            </w:r>
          </w:p>
        </w:tc>
      </w:tr>
      <w:tr w:rsidR="00473FF2" w:rsidRPr="00473FF2" w14:paraId="12D76955" w14:textId="77777777" w:rsidTr="00473FF2">
        <w:tc>
          <w:tcPr>
            <w:tcW w:w="5760" w:type="dxa"/>
          </w:tcPr>
          <w:p w14:paraId="510D4F81" w14:textId="77777777" w:rsidR="00473FF2" w:rsidRPr="00473FF2" w:rsidRDefault="00473FF2" w:rsidP="00473FF2">
            <w:pPr>
              <w:tabs>
                <w:tab w:val="left" w:pos="216"/>
                <w:tab w:val="left" w:pos="432"/>
                <w:tab w:val="left" w:pos="648"/>
              </w:tabs>
              <w:autoSpaceDE/>
              <w:autoSpaceDN/>
              <w:adjustRightInd/>
              <w:spacing w:after="0" w:line="240" w:lineRule="auto"/>
              <w:rPr>
                <w:rFonts w:ascii="Arial" w:hAnsi="Arial" w:cs="Arial"/>
                <w:color w:val="000000"/>
                <w:spacing w:val="-4"/>
                <w:sz w:val="20"/>
                <w:szCs w:val="20"/>
              </w:rPr>
            </w:pPr>
          </w:p>
          <w:p w14:paraId="06AFF556" w14:textId="77777777" w:rsidR="00473FF2" w:rsidRPr="00473FF2" w:rsidRDefault="00473FF2" w:rsidP="00473FF2">
            <w:pPr>
              <w:tabs>
                <w:tab w:val="left" w:pos="216"/>
                <w:tab w:val="left" w:pos="432"/>
                <w:tab w:val="left" w:pos="648"/>
              </w:tabs>
              <w:autoSpaceDE/>
              <w:autoSpaceDN/>
              <w:adjustRightInd/>
              <w:spacing w:after="0" w:line="240" w:lineRule="auto"/>
              <w:rPr>
                <w:rFonts w:ascii="Arial" w:hAnsi="Arial" w:cs="Arial"/>
                <w:color w:val="000000"/>
                <w:spacing w:val="-4"/>
                <w:sz w:val="20"/>
                <w:szCs w:val="20"/>
              </w:rPr>
            </w:pPr>
            <w:r w:rsidRPr="00473FF2">
              <w:rPr>
                <w:rFonts w:ascii="Arial" w:hAnsi="Arial" w:cs="Arial"/>
                <w:color w:val="000000"/>
                <w:spacing w:val="-4"/>
                <w:sz w:val="20"/>
                <w:szCs w:val="20"/>
              </w:rPr>
              <w:t>LOSS BEFORE SHARE OF NET LOSSES OF</w:t>
            </w:r>
          </w:p>
          <w:p w14:paraId="2763A62E" w14:textId="77777777" w:rsidR="00473FF2" w:rsidRPr="00473FF2" w:rsidRDefault="00473FF2" w:rsidP="00473FF2">
            <w:pPr>
              <w:tabs>
                <w:tab w:val="left" w:pos="216"/>
                <w:tab w:val="left" w:pos="432"/>
                <w:tab w:val="left" w:pos="648"/>
              </w:tabs>
              <w:autoSpaceDE/>
              <w:autoSpaceDN/>
              <w:adjustRightInd/>
              <w:spacing w:after="0" w:line="240" w:lineRule="auto"/>
              <w:rPr>
                <w:rFonts w:ascii="Arial" w:hAnsi="Arial" w:cs="Arial"/>
                <w:color w:val="000000"/>
                <w:spacing w:val="-4"/>
                <w:sz w:val="20"/>
                <w:szCs w:val="20"/>
              </w:rPr>
            </w:pPr>
            <w:r w:rsidRPr="00473FF2">
              <w:rPr>
                <w:rFonts w:ascii="Arial" w:hAnsi="Arial" w:cs="Arial"/>
                <w:color w:val="000000"/>
                <w:spacing w:val="-4"/>
                <w:sz w:val="20"/>
                <w:szCs w:val="20"/>
              </w:rPr>
              <w:t>EQUITY METHOD INVESTEE:</w:t>
            </w:r>
          </w:p>
        </w:tc>
        <w:tc>
          <w:tcPr>
            <w:tcW w:w="1800" w:type="dxa"/>
            <w:vAlign w:val="bottom"/>
          </w:tcPr>
          <w:p w14:paraId="34EB068F" w14:textId="77777777" w:rsidR="00473FF2" w:rsidRPr="00473FF2" w:rsidRDefault="00473FF2" w:rsidP="00BF1FB5">
            <w:pPr>
              <w:tabs>
                <w:tab w:val="decimal" w:pos="1422"/>
              </w:tabs>
              <w:autoSpaceDE/>
              <w:autoSpaceDN/>
              <w:adjustRightInd/>
              <w:spacing w:after="0" w:line="240" w:lineRule="auto"/>
              <w:rPr>
                <w:rFonts w:ascii="Arial" w:hAnsi="Arial" w:cs="Arial"/>
                <w:color w:val="000000"/>
                <w:spacing w:val="-4"/>
                <w:sz w:val="20"/>
                <w:szCs w:val="20"/>
              </w:rPr>
            </w:pPr>
            <w:r w:rsidRPr="00473FF2">
              <w:rPr>
                <w:rFonts w:ascii="Arial" w:hAnsi="Arial" w:cs="Arial"/>
                <w:color w:val="000000"/>
                <w:spacing w:val="-4"/>
                <w:sz w:val="20"/>
                <w:szCs w:val="20"/>
              </w:rPr>
              <w:t>(922,000)</w:t>
            </w:r>
          </w:p>
        </w:tc>
        <w:tc>
          <w:tcPr>
            <w:tcW w:w="1710" w:type="dxa"/>
            <w:vAlign w:val="bottom"/>
          </w:tcPr>
          <w:p w14:paraId="3767593E" w14:textId="77777777" w:rsidR="00473FF2" w:rsidRPr="00473FF2" w:rsidRDefault="00473FF2" w:rsidP="00473FF2">
            <w:pPr>
              <w:tabs>
                <w:tab w:val="decimal" w:pos="1332"/>
              </w:tabs>
              <w:autoSpaceDE/>
              <w:autoSpaceDN/>
              <w:adjustRightInd/>
              <w:spacing w:after="0" w:line="240" w:lineRule="auto"/>
              <w:rPr>
                <w:rFonts w:ascii="Arial" w:hAnsi="Arial" w:cs="Arial"/>
                <w:color w:val="000000"/>
                <w:spacing w:val="-4"/>
                <w:sz w:val="20"/>
                <w:szCs w:val="20"/>
              </w:rPr>
            </w:pPr>
            <w:r w:rsidRPr="00473FF2">
              <w:rPr>
                <w:rFonts w:ascii="Arial" w:hAnsi="Arial" w:cs="Arial"/>
                <w:color w:val="000000"/>
                <w:spacing w:val="-4"/>
                <w:sz w:val="20"/>
                <w:szCs w:val="20"/>
              </w:rPr>
              <w:t>(1,188,000)</w:t>
            </w:r>
          </w:p>
        </w:tc>
      </w:tr>
      <w:tr w:rsidR="00473FF2" w:rsidRPr="00473FF2" w14:paraId="11ACB2D6" w14:textId="77777777" w:rsidTr="00473FF2">
        <w:trPr>
          <w:trHeight w:val="387"/>
        </w:trPr>
        <w:tc>
          <w:tcPr>
            <w:tcW w:w="5760" w:type="dxa"/>
          </w:tcPr>
          <w:p w14:paraId="6CF09221" w14:textId="77777777" w:rsidR="00473FF2" w:rsidRPr="00473FF2" w:rsidRDefault="00473FF2" w:rsidP="00473FF2">
            <w:pPr>
              <w:tabs>
                <w:tab w:val="left" w:pos="216"/>
                <w:tab w:val="left" w:pos="432"/>
                <w:tab w:val="left" w:pos="648"/>
              </w:tabs>
              <w:autoSpaceDE/>
              <w:autoSpaceDN/>
              <w:adjustRightInd/>
              <w:spacing w:after="0" w:line="240" w:lineRule="auto"/>
              <w:rPr>
                <w:rFonts w:ascii="Arial" w:hAnsi="Arial" w:cs="Arial"/>
                <w:color w:val="000000"/>
                <w:spacing w:val="-4"/>
                <w:sz w:val="20"/>
                <w:szCs w:val="20"/>
              </w:rPr>
            </w:pPr>
          </w:p>
          <w:p w14:paraId="6422FB4A" w14:textId="77777777" w:rsidR="00473FF2" w:rsidRPr="00473FF2" w:rsidRDefault="00473FF2" w:rsidP="00473FF2">
            <w:pPr>
              <w:tabs>
                <w:tab w:val="left" w:pos="216"/>
                <w:tab w:val="left" w:pos="432"/>
                <w:tab w:val="left" w:pos="648"/>
              </w:tabs>
              <w:autoSpaceDE/>
              <w:autoSpaceDN/>
              <w:adjustRightInd/>
              <w:spacing w:after="0" w:line="240" w:lineRule="auto"/>
              <w:rPr>
                <w:rFonts w:ascii="Arial" w:hAnsi="Arial" w:cs="Arial"/>
                <w:color w:val="000000"/>
                <w:spacing w:val="-4"/>
                <w:sz w:val="20"/>
                <w:szCs w:val="20"/>
              </w:rPr>
            </w:pPr>
            <w:r w:rsidRPr="00473FF2">
              <w:rPr>
                <w:rFonts w:ascii="Arial" w:hAnsi="Arial" w:cs="Arial"/>
                <w:color w:val="000000"/>
                <w:spacing w:val="-4"/>
                <w:sz w:val="20"/>
                <w:szCs w:val="20"/>
              </w:rPr>
              <w:t>SHARE OF NET LOSSES OF EQUITY METHOD INVESTEE</w:t>
            </w:r>
          </w:p>
          <w:p w14:paraId="2D0F371A" w14:textId="77777777" w:rsidR="00473FF2" w:rsidRPr="00473FF2" w:rsidRDefault="00473FF2" w:rsidP="00473FF2">
            <w:pPr>
              <w:tabs>
                <w:tab w:val="left" w:pos="216"/>
                <w:tab w:val="left" w:pos="432"/>
                <w:tab w:val="left" w:pos="648"/>
              </w:tabs>
              <w:autoSpaceDE/>
              <w:autoSpaceDN/>
              <w:adjustRightInd/>
              <w:spacing w:after="0" w:line="240" w:lineRule="auto"/>
              <w:rPr>
                <w:rFonts w:ascii="Arial" w:hAnsi="Arial" w:cs="Arial"/>
                <w:color w:val="000000"/>
                <w:spacing w:val="-4"/>
                <w:sz w:val="20"/>
                <w:szCs w:val="20"/>
              </w:rPr>
            </w:pPr>
          </w:p>
          <w:p w14:paraId="3BC1A588" w14:textId="77777777" w:rsidR="00473FF2" w:rsidRPr="00473FF2" w:rsidRDefault="00473FF2" w:rsidP="00473FF2">
            <w:pPr>
              <w:tabs>
                <w:tab w:val="left" w:pos="216"/>
                <w:tab w:val="left" w:pos="432"/>
                <w:tab w:val="left" w:pos="648"/>
              </w:tabs>
              <w:autoSpaceDE/>
              <w:autoSpaceDN/>
              <w:adjustRightInd/>
              <w:spacing w:after="0" w:line="240" w:lineRule="auto"/>
              <w:rPr>
                <w:rFonts w:ascii="Arial" w:hAnsi="Arial" w:cs="Arial"/>
                <w:color w:val="000000"/>
                <w:spacing w:val="-4"/>
                <w:sz w:val="20"/>
                <w:szCs w:val="20"/>
              </w:rPr>
            </w:pPr>
            <w:r w:rsidRPr="00473FF2">
              <w:rPr>
                <w:rFonts w:ascii="Arial" w:hAnsi="Arial" w:cs="Arial"/>
                <w:color w:val="000000"/>
                <w:spacing w:val="-4"/>
                <w:sz w:val="20"/>
                <w:szCs w:val="20"/>
              </w:rPr>
              <w:t>NET LOSS</w:t>
            </w:r>
          </w:p>
        </w:tc>
        <w:tc>
          <w:tcPr>
            <w:tcW w:w="1800" w:type="dxa"/>
            <w:vAlign w:val="bottom"/>
          </w:tcPr>
          <w:p w14:paraId="0EF81805" w14:textId="77777777" w:rsidR="00473FF2" w:rsidRPr="00473FF2" w:rsidRDefault="00473FF2" w:rsidP="00BF1FB5">
            <w:pPr>
              <w:tabs>
                <w:tab w:val="decimal" w:pos="1422"/>
              </w:tabs>
              <w:autoSpaceDE/>
              <w:autoSpaceDN/>
              <w:adjustRightInd/>
              <w:spacing w:after="0" w:line="240" w:lineRule="auto"/>
              <w:rPr>
                <w:rFonts w:ascii="Arial" w:hAnsi="Arial" w:cs="Arial"/>
                <w:color w:val="000000"/>
                <w:spacing w:val="-4"/>
                <w:sz w:val="20"/>
                <w:szCs w:val="20"/>
                <w:u w:val="single"/>
              </w:rPr>
            </w:pPr>
          </w:p>
          <w:p w14:paraId="5EBE217A" w14:textId="77777777" w:rsidR="00473FF2" w:rsidRPr="00473FF2" w:rsidRDefault="00473FF2" w:rsidP="00BF1FB5">
            <w:pPr>
              <w:tabs>
                <w:tab w:val="decimal" w:pos="1422"/>
              </w:tabs>
              <w:autoSpaceDE/>
              <w:autoSpaceDN/>
              <w:adjustRightInd/>
              <w:spacing w:after="0" w:line="240" w:lineRule="auto"/>
              <w:rPr>
                <w:rFonts w:ascii="Arial" w:hAnsi="Arial" w:cs="Arial"/>
                <w:color w:val="000000"/>
                <w:spacing w:val="-4"/>
                <w:sz w:val="20"/>
                <w:szCs w:val="20"/>
                <w:u w:val="single"/>
              </w:rPr>
            </w:pPr>
            <w:r w:rsidRPr="00473FF2">
              <w:rPr>
                <w:rFonts w:ascii="Arial" w:hAnsi="Arial" w:cs="Arial"/>
                <w:color w:val="000000"/>
                <w:spacing w:val="-4"/>
                <w:sz w:val="20"/>
                <w:szCs w:val="20"/>
              </w:rPr>
              <w:t>$</w:t>
            </w:r>
            <w:r w:rsidRPr="00473FF2">
              <w:rPr>
                <w:rFonts w:ascii="Arial" w:hAnsi="Arial" w:cs="Arial"/>
                <w:color w:val="000000"/>
                <w:spacing w:val="-4"/>
                <w:sz w:val="20"/>
                <w:szCs w:val="20"/>
                <w:u w:val="single"/>
              </w:rPr>
              <w:t> </w:t>
            </w:r>
            <w:proofErr w:type="gramStart"/>
            <w:r w:rsidRPr="00473FF2">
              <w:rPr>
                <w:rFonts w:ascii="Arial" w:hAnsi="Arial" w:cs="Arial"/>
                <w:color w:val="000000"/>
                <w:spacing w:val="-4"/>
                <w:sz w:val="20"/>
                <w:szCs w:val="20"/>
                <w:u w:val="single"/>
              </w:rPr>
              <w:t>   (</w:t>
            </w:r>
            <w:proofErr w:type="gramEnd"/>
            <w:r w:rsidRPr="00473FF2">
              <w:rPr>
                <w:rFonts w:ascii="Arial" w:hAnsi="Arial" w:cs="Arial"/>
                <w:color w:val="000000"/>
                <w:spacing w:val="-4"/>
                <w:sz w:val="20"/>
                <w:szCs w:val="20"/>
                <w:u w:val="single"/>
              </w:rPr>
              <w:t>787,000)</w:t>
            </w:r>
          </w:p>
          <w:p w14:paraId="3F171EDC" w14:textId="77777777" w:rsidR="00473FF2" w:rsidRPr="00473FF2" w:rsidRDefault="00473FF2" w:rsidP="00BF1FB5">
            <w:pPr>
              <w:tabs>
                <w:tab w:val="decimal" w:pos="1422"/>
              </w:tabs>
              <w:autoSpaceDE/>
              <w:autoSpaceDN/>
              <w:adjustRightInd/>
              <w:spacing w:after="0" w:line="240" w:lineRule="auto"/>
              <w:rPr>
                <w:rFonts w:ascii="Arial" w:hAnsi="Arial" w:cs="Arial"/>
                <w:color w:val="000000"/>
                <w:spacing w:val="-4"/>
                <w:sz w:val="20"/>
                <w:szCs w:val="20"/>
              </w:rPr>
            </w:pPr>
          </w:p>
          <w:p w14:paraId="7507BA15" w14:textId="77777777" w:rsidR="00473FF2" w:rsidRPr="00473FF2" w:rsidRDefault="00473FF2" w:rsidP="00BF1FB5">
            <w:pPr>
              <w:tabs>
                <w:tab w:val="decimal" w:pos="1422"/>
              </w:tabs>
              <w:autoSpaceDE/>
              <w:autoSpaceDN/>
              <w:adjustRightInd/>
              <w:spacing w:after="0" w:line="240" w:lineRule="auto"/>
              <w:rPr>
                <w:rFonts w:ascii="Arial" w:hAnsi="Arial" w:cs="Arial"/>
                <w:color w:val="000000"/>
                <w:spacing w:val="-4"/>
                <w:sz w:val="20"/>
                <w:szCs w:val="20"/>
                <w:u w:val="double"/>
              </w:rPr>
            </w:pPr>
            <w:r w:rsidRPr="00473FF2">
              <w:rPr>
                <w:rFonts w:ascii="Arial" w:hAnsi="Arial" w:cs="Arial"/>
                <w:color w:val="000000"/>
                <w:spacing w:val="-4"/>
                <w:sz w:val="20"/>
                <w:szCs w:val="20"/>
              </w:rPr>
              <w:t>$</w:t>
            </w:r>
            <w:r w:rsidRPr="00473FF2">
              <w:rPr>
                <w:rFonts w:ascii="Arial" w:hAnsi="Arial" w:cs="Arial"/>
                <w:color w:val="000000"/>
                <w:spacing w:val="-4"/>
                <w:sz w:val="20"/>
                <w:szCs w:val="20"/>
                <w:u w:val="single"/>
              </w:rPr>
              <w:t> (1,709,000)</w:t>
            </w:r>
          </w:p>
        </w:tc>
        <w:tc>
          <w:tcPr>
            <w:tcW w:w="1710" w:type="dxa"/>
            <w:vAlign w:val="bottom"/>
          </w:tcPr>
          <w:p w14:paraId="447AA181" w14:textId="77777777" w:rsidR="00473FF2" w:rsidRPr="00473FF2" w:rsidRDefault="00473FF2" w:rsidP="00473FF2">
            <w:pPr>
              <w:tabs>
                <w:tab w:val="decimal" w:pos="1332"/>
              </w:tabs>
              <w:autoSpaceDE/>
              <w:autoSpaceDN/>
              <w:adjustRightInd/>
              <w:spacing w:after="0" w:line="240" w:lineRule="auto"/>
              <w:rPr>
                <w:rFonts w:ascii="Arial" w:hAnsi="Arial" w:cs="Arial"/>
                <w:color w:val="000000"/>
                <w:spacing w:val="-4"/>
                <w:sz w:val="20"/>
                <w:szCs w:val="20"/>
                <w:u w:val="single"/>
              </w:rPr>
            </w:pPr>
          </w:p>
          <w:p w14:paraId="2F929EAB" w14:textId="77777777" w:rsidR="00473FF2" w:rsidRPr="00473FF2" w:rsidRDefault="00473FF2" w:rsidP="00473FF2">
            <w:pPr>
              <w:tabs>
                <w:tab w:val="decimal" w:pos="1332"/>
              </w:tabs>
              <w:autoSpaceDE/>
              <w:autoSpaceDN/>
              <w:adjustRightInd/>
              <w:spacing w:after="0" w:line="240" w:lineRule="auto"/>
              <w:rPr>
                <w:rFonts w:ascii="Arial" w:hAnsi="Arial" w:cs="Arial"/>
                <w:color w:val="000000"/>
                <w:spacing w:val="-4"/>
                <w:sz w:val="20"/>
                <w:szCs w:val="20"/>
                <w:u w:val="single"/>
              </w:rPr>
            </w:pPr>
            <w:r w:rsidRPr="00473FF2">
              <w:rPr>
                <w:rFonts w:ascii="Arial" w:hAnsi="Arial" w:cs="Arial"/>
                <w:color w:val="000000"/>
                <w:spacing w:val="-4"/>
                <w:sz w:val="20"/>
                <w:szCs w:val="20"/>
              </w:rPr>
              <w:t>$</w:t>
            </w:r>
            <w:r w:rsidRPr="00473FF2">
              <w:rPr>
                <w:rFonts w:ascii="Arial" w:hAnsi="Arial" w:cs="Arial"/>
                <w:color w:val="000000"/>
                <w:spacing w:val="-4"/>
                <w:sz w:val="20"/>
                <w:szCs w:val="20"/>
                <w:u w:val="single"/>
              </w:rPr>
              <w:t>   </w:t>
            </w:r>
            <w:proofErr w:type="gramStart"/>
            <w:r w:rsidRPr="00473FF2">
              <w:rPr>
                <w:rFonts w:ascii="Arial" w:hAnsi="Arial" w:cs="Arial"/>
                <w:color w:val="000000"/>
                <w:spacing w:val="-4"/>
                <w:sz w:val="20"/>
                <w:szCs w:val="20"/>
                <w:u w:val="single"/>
              </w:rPr>
              <w:t>   (</w:t>
            </w:r>
            <w:proofErr w:type="gramEnd"/>
            <w:r w:rsidRPr="00473FF2">
              <w:rPr>
                <w:rFonts w:ascii="Arial" w:hAnsi="Arial" w:cs="Arial"/>
                <w:color w:val="000000"/>
                <w:spacing w:val="-4"/>
                <w:sz w:val="20"/>
                <w:szCs w:val="20"/>
                <w:u w:val="single"/>
              </w:rPr>
              <w:t>604,000)</w:t>
            </w:r>
          </w:p>
          <w:p w14:paraId="26DDC091" w14:textId="77777777" w:rsidR="00473FF2" w:rsidRPr="00473FF2" w:rsidRDefault="00473FF2" w:rsidP="00473FF2">
            <w:pPr>
              <w:tabs>
                <w:tab w:val="decimal" w:pos="1332"/>
              </w:tabs>
              <w:autoSpaceDE/>
              <w:autoSpaceDN/>
              <w:adjustRightInd/>
              <w:spacing w:after="0" w:line="240" w:lineRule="auto"/>
              <w:rPr>
                <w:rFonts w:ascii="Arial" w:hAnsi="Arial" w:cs="Arial"/>
                <w:color w:val="000000"/>
                <w:spacing w:val="-4"/>
                <w:sz w:val="20"/>
                <w:szCs w:val="20"/>
              </w:rPr>
            </w:pPr>
          </w:p>
          <w:p w14:paraId="2431483B" w14:textId="77777777" w:rsidR="00473FF2" w:rsidRPr="00473FF2" w:rsidRDefault="00473FF2" w:rsidP="00473FF2">
            <w:pPr>
              <w:tabs>
                <w:tab w:val="decimal" w:pos="1332"/>
              </w:tabs>
              <w:autoSpaceDE/>
              <w:autoSpaceDN/>
              <w:adjustRightInd/>
              <w:spacing w:after="0" w:line="240" w:lineRule="auto"/>
              <w:rPr>
                <w:rFonts w:ascii="Arial" w:hAnsi="Arial" w:cs="Arial"/>
                <w:color w:val="000000"/>
                <w:spacing w:val="-4"/>
                <w:sz w:val="20"/>
                <w:szCs w:val="20"/>
                <w:u w:val="single"/>
              </w:rPr>
            </w:pPr>
            <w:r w:rsidRPr="00473FF2">
              <w:rPr>
                <w:rFonts w:ascii="Arial" w:hAnsi="Arial" w:cs="Arial"/>
                <w:color w:val="000000"/>
                <w:spacing w:val="-4"/>
                <w:sz w:val="20"/>
                <w:szCs w:val="20"/>
              </w:rPr>
              <w:t>$</w:t>
            </w:r>
            <w:proofErr w:type="gramStart"/>
            <w:r w:rsidRPr="00473FF2">
              <w:rPr>
                <w:rFonts w:ascii="Arial" w:hAnsi="Arial" w:cs="Arial"/>
                <w:color w:val="000000"/>
                <w:spacing w:val="-4"/>
                <w:sz w:val="20"/>
                <w:szCs w:val="20"/>
                <w:u w:val="single"/>
              </w:rPr>
              <w:t>   (</w:t>
            </w:r>
            <w:proofErr w:type="gramEnd"/>
            <w:r w:rsidRPr="00473FF2">
              <w:rPr>
                <w:rFonts w:ascii="Arial" w:hAnsi="Arial" w:cs="Arial"/>
                <w:color w:val="000000"/>
                <w:spacing w:val="-4"/>
                <w:sz w:val="20"/>
                <w:szCs w:val="20"/>
                <w:u w:val="single"/>
              </w:rPr>
              <w:t>1,792,000)</w:t>
            </w:r>
          </w:p>
        </w:tc>
      </w:tr>
      <w:tr w:rsidR="00473FF2" w:rsidRPr="00473FF2" w14:paraId="2D4D468E" w14:textId="77777777" w:rsidTr="00473FF2">
        <w:tc>
          <w:tcPr>
            <w:tcW w:w="5760" w:type="dxa"/>
          </w:tcPr>
          <w:p w14:paraId="29558673" w14:textId="77777777" w:rsidR="00473FF2" w:rsidRPr="00473FF2" w:rsidRDefault="00473FF2" w:rsidP="00473FF2">
            <w:pPr>
              <w:tabs>
                <w:tab w:val="left" w:pos="216"/>
                <w:tab w:val="left" w:pos="432"/>
                <w:tab w:val="left" w:pos="648"/>
              </w:tabs>
              <w:autoSpaceDE/>
              <w:autoSpaceDN/>
              <w:adjustRightInd/>
              <w:spacing w:after="0" w:line="240" w:lineRule="auto"/>
              <w:rPr>
                <w:rFonts w:ascii="Arial" w:hAnsi="Arial" w:cs="Arial"/>
                <w:color w:val="000000"/>
                <w:spacing w:val="-4"/>
                <w:sz w:val="20"/>
                <w:szCs w:val="20"/>
              </w:rPr>
            </w:pPr>
          </w:p>
        </w:tc>
        <w:tc>
          <w:tcPr>
            <w:tcW w:w="1800" w:type="dxa"/>
            <w:vAlign w:val="bottom"/>
          </w:tcPr>
          <w:p w14:paraId="5113A0ED" w14:textId="77777777" w:rsidR="00473FF2" w:rsidRPr="00473FF2" w:rsidRDefault="00473FF2" w:rsidP="00BF1FB5">
            <w:pPr>
              <w:tabs>
                <w:tab w:val="decimal" w:pos="1422"/>
              </w:tabs>
              <w:autoSpaceDE/>
              <w:autoSpaceDN/>
              <w:adjustRightInd/>
              <w:spacing w:after="0" w:line="240" w:lineRule="auto"/>
              <w:rPr>
                <w:rFonts w:ascii="Arial" w:hAnsi="Arial" w:cs="Arial"/>
                <w:color w:val="000000"/>
                <w:spacing w:val="-4"/>
                <w:sz w:val="20"/>
                <w:szCs w:val="20"/>
                <w:u w:val="single"/>
              </w:rPr>
            </w:pPr>
          </w:p>
        </w:tc>
        <w:tc>
          <w:tcPr>
            <w:tcW w:w="1710" w:type="dxa"/>
            <w:vAlign w:val="bottom"/>
          </w:tcPr>
          <w:p w14:paraId="791171F2" w14:textId="77777777" w:rsidR="00473FF2" w:rsidRPr="00473FF2" w:rsidRDefault="00473FF2" w:rsidP="00473FF2">
            <w:pPr>
              <w:tabs>
                <w:tab w:val="decimal" w:pos="1332"/>
              </w:tabs>
              <w:autoSpaceDE/>
              <w:autoSpaceDN/>
              <w:adjustRightInd/>
              <w:spacing w:after="0" w:line="240" w:lineRule="auto"/>
              <w:rPr>
                <w:rFonts w:ascii="Arial" w:hAnsi="Arial" w:cs="Arial"/>
                <w:color w:val="000000"/>
                <w:spacing w:val="-4"/>
                <w:sz w:val="20"/>
                <w:szCs w:val="20"/>
                <w:u w:val="single"/>
              </w:rPr>
            </w:pPr>
          </w:p>
        </w:tc>
      </w:tr>
      <w:tr w:rsidR="00473FF2" w:rsidRPr="00473FF2" w14:paraId="1AD89B92" w14:textId="77777777" w:rsidTr="00473FF2">
        <w:tc>
          <w:tcPr>
            <w:tcW w:w="5760" w:type="dxa"/>
          </w:tcPr>
          <w:p w14:paraId="08986FF5" w14:textId="77777777" w:rsidR="00473FF2" w:rsidRPr="00473FF2" w:rsidRDefault="00473FF2" w:rsidP="00473FF2">
            <w:pPr>
              <w:tabs>
                <w:tab w:val="left" w:pos="216"/>
                <w:tab w:val="left" w:pos="432"/>
                <w:tab w:val="left" w:pos="648"/>
              </w:tabs>
              <w:autoSpaceDE/>
              <w:autoSpaceDN/>
              <w:adjustRightInd/>
              <w:spacing w:after="0" w:line="240" w:lineRule="auto"/>
              <w:rPr>
                <w:rFonts w:ascii="Arial" w:hAnsi="Arial" w:cs="Arial"/>
                <w:color w:val="000000"/>
                <w:spacing w:val="-4"/>
                <w:sz w:val="20"/>
                <w:szCs w:val="20"/>
              </w:rPr>
            </w:pPr>
            <w:r w:rsidRPr="00473FF2">
              <w:rPr>
                <w:rFonts w:ascii="Arial" w:hAnsi="Arial" w:cs="Arial"/>
                <w:color w:val="000000"/>
                <w:spacing w:val="-4"/>
                <w:sz w:val="20"/>
                <w:szCs w:val="20"/>
              </w:rPr>
              <w:t>Net Loss Per Share:</w:t>
            </w:r>
          </w:p>
        </w:tc>
        <w:tc>
          <w:tcPr>
            <w:tcW w:w="1800" w:type="dxa"/>
            <w:vAlign w:val="bottom"/>
          </w:tcPr>
          <w:p w14:paraId="5B0BD096" w14:textId="77777777" w:rsidR="00473FF2" w:rsidRPr="00473FF2" w:rsidRDefault="00473FF2" w:rsidP="00BF1FB5">
            <w:pPr>
              <w:tabs>
                <w:tab w:val="decimal" w:pos="1422"/>
              </w:tabs>
              <w:autoSpaceDE/>
              <w:autoSpaceDN/>
              <w:adjustRightInd/>
              <w:spacing w:after="0" w:line="240" w:lineRule="auto"/>
              <w:rPr>
                <w:rFonts w:ascii="Arial" w:hAnsi="Arial" w:cs="Arial"/>
                <w:color w:val="000000"/>
                <w:spacing w:val="-4"/>
                <w:sz w:val="20"/>
                <w:szCs w:val="20"/>
                <w:u w:val="single"/>
              </w:rPr>
            </w:pPr>
          </w:p>
        </w:tc>
        <w:tc>
          <w:tcPr>
            <w:tcW w:w="1710" w:type="dxa"/>
            <w:vAlign w:val="bottom"/>
          </w:tcPr>
          <w:p w14:paraId="6F4DE860" w14:textId="77777777" w:rsidR="00473FF2" w:rsidRPr="00473FF2" w:rsidRDefault="00473FF2" w:rsidP="00473FF2">
            <w:pPr>
              <w:tabs>
                <w:tab w:val="decimal" w:pos="1332"/>
              </w:tabs>
              <w:autoSpaceDE/>
              <w:autoSpaceDN/>
              <w:adjustRightInd/>
              <w:spacing w:after="0" w:line="240" w:lineRule="auto"/>
              <w:rPr>
                <w:rFonts w:ascii="Arial" w:hAnsi="Arial" w:cs="Arial"/>
                <w:color w:val="000000"/>
                <w:spacing w:val="-4"/>
                <w:sz w:val="20"/>
                <w:szCs w:val="20"/>
                <w:u w:val="single"/>
              </w:rPr>
            </w:pPr>
          </w:p>
        </w:tc>
      </w:tr>
      <w:tr w:rsidR="00473FF2" w:rsidRPr="00473FF2" w14:paraId="287EF7A6" w14:textId="77777777" w:rsidTr="00473FF2">
        <w:tc>
          <w:tcPr>
            <w:tcW w:w="5760" w:type="dxa"/>
          </w:tcPr>
          <w:p w14:paraId="02D4EAB6" w14:textId="77777777" w:rsidR="00473FF2" w:rsidRPr="00473FF2" w:rsidRDefault="00473FF2" w:rsidP="00473FF2">
            <w:pPr>
              <w:tabs>
                <w:tab w:val="left" w:pos="216"/>
                <w:tab w:val="left" w:pos="432"/>
                <w:tab w:val="left" w:pos="648"/>
              </w:tabs>
              <w:autoSpaceDE/>
              <w:autoSpaceDN/>
              <w:adjustRightInd/>
              <w:spacing w:after="0" w:line="240" w:lineRule="auto"/>
              <w:rPr>
                <w:rFonts w:ascii="Arial" w:hAnsi="Arial" w:cs="Arial"/>
                <w:color w:val="000000"/>
                <w:spacing w:val="-4"/>
                <w:sz w:val="20"/>
                <w:szCs w:val="20"/>
              </w:rPr>
            </w:pPr>
            <w:r w:rsidRPr="00473FF2">
              <w:rPr>
                <w:rFonts w:ascii="Arial" w:hAnsi="Arial" w:cs="Arial"/>
                <w:color w:val="000000"/>
                <w:spacing w:val="-4"/>
                <w:sz w:val="20"/>
                <w:szCs w:val="20"/>
              </w:rPr>
              <w:tab/>
              <w:t xml:space="preserve">Basic </w:t>
            </w:r>
          </w:p>
        </w:tc>
        <w:tc>
          <w:tcPr>
            <w:tcW w:w="1800" w:type="dxa"/>
            <w:vAlign w:val="bottom"/>
          </w:tcPr>
          <w:p w14:paraId="3D3D0436" w14:textId="77777777" w:rsidR="00473FF2" w:rsidRPr="00473FF2" w:rsidRDefault="00473FF2" w:rsidP="00BF1FB5">
            <w:pPr>
              <w:tabs>
                <w:tab w:val="decimal" w:pos="1152"/>
              </w:tabs>
              <w:autoSpaceDE/>
              <w:autoSpaceDN/>
              <w:adjustRightInd/>
              <w:spacing w:after="0" w:line="240" w:lineRule="auto"/>
              <w:rPr>
                <w:rFonts w:ascii="Arial" w:hAnsi="Arial" w:cs="Arial"/>
                <w:color w:val="000000"/>
                <w:spacing w:val="-4"/>
                <w:sz w:val="20"/>
                <w:szCs w:val="20"/>
                <w:u w:val="double"/>
              </w:rPr>
            </w:pPr>
            <w:r w:rsidRPr="00473FF2">
              <w:rPr>
                <w:rFonts w:ascii="Arial" w:hAnsi="Arial" w:cs="Arial"/>
                <w:color w:val="000000"/>
                <w:spacing w:val="-4"/>
                <w:sz w:val="20"/>
                <w:szCs w:val="20"/>
              </w:rPr>
              <w:t>$</w:t>
            </w:r>
            <w:r w:rsidRPr="00473FF2">
              <w:rPr>
                <w:rFonts w:ascii="Arial" w:hAnsi="Arial" w:cs="Arial"/>
                <w:color w:val="000000"/>
                <w:spacing w:val="-4"/>
                <w:sz w:val="20"/>
                <w:szCs w:val="20"/>
                <w:u w:val="double"/>
              </w:rPr>
              <w:t>        </w:t>
            </w:r>
            <w:proofErr w:type="gramStart"/>
            <w:r w:rsidRPr="00473FF2">
              <w:rPr>
                <w:rFonts w:ascii="Arial" w:hAnsi="Arial" w:cs="Arial"/>
                <w:color w:val="000000"/>
                <w:spacing w:val="-4"/>
                <w:sz w:val="20"/>
                <w:szCs w:val="20"/>
                <w:u w:val="double"/>
              </w:rPr>
              <w:t>   (</w:t>
            </w:r>
            <w:proofErr w:type="gramEnd"/>
            <w:r w:rsidRPr="00473FF2">
              <w:rPr>
                <w:rFonts w:ascii="Arial" w:hAnsi="Arial" w:cs="Arial"/>
                <w:color w:val="000000"/>
                <w:spacing w:val="-4"/>
                <w:sz w:val="20"/>
                <w:szCs w:val="20"/>
                <w:u w:val="double"/>
              </w:rPr>
              <w:t>0.07)</w:t>
            </w:r>
          </w:p>
        </w:tc>
        <w:tc>
          <w:tcPr>
            <w:tcW w:w="1710" w:type="dxa"/>
            <w:vAlign w:val="bottom"/>
          </w:tcPr>
          <w:p w14:paraId="68D75905" w14:textId="77777777" w:rsidR="00473FF2" w:rsidRPr="00473FF2" w:rsidRDefault="00473FF2" w:rsidP="00BF1FB5">
            <w:pPr>
              <w:tabs>
                <w:tab w:val="decimal" w:pos="1062"/>
              </w:tabs>
              <w:autoSpaceDE/>
              <w:autoSpaceDN/>
              <w:adjustRightInd/>
              <w:spacing w:after="0"/>
              <w:rPr>
                <w:rFonts w:ascii="Arial" w:hAnsi="Arial" w:cs="Arial"/>
                <w:color w:val="000000"/>
                <w:spacing w:val="-4"/>
                <w:sz w:val="20"/>
                <w:szCs w:val="20"/>
                <w:u w:val="double"/>
              </w:rPr>
            </w:pPr>
            <w:r w:rsidRPr="00473FF2">
              <w:rPr>
                <w:rFonts w:ascii="Arial" w:hAnsi="Arial" w:cs="Arial"/>
                <w:color w:val="000000"/>
                <w:spacing w:val="-4"/>
                <w:sz w:val="20"/>
                <w:szCs w:val="20"/>
              </w:rPr>
              <w:t>$</w:t>
            </w:r>
            <w:r w:rsidRPr="00473FF2">
              <w:rPr>
                <w:rFonts w:ascii="Arial" w:hAnsi="Arial" w:cs="Arial"/>
                <w:color w:val="000000"/>
                <w:spacing w:val="-4"/>
                <w:sz w:val="20"/>
                <w:szCs w:val="20"/>
                <w:u w:val="double"/>
              </w:rPr>
              <w:t>         </w:t>
            </w:r>
            <w:proofErr w:type="gramStart"/>
            <w:r w:rsidRPr="00473FF2">
              <w:rPr>
                <w:rFonts w:ascii="Arial" w:hAnsi="Arial" w:cs="Arial"/>
                <w:color w:val="000000"/>
                <w:spacing w:val="-4"/>
                <w:sz w:val="20"/>
                <w:szCs w:val="20"/>
                <w:u w:val="double"/>
              </w:rPr>
              <w:t>   (</w:t>
            </w:r>
            <w:proofErr w:type="gramEnd"/>
            <w:r w:rsidRPr="00473FF2">
              <w:rPr>
                <w:rFonts w:ascii="Arial" w:hAnsi="Arial" w:cs="Arial"/>
                <w:color w:val="000000"/>
                <w:spacing w:val="-4"/>
                <w:sz w:val="20"/>
                <w:szCs w:val="20"/>
                <w:u w:val="double"/>
              </w:rPr>
              <w:t>0.07)</w:t>
            </w:r>
          </w:p>
        </w:tc>
      </w:tr>
      <w:tr w:rsidR="00473FF2" w:rsidRPr="00473FF2" w14:paraId="465FB222" w14:textId="77777777" w:rsidTr="00473FF2">
        <w:trPr>
          <w:trHeight w:val="306"/>
        </w:trPr>
        <w:tc>
          <w:tcPr>
            <w:tcW w:w="5760" w:type="dxa"/>
          </w:tcPr>
          <w:p w14:paraId="29EF6530" w14:textId="77777777" w:rsidR="00473FF2" w:rsidRPr="00473FF2" w:rsidRDefault="00473FF2" w:rsidP="00473FF2">
            <w:pPr>
              <w:tabs>
                <w:tab w:val="left" w:pos="216"/>
                <w:tab w:val="left" w:pos="432"/>
                <w:tab w:val="left" w:pos="648"/>
              </w:tabs>
              <w:autoSpaceDE/>
              <w:autoSpaceDN/>
              <w:adjustRightInd/>
              <w:spacing w:after="0" w:line="240" w:lineRule="auto"/>
              <w:ind w:left="210"/>
              <w:rPr>
                <w:rFonts w:ascii="Arial" w:hAnsi="Arial" w:cs="Arial"/>
                <w:color w:val="000000"/>
                <w:spacing w:val="-4"/>
                <w:sz w:val="20"/>
                <w:szCs w:val="20"/>
              </w:rPr>
            </w:pPr>
            <w:r w:rsidRPr="00473FF2">
              <w:rPr>
                <w:rFonts w:ascii="Arial" w:hAnsi="Arial" w:cs="Arial"/>
                <w:color w:val="000000"/>
                <w:spacing w:val="-4"/>
                <w:sz w:val="20"/>
                <w:szCs w:val="20"/>
              </w:rPr>
              <w:t>Diluted</w:t>
            </w:r>
          </w:p>
        </w:tc>
        <w:tc>
          <w:tcPr>
            <w:tcW w:w="1800" w:type="dxa"/>
            <w:vAlign w:val="bottom"/>
          </w:tcPr>
          <w:p w14:paraId="600999A8" w14:textId="77777777" w:rsidR="00473FF2" w:rsidRPr="00473FF2" w:rsidRDefault="00473FF2" w:rsidP="00BF1FB5">
            <w:pPr>
              <w:tabs>
                <w:tab w:val="decimal" w:pos="1152"/>
              </w:tabs>
              <w:autoSpaceDE/>
              <w:autoSpaceDN/>
              <w:adjustRightInd/>
              <w:spacing w:after="0" w:line="240" w:lineRule="auto"/>
              <w:rPr>
                <w:rFonts w:ascii="Arial" w:hAnsi="Arial" w:cs="Arial"/>
                <w:color w:val="000000"/>
                <w:spacing w:val="-4"/>
                <w:sz w:val="20"/>
                <w:szCs w:val="20"/>
                <w:u w:val="double"/>
              </w:rPr>
            </w:pPr>
            <w:r w:rsidRPr="00473FF2">
              <w:rPr>
                <w:rFonts w:ascii="Arial" w:hAnsi="Arial" w:cs="Arial"/>
                <w:color w:val="000000"/>
                <w:spacing w:val="-4"/>
                <w:sz w:val="20"/>
                <w:szCs w:val="20"/>
              </w:rPr>
              <w:t>$</w:t>
            </w:r>
            <w:r w:rsidRPr="00473FF2">
              <w:rPr>
                <w:rFonts w:ascii="Arial" w:hAnsi="Arial" w:cs="Arial"/>
                <w:color w:val="000000"/>
                <w:spacing w:val="-4"/>
                <w:sz w:val="20"/>
                <w:szCs w:val="20"/>
                <w:u w:val="double"/>
              </w:rPr>
              <w:t>        </w:t>
            </w:r>
            <w:proofErr w:type="gramStart"/>
            <w:r w:rsidRPr="00473FF2">
              <w:rPr>
                <w:rFonts w:ascii="Arial" w:hAnsi="Arial" w:cs="Arial"/>
                <w:color w:val="000000"/>
                <w:spacing w:val="-4"/>
                <w:sz w:val="20"/>
                <w:szCs w:val="20"/>
                <w:u w:val="double"/>
              </w:rPr>
              <w:t>   (</w:t>
            </w:r>
            <w:proofErr w:type="gramEnd"/>
            <w:r w:rsidRPr="00473FF2">
              <w:rPr>
                <w:rFonts w:ascii="Arial" w:hAnsi="Arial" w:cs="Arial"/>
                <w:color w:val="000000"/>
                <w:spacing w:val="-4"/>
                <w:sz w:val="20"/>
                <w:szCs w:val="20"/>
                <w:u w:val="double"/>
              </w:rPr>
              <w:t>0.07)</w:t>
            </w:r>
          </w:p>
        </w:tc>
        <w:tc>
          <w:tcPr>
            <w:tcW w:w="1710" w:type="dxa"/>
            <w:vAlign w:val="bottom"/>
          </w:tcPr>
          <w:p w14:paraId="6B58BD36" w14:textId="77777777" w:rsidR="00473FF2" w:rsidRPr="00473FF2" w:rsidRDefault="00473FF2" w:rsidP="00BF1FB5">
            <w:pPr>
              <w:tabs>
                <w:tab w:val="decimal" w:pos="1062"/>
              </w:tabs>
              <w:autoSpaceDE/>
              <w:autoSpaceDN/>
              <w:adjustRightInd/>
              <w:spacing w:after="0"/>
              <w:rPr>
                <w:rFonts w:ascii="Arial" w:hAnsi="Arial" w:cs="Arial"/>
                <w:color w:val="000000"/>
                <w:spacing w:val="-4"/>
                <w:sz w:val="20"/>
                <w:szCs w:val="20"/>
                <w:u w:val="double"/>
              </w:rPr>
            </w:pPr>
            <w:r w:rsidRPr="00473FF2">
              <w:rPr>
                <w:rFonts w:ascii="Arial" w:hAnsi="Arial" w:cs="Arial"/>
                <w:color w:val="000000"/>
                <w:spacing w:val="-4"/>
                <w:sz w:val="20"/>
                <w:szCs w:val="20"/>
              </w:rPr>
              <w:t>$</w:t>
            </w:r>
            <w:r w:rsidRPr="00473FF2">
              <w:rPr>
                <w:rFonts w:ascii="Arial" w:hAnsi="Arial" w:cs="Arial"/>
                <w:color w:val="000000"/>
                <w:spacing w:val="-4"/>
                <w:sz w:val="20"/>
                <w:szCs w:val="20"/>
                <w:u w:val="double"/>
              </w:rPr>
              <w:t>         </w:t>
            </w:r>
            <w:proofErr w:type="gramStart"/>
            <w:r w:rsidRPr="00473FF2">
              <w:rPr>
                <w:rFonts w:ascii="Arial" w:hAnsi="Arial" w:cs="Arial"/>
                <w:color w:val="000000"/>
                <w:spacing w:val="-4"/>
                <w:sz w:val="20"/>
                <w:szCs w:val="20"/>
                <w:u w:val="double"/>
              </w:rPr>
              <w:t>   (</w:t>
            </w:r>
            <w:proofErr w:type="gramEnd"/>
            <w:r w:rsidRPr="00473FF2">
              <w:rPr>
                <w:rFonts w:ascii="Arial" w:hAnsi="Arial" w:cs="Arial"/>
                <w:color w:val="000000"/>
                <w:spacing w:val="-4"/>
                <w:sz w:val="20"/>
                <w:szCs w:val="20"/>
                <w:u w:val="double"/>
              </w:rPr>
              <w:t>0.07)</w:t>
            </w:r>
          </w:p>
        </w:tc>
      </w:tr>
      <w:tr w:rsidR="00473FF2" w:rsidRPr="00473FF2" w14:paraId="3E7CA406" w14:textId="77777777" w:rsidTr="00473FF2">
        <w:tc>
          <w:tcPr>
            <w:tcW w:w="5760" w:type="dxa"/>
          </w:tcPr>
          <w:p w14:paraId="6041A362" w14:textId="77777777" w:rsidR="00473FF2" w:rsidRPr="00473FF2" w:rsidRDefault="00473FF2" w:rsidP="00473FF2">
            <w:pPr>
              <w:tabs>
                <w:tab w:val="left" w:pos="216"/>
                <w:tab w:val="left" w:pos="432"/>
                <w:tab w:val="left" w:pos="648"/>
              </w:tabs>
              <w:autoSpaceDE/>
              <w:autoSpaceDN/>
              <w:adjustRightInd/>
              <w:spacing w:after="0" w:line="240" w:lineRule="auto"/>
              <w:rPr>
                <w:rFonts w:ascii="Arial" w:hAnsi="Arial" w:cs="Arial"/>
                <w:b/>
                <w:bCs/>
                <w:color w:val="000000"/>
                <w:spacing w:val="-4"/>
                <w:sz w:val="20"/>
                <w:szCs w:val="20"/>
              </w:rPr>
            </w:pPr>
          </w:p>
        </w:tc>
        <w:tc>
          <w:tcPr>
            <w:tcW w:w="1800" w:type="dxa"/>
            <w:vAlign w:val="bottom"/>
          </w:tcPr>
          <w:p w14:paraId="5125C90E" w14:textId="77777777" w:rsidR="00473FF2" w:rsidRPr="00473FF2" w:rsidRDefault="00473FF2" w:rsidP="00BF1FB5">
            <w:pPr>
              <w:tabs>
                <w:tab w:val="decimal" w:pos="1422"/>
              </w:tabs>
              <w:autoSpaceDE/>
              <w:autoSpaceDN/>
              <w:adjustRightInd/>
              <w:spacing w:after="0" w:line="240" w:lineRule="auto"/>
              <w:rPr>
                <w:rFonts w:ascii="Arial" w:hAnsi="Arial" w:cs="Arial"/>
                <w:color w:val="000000"/>
                <w:spacing w:val="-4"/>
                <w:sz w:val="20"/>
                <w:szCs w:val="20"/>
              </w:rPr>
            </w:pPr>
          </w:p>
        </w:tc>
        <w:tc>
          <w:tcPr>
            <w:tcW w:w="1710" w:type="dxa"/>
            <w:vAlign w:val="bottom"/>
          </w:tcPr>
          <w:p w14:paraId="319F11DA" w14:textId="77777777" w:rsidR="00473FF2" w:rsidRPr="00473FF2" w:rsidRDefault="00473FF2" w:rsidP="00473FF2">
            <w:pPr>
              <w:tabs>
                <w:tab w:val="decimal" w:pos="1332"/>
              </w:tabs>
              <w:autoSpaceDE/>
              <w:autoSpaceDN/>
              <w:adjustRightInd/>
              <w:spacing w:after="0" w:line="240" w:lineRule="auto"/>
              <w:rPr>
                <w:rFonts w:ascii="Arial" w:hAnsi="Arial" w:cs="Arial"/>
                <w:color w:val="000000"/>
                <w:spacing w:val="-4"/>
                <w:sz w:val="20"/>
                <w:szCs w:val="20"/>
              </w:rPr>
            </w:pPr>
          </w:p>
        </w:tc>
      </w:tr>
      <w:tr w:rsidR="00473FF2" w:rsidRPr="00473FF2" w14:paraId="15E5F50C" w14:textId="77777777" w:rsidTr="00473FF2">
        <w:tc>
          <w:tcPr>
            <w:tcW w:w="5760" w:type="dxa"/>
          </w:tcPr>
          <w:p w14:paraId="4EAD4D20" w14:textId="77777777" w:rsidR="00473FF2" w:rsidRPr="00473FF2" w:rsidRDefault="00473FF2" w:rsidP="00473FF2">
            <w:pPr>
              <w:tabs>
                <w:tab w:val="left" w:pos="216"/>
                <w:tab w:val="left" w:pos="432"/>
                <w:tab w:val="left" w:pos="648"/>
              </w:tabs>
              <w:autoSpaceDE/>
              <w:autoSpaceDN/>
              <w:adjustRightInd/>
              <w:spacing w:after="0" w:line="240" w:lineRule="auto"/>
              <w:rPr>
                <w:rFonts w:ascii="Arial" w:hAnsi="Arial" w:cs="Arial"/>
                <w:color w:val="000000"/>
                <w:spacing w:val="-4"/>
                <w:sz w:val="20"/>
                <w:szCs w:val="20"/>
              </w:rPr>
            </w:pPr>
            <w:r w:rsidRPr="00473FF2">
              <w:rPr>
                <w:rFonts w:ascii="Arial" w:hAnsi="Arial" w:cs="Arial"/>
                <w:color w:val="000000"/>
                <w:spacing w:val="-4"/>
                <w:sz w:val="20"/>
                <w:szCs w:val="20"/>
              </w:rPr>
              <w:t>Weighted average common shares outstanding:</w:t>
            </w:r>
          </w:p>
        </w:tc>
        <w:tc>
          <w:tcPr>
            <w:tcW w:w="1800" w:type="dxa"/>
            <w:vAlign w:val="bottom"/>
          </w:tcPr>
          <w:p w14:paraId="6974A162" w14:textId="77777777" w:rsidR="00473FF2" w:rsidRPr="00473FF2" w:rsidRDefault="00473FF2" w:rsidP="00BF1FB5">
            <w:pPr>
              <w:tabs>
                <w:tab w:val="decimal" w:pos="1422"/>
              </w:tabs>
              <w:autoSpaceDE/>
              <w:autoSpaceDN/>
              <w:adjustRightInd/>
              <w:spacing w:after="0" w:line="240" w:lineRule="auto"/>
              <w:rPr>
                <w:rFonts w:ascii="Arial" w:hAnsi="Arial" w:cs="Arial"/>
                <w:color w:val="000000"/>
                <w:spacing w:val="-4"/>
                <w:sz w:val="20"/>
                <w:szCs w:val="20"/>
              </w:rPr>
            </w:pPr>
          </w:p>
        </w:tc>
        <w:tc>
          <w:tcPr>
            <w:tcW w:w="1710" w:type="dxa"/>
            <w:vAlign w:val="bottom"/>
          </w:tcPr>
          <w:p w14:paraId="3A6027DC" w14:textId="77777777" w:rsidR="00473FF2" w:rsidRPr="00473FF2" w:rsidRDefault="00473FF2" w:rsidP="00473FF2">
            <w:pPr>
              <w:tabs>
                <w:tab w:val="decimal" w:pos="1332"/>
              </w:tabs>
              <w:autoSpaceDE/>
              <w:autoSpaceDN/>
              <w:adjustRightInd/>
              <w:spacing w:after="0" w:line="240" w:lineRule="auto"/>
              <w:rPr>
                <w:rFonts w:ascii="Arial" w:hAnsi="Arial" w:cs="Arial"/>
                <w:bCs/>
                <w:color w:val="000000"/>
                <w:spacing w:val="-4"/>
                <w:sz w:val="20"/>
                <w:szCs w:val="20"/>
                <w:u w:val="single"/>
              </w:rPr>
            </w:pPr>
          </w:p>
        </w:tc>
      </w:tr>
      <w:tr w:rsidR="00473FF2" w:rsidRPr="00473FF2" w14:paraId="20F377E5" w14:textId="77777777" w:rsidTr="00473FF2">
        <w:tc>
          <w:tcPr>
            <w:tcW w:w="5760" w:type="dxa"/>
          </w:tcPr>
          <w:p w14:paraId="31F683D5" w14:textId="77777777" w:rsidR="00473FF2" w:rsidRPr="00473FF2" w:rsidRDefault="00473FF2" w:rsidP="00473FF2">
            <w:pPr>
              <w:tabs>
                <w:tab w:val="left" w:pos="216"/>
                <w:tab w:val="left" w:pos="432"/>
                <w:tab w:val="left" w:pos="648"/>
              </w:tabs>
              <w:autoSpaceDE/>
              <w:autoSpaceDN/>
              <w:adjustRightInd/>
              <w:spacing w:after="0" w:line="240" w:lineRule="auto"/>
              <w:rPr>
                <w:rFonts w:ascii="Arial" w:hAnsi="Arial" w:cs="Arial"/>
                <w:color w:val="000000"/>
                <w:spacing w:val="-4"/>
                <w:sz w:val="20"/>
                <w:szCs w:val="20"/>
              </w:rPr>
            </w:pPr>
            <w:r w:rsidRPr="00473FF2">
              <w:rPr>
                <w:rFonts w:ascii="Arial" w:hAnsi="Arial" w:cs="Arial"/>
                <w:color w:val="000000"/>
                <w:spacing w:val="-4"/>
                <w:sz w:val="20"/>
                <w:szCs w:val="20"/>
              </w:rPr>
              <w:tab/>
              <w:t xml:space="preserve">Basic </w:t>
            </w:r>
          </w:p>
        </w:tc>
        <w:tc>
          <w:tcPr>
            <w:tcW w:w="1800" w:type="dxa"/>
            <w:vAlign w:val="bottom"/>
          </w:tcPr>
          <w:p w14:paraId="592C5E3D" w14:textId="77777777" w:rsidR="00473FF2" w:rsidRPr="00473FF2" w:rsidRDefault="00473FF2" w:rsidP="00BF1FB5">
            <w:pPr>
              <w:tabs>
                <w:tab w:val="decimal" w:pos="1422"/>
              </w:tabs>
              <w:autoSpaceDE/>
              <w:autoSpaceDN/>
              <w:adjustRightInd/>
              <w:spacing w:after="0" w:line="240" w:lineRule="auto"/>
              <w:rPr>
                <w:rFonts w:ascii="Arial" w:hAnsi="Arial" w:cs="Arial"/>
                <w:color w:val="000000"/>
                <w:spacing w:val="-4"/>
                <w:sz w:val="20"/>
                <w:szCs w:val="20"/>
                <w:u w:val="single"/>
              </w:rPr>
            </w:pPr>
            <w:r w:rsidRPr="00473FF2">
              <w:rPr>
                <w:rFonts w:ascii="Arial" w:hAnsi="Arial" w:cs="Arial"/>
                <w:color w:val="000000"/>
                <w:spacing w:val="-4"/>
                <w:sz w:val="20"/>
                <w:szCs w:val="20"/>
                <w:u w:val="single"/>
              </w:rPr>
              <w:t> 24,011,354</w:t>
            </w:r>
          </w:p>
        </w:tc>
        <w:tc>
          <w:tcPr>
            <w:tcW w:w="1710" w:type="dxa"/>
            <w:vAlign w:val="bottom"/>
          </w:tcPr>
          <w:p w14:paraId="16283E87" w14:textId="77777777" w:rsidR="00473FF2" w:rsidRPr="00473FF2" w:rsidRDefault="00473FF2" w:rsidP="00473FF2">
            <w:pPr>
              <w:tabs>
                <w:tab w:val="decimal" w:pos="1332"/>
              </w:tabs>
              <w:autoSpaceDE/>
              <w:autoSpaceDN/>
              <w:adjustRightInd/>
              <w:spacing w:after="0" w:line="240" w:lineRule="auto"/>
              <w:rPr>
                <w:rFonts w:ascii="Arial" w:hAnsi="Arial" w:cs="Arial"/>
                <w:color w:val="000000"/>
                <w:spacing w:val="-4"/>
                <w:sz w:val="20"/>
                <w:szCs w:val="20"/>
                <w:u w:val="single"/>
              </w:rPr>
            </w:pPr>
            <w:r w:rsidRPr="00473FF2">
              <w:rPr>
                <w:rFonts w:ascii="Arial" w:hAnsi="Arial" w:cs="Arial"/>
                <w:color w:val="000000"/>
                <w:spacing w:val="-4"/>
                <w:sz w:val="20"/>
                <w:szCs w:val="20"/>
                <w:u w:val="single"/>
              </w:rPr>
              <w:t>  23,978,774</w:t>
            </w:r>
          </w:p>
        </w:tc>
      </w:tr>
      <w:tr w:rsidR="00473FF2" w:rsidRPr="00473FF2" w14:paraId="705DCDE2" w14:textId="77777777" w:rsidTr="00473FF2">
        <w:tc>
          <w:tcPr>
            <w:tcW w:w="5760" w:type="dxa"/>
          </w:tcPr>
          <w:p w14:paraId="374B3E2B" w14:textId="77777777" w:rsidR="00473FF2" w:rsidRPr="00473FF2" w:rsidRDefault="00473FF2" w:rsidP="00473FF2">
            <w:pPr>
              <w:tabs>
                <w:tab w:val="left" w:pos="216"/>
                <w:tab w:val="left" w:pos="432"/>
                <w:tab w:val="left" w:pos="648"/>
              </w:tabs>
              <w:autoSpaceDE/>
              <w:autoSpaceDN/>
              <w:adjustRightInd/>
              <w:spacing w:after="0" w:line="240" w:lineRule="auto"/>
              <w:rPr>
                <w:rFonts w:ascii="Arial" w:hAnsi="Arial" w:cs="Arial"/>
                <w:color w:val="000000"/>
                <w:spacing w:val="-4"/>
                <w:sz w:val="20"/>
                <w:szCs w:val="20"/>
              </w:rPr>
            </w:pPr>
            <w:r w:rsidRPr="00473FF2">
              <w:rPr>
                <w:rFonts w:ascii="Arial" w:hAnsi="Arial" w:cs="Arial"/>
                <w:color w:val="000000"/>
                <w:spacing w:val="-4"/>
                <w:sz w:val="20"/>
                <w:szCs w:val="20"/>
              </w:rPr>
              <w:tab/>
              <w:t>Diluted</w:t>
            </w:r>
          </w:p>
        </w:tc>
        <w:tc>
          <w:tcPr>
            <w:tcW w:w="1800" w:type="dxa"/>
            <w:vAlign w:val="bottom"/>
          </w:tcPr>
          <w:p w14:paraId="5C9CD761" w14:textId="77777777" w:rsidR="00473FF2" w:rsidRPr="00473FF2" w:rsidRDefault="00473FF2" w:rsidP="00BF1FB5">
            <w:pPr>
              <w:tabs>
                <w:tab w:val="decimal" w:pos="1422"/>
              </w:tabs>
              <w:autoSpaceDE/>
              <w:autoSpaceDN/>
              <w:adjustRightInd/>
              <w:spacing w:after="0" w:line="240" w:lineRule="auto"/>
              <w:rPr>
                <w:rFonts w:ascii="Arial" w:hAnsi="Arial" w:cs="Arial"/>
                <w:color w:val="000000"/>
                <w:spacing w:val="-4"/>
                <w:sz w:val="20"/>
                <w:szCs w:val="20"/>
                <w:u w:val="single"/>
              </w:rPr>
            </w:pPr>
            <w:r w:rsidRPr="00473FF2">
              <w:rPr>
                <w:rFonts w:ascii="Arial" w:hAnsi="Arial" w:cs="Arial"/>
                <w:color w:val="000000"/>
                <w:spacing w:val="-4"/>
                <w:sz w:val="20"/>
                <w:szCs w:val="20"/>
                <w:u w:val="single"/>
              </w:rPr>
              <w:t> 24,011,354</w:t>
            </w:r>
          </w:p>
        </w:tc>
        <w:tc>
          <w:tcPr>
            <w:tcW w:w="1710" w:type="dxa"/>
            <w:vAlign w:val="bottom"/>
          </w:tcPr>
          <w:p w14:paraId="07FF8353" w14:textId="77777777" w:rsidR="00473FF2" w:rsidRPr="00473FF2" w:rsidRDefault="00473FF2" w:rsidP="00473FF2">
            <w:pPr>
              <w:tabs>
                <w:tab w:val="decimal" w:pos="1332"/>
              </w:tabs>
              <w:autoSpaceDE/>
              <w:autoSpaceDN/>
              <w:adjustRightInd/>
              <w:spacing w:after="0" w:line="240" w:lineRule="auto"/>
              <w:rPr>
                <w:rFonts w:ascii="Arial" w:hAnsi="Arial" w:cs="Arial"/>
                <w:color w:val="000000"/>
                <w:spacing w:val="-4"/>
                <w:sz w:val="20"/>
                <w:szCs w:val="20"/>
                <w:u w:val="single"/>
              </w:rPr>
            </w:pPr>
            <w:r w:rsidRPr="00473FF2">
              <w:rPr>
                <w:rFonts w:ascii="Arial" w:hAnsi="Arial" w:cs="Arial"/>
                <w:color w:val="000000"/>
                <w:spacing w:val="-4"/>
                <w:sz w:val="20"/>
                <w:szCs w:val="20"/>
                <w:u w:val="single"/>
              </w:rPr>
              <w:t>  23,978,774</w:t>
            </w:r>
          </w:p>
        </w:tc>
      </w:tr>
      <w:tr w:rsidR="00473FF2" w:rsidRPr="00473FF2" w14:paraId="654F12DC" w14:textId="77777777" w:rsidTr="00473FF2">
        <w:tc>
          <w:tcPr>
            <w:tcW w:w="5760" w:type="dxa"/>
          </w:tcPr>
          <w:p w14:paraId="59B042EC" w14:textId="77777777" w:rsidR="00473FF2" w:rsidRPr="00473FF2" w:rsidRDefault="00473FF2" w:rsidP="00473FF2">
            <w:pPr>
              <w:tabs>
                <w:tab w:val="left" w:pos="216"/>
                <w:tab w:val="left" w:pos="432"/>
                <w:tab w:val="left" w:pos="648"/>
              </w:tabs>
              <w:autoSpaceDE/>
              <w:autoSpaceDN/>
              <w:adjustRightInd/>
              <w:spacing w:after="0" w:line="240" w:lineRule="auto"/>
              <w:rPr>
                <w:rFonts w:ascii="Arial" w:hAnsi="Arial" w:cs="Arial"/>
                <w:color w:val="000000"/>
                <w:spacing w:val="-4"/>
                <w:sz w:val="20"/>
                <w:szCs w:val="20"/>
              </w:rPr>
            </w:pPr>
          </w:p>
        </w:tc>
        <w:tc>
          <w:tcPr>
            <w:tcW w:w="1800" w:type="dxa"/>
            <w:vAlign w:val="bottom"/>
          </w:tcPr>
          <w:p w14:paraId="5A044042" w14:textId="77777777" w:rsidR="00473FF2" w:rsidRPr="00473FF2" w:rsidRDefault="00473FF2" w:rsidP="00BF1FB5">
            <w:pPr>
              <w:tabs>
                <w:tab w:val="decimal" w:pos="1422"/>
              </w:tabs>
              <w:autoSpaceDE/>
              <w:autoSpaceDN/>
              <w:adjustRightInd/>
              <w:spacing w:after="0" w:line="240" w:lineRule="auto"/>
              <w:rPr>
                <w:rFonts w:ascii="Arial" w:hAnsi="Arial" w:cs="Arial"/>
                <w:color w:val="000000"/>
                <w:spacing w:val="-4"/>
                <w:sz w:val="20"/>
                <w:szCs w:val="20"/>
                <w:u w:val="single"/>
              </w:rPr>
            </w:pPr>
          </w:p>
        </w:tc>
        <w:tc>
          <w:tcPr>
            <w:tcW w:w="1710" w:type="dxa"/>
            <w:vAlign w:val="bottom"/>
          </w:tcPr>
          <w:p w14:paraId="70220CB9" w14:textId="77777777" w:rsidR="00473FF2" w:rsidRPr="00473FF2" w:rsidRDefault="00473FF2" w:rsidP="00473FF2">
            <w:pPr>
              <w:tabs>
                <w:tab w:val="decimal" w:pos="1332"/>
              </w:tabs>
              <w:autoSpaceDE/>
              <w:autoSpaceDN/>
              <w:adjustRightInd/>
              <w:spacing w:after="0" w:line="240" w:lineRule="auto"/>
              <w:rPr>
                <w:rFonts w:ascii="Arial" w:hAnsi="Arial" w:cs="Arial"/>
                <w:color w:val="000000"/>
                <w:spacing w:val="-4"/>
                <w:sz w:val="20"/>
                <w:szCs w:val="20"/>
                <w:u w:val="single"/>
              </w:rPr>
            </w:pPr>
          </w:p>
        </w:tc>
      </w:tr>
      <w:tr w:rsidR="00473FF2" w:rsidRPr="00473FF2" w14:paraId="0311BE15" w14:textId="77777777" w:rsidTr="00473FF2">
        <w:tc>
          <w:tcPr>
            <w:tcW w:w="5760" w:type="dxa"/>
          </w:tcPr>
          <w:p w14:paraId="2593734A" w14:textId="77777777" w:rsidR="00473FF2" w:rsidRPr="00473FF2" w:rsidRDefault="00473FF2" w:rsidP="00473FF2">
            <w:pPr>
              <w:tabs>
                <w:tab w:val="left" w:pos="216"/>
                <w:tab w:val="left" w:pos="432"/>
                <w:tab w:val="left" w:pos="648"/>
              </w:tabs>
              <w:autoSpaceDE/>
              <w:autoSpaceDN/>
              <w:adjustRightInd/>
              <w:spacing w:after="0" w:line="240" w:lineRule="auto"/>
              <w:rPr>
                <w:rFonts w:ascii="Arial" w:hAnsi="Arial" w:cs="Arial"/>
                <w:color w:val="000000"/>
                <w:spacing w:val="-4"/>
                <w:sz w:val="20"/>
                <w:szCs w:val="20"/>
              </w:rPr>
            </w:pPr>
            <w:r w:rsidRPr="00473FF2">
              <w:rPr>
                <w:rFonts w:ascii="Arial" w:hAnsi="Arial" w:cs="Arial"/>
                <w:color w:val="000000"/>
                <w:spacing w:val="-4"/>
                <w:sz w:val="20"/>
                <w:szCs w:val="20"/>
              </w:rPr>
              <w:t>Cash dividends declared per share</w:t>
            </w:r>
          </w:p>
        </w:tc>
        <w:tc>
          <w:tcPr>
            <w:tcW w:w="1800" w:type="dxa"/>
            <w:vAlign w:val="bottom"/>
          </w:tcPr>
          <w:p w14:paraId="24BAB0E8" w14:textId="77777777" w:rsidR="00473FF2" w:rsidRPr="00473FF2" w:rsidRDefault="00473FF2" w:rsidP="00BF1FB5">
            <w:pPr>
              <w:tabs>
                <w:tab w:val="decimal" w:pos="1152"/>
              </w:tabs>
              <w:autoSpaceDE/>
              <w:autoSpaceDN/>
              <w:adjustRightInd/>
              <w:spacing w:after="0" w:line="240" w:lineRule="auto"/>
              <w:rPr>
                <w:rFonts w:ascii="Arial" w:hAnsi="Arial" w:cs="Arial"/>
                <w:color w:val="000000"/>
                <w:spacing w:val="-4"/>
                <w:sz w:val="20"/>
                <w:szCs w:val="20"/>
              </w:rPr>
            </w:pPr>
            <w:r w:rsidRPr="00473FF2">
              <w:rPr>
                <w:rFonts w:ascii="Arial" w:hAnsi="Arial" w:cs="Arial"/>
                <w:color w:val="000000"/>
                <w:spacing w:val="-4"/>
                <w:sz w:val="20"/>
                <w:szCs w:val="20"/>
              </w:rPr>
              <w:t>$</w:t>
            </w:r>
            <w:r w:rsidRPr="00473FF2">
              <w:rPr>
                <w:rFonts w:ascii="Arial" w:hAnsi="Arial" w:cs="Arial"/>
                <w:color w:val="000000"/>
                <w:spacing w:val="-4"/>
                <w:sz w:val="20"/>
                <w:szCs w:val="20"/>
                <w:u w:val="single"/>
              </w:rPr>
              <w:t>            0.10</w:t>
            </w:r>
          </w:p>
        </w:tc>
        <w:tc>
          <w:tcPr>
            <w:tcW w:w="1710" w:type="dxa"/>
            <w:vAlign w:val="bottom"/>
          </w:tcPr>
          <w:p w14:paraId="292171A6" w14:textId="77777777" w:rsidR="00473FF2" w:rsidRPr="00473FF2" w:rsidRDefault="00473FF2" w:rsidP="00BF1FB5">
            <w:pPr>
              <w:tabs>
                <w:tab w:val="decimal" w:pos="1062"/>
              </w:tabs>
              <w:autoSpaceDE/>
              <w:autoSpaceDN/>
              <w:adjustRightInd/>
              <w:spacing w:after="0" w:line="240" w:lineRule="auto"/>
              <w:rPr>
                <w:rFonts w:ascii="Arial" w:hAnsi="Arial" w:cs="Arial"/>
                <w:color w:val="000000"/>
                <w:spacing w:val="-4"/>
                <w:sz w:val="20"/>
                <w:szCs w:val="20"/>
                <w:u w:val="single"/>
              </w:rPr>
            </w:pPr>
            <w:r w:rsidRPr="00473FF2">
              <w:rPr>
                <w:rFonts w:ascii="Arial" w:hAnsi="Arial" w:cs="Arial"/>
                <w:color w:val="000000"/>
                <w:spacing w:val="-4"/>
                <w:sz w:val="20"/>
                <w:szCs w:val="20"/>
              </w:rPr>
              <w:t>$</w:t>
            </w:r>
            <w:r w:rsidRPr="00473FF2">
              <w:rPr>
                <w:rFonts w:ascii="Arial" w:hAnsi="Arial" w:cs="Arial"/>
                <w:color w:val="000000"/>
                <w:spacing w:val="-4"/>
                <w:sz w:val="20"/>
                <w:szCs w:val="20"/>
                <w:u w:val="single"/>
              </w:rPr>
              <w:t>              0.10</w:t>
            </w:r>
          </w:p>
        </w:tc>
      </w:tr>
      <w:tr w:rsidR="00473FF2" w:rsidRPr="00473FF2" w14:paraId="1984738E" w14:textId="77777777" w:rsidTr="00473FF2">
        <w:tc>
          <w:tcPr>
            <w:tcW w:w="5760" w:type="dxa"/>
          </w:tcPr>
          <w:p w14:paraId="5AB5D7C3" w14:textId="4F372F41" w:rsidR="00473FF2" w:rsidRPr="00473FF2" w:rsidRDefault="00473FF2" w:rsidP="00473FF2">
            <w:pPr>
              <w:tabs>
                <w:tab w:val="left" w:pos="216"/>
                <w:tab w:val="left" w:pos="432"/>
                <w:tab w:val="left" w:pos="648"/>
              </w:tabs>
              <w:autoSpaceDE/>
              <w:autoSpaceDN/>
              <w:adjustRightInd/>
              <w:spacing w:after="0" w:line="240" w:lineRule="auto"/>
              <w:rPr>
                <w:rFonts w:ascii="Arial" w:hAnsi="Arial" w:cs="Arial"/>
                <w:b/>
                <w:bCs/>
                <w:color w:val="000000"/>
                <w:spacing w:val="-4"/>
                <w:sz w:val="20"/>
                <w:szCs w:val="20"/>
              </w:rPr>
            </w:pPr>
          </w:p>
        </w:tc>
        <w:tc>
          <w:tcPr>
            <w:tcW w:w="1800" w:type="dxa"/>
            <w:vAlign w:val="bottom"/>
          </w:tcPr>
          <w:p w14:paraId="0D232D29" w14:textId="77777777" w:rsidR="00473FF2" w:rsidRPr="00473FF2" w:rsidRDefault="00473FF2" w:rsidP="00BF1FB5">
            <w:pPr>
              <w:tabs>
                <w:tab w:val="decimal" w:pos="1422"/>
              </w:tabs>
              <w:autoSpaceDE/>
              <w:autoSpaceDN/>
              <w:adjustRightInd/>
              <w:spacing w:after="0" w:line="240" w:lineRule="auto"/>
              <w:rPr>
                <w:rFonts w:ascii="Arial" w:hAnsi="Arial" w:cs="Arial"/>
                <w:bCs/>
                <w:color w:val="000000"/>
                <w:spacing w:val="-4"/>
                <w:sz w:val="20"/>
                <w:szCs w:val="20"/>
              </w:rPr>
            </w:pPr>
          </w:p>
        </w:tc>
        <w:tc>
          <w:tcPr>
            <w:tcW w:w="1710" w:type="dxa"/>
            <w:vAlign w:val="bottom"/>
          </w:tcPr>
          <w:p w14:paraId="198835CB" w14:textId="77777777" w:rsidR="00473FF2" w:rsidRPr="00473FF2" w:rsidRDefault="00473FF2" w:rsidP="00473FF2">
            <w:pPr>
              <w:tabs>
                <w:tab w:val="decimal" w:pos="1332"/>
              </w:tabs>
              <w:autoSpaceDE/>
              <w:autoSpaceDN/>
              <w:adjustRightInd/>
              <w:spacing w:after="0" w:line="240" w:lineRule="auto"/>
              <w:rPr>
                <w:rFonts w:ascii="Arial" w:hAnsi="Arial" w:cs="Arial"/>
                <w:bCs/>
                <w:color w:val="000000"/>
                <w:spacing w:val="-4"/>
                <w:sz w:val="20"/>
                <w:szCs w:val="20"/>
              </w:rPr>
            </w:pPr>
          </w:p>
        </w:tc>
      </w:tr>
      <w:tr w:rsidR="00473FF2" w:rsidRPr="00473FF2" w14:paraId="61D6D96F" w14:textId="77777777" w:rsidTr="00473FF2">
        <w:tc>
          <w:tcPr>
            <w:tcW w:w="5760" w:type="dxa"/>
          </w:tcPr>
          <w:p w14:paraId="0951DB04" w14:textId="77777777" w:rsidR="00473FF2" w:rsidRPr="00473FF2" w:rsidRDefault="00473FF2" w:rsidP="00473FF2">
            <w:pPr>
              <w:tabs>
                <w:tab w:val="left" w:pos="216"/>
                <w:tab w:val="left" w:pos="432"/>
                <w:tab w:val="left" w:pos="648"/>
              </w:tabs>
              <w:autoSpaceDE/>
              <w:autoSpaceDN/>
              <w:adjustRightInd/>
              <w:spacing w:after="0" w:line="240" w:lineRule="auto"/>
              <w:rPr>
                <w:rFonts w:ascii="Arial" w:hAnsi="Arial" w:cs="Arial"/>
                <w:color w:val="000000"/>
                <w:spacing w:val="-4"/>
                <w:sz w:val="20"/>
                <w:szCs w:val="20"/>
              </w:rPr>
            </w:pPr>
            <w:r w:rsidRPr="00473FF2">
              <w:rPr>
                <w:rFonts w:ascii="Arial" w:hAnsi="Arial" w:cs="Arial"/>
                <w:color w:val="000000"/>
                <w:spacing w:val="-4"/>
                <w:sz w:val="20"/>
                <w:szCs w:val="20"/>
              </w:rPr>
              <w:t>NET LOSS</w:t>
            </w:r>
          </w:p>
        </w:tc>
        <w:tc>
          <w:tcPr>
            <w:tcW w:w="1800" w:type="dxa"/>
            <w:vAlign w:val="bottom"/>
          </w:tcPr>
          <w:p w14:paraId="244BE66C" w14:textId="0815E3F0" w:rsidR="00473FF2" w:rsidRPr="00473FF2" w:rsidRDefault="00473FF2" w:rsidP="00BF1FB5">
            <w:pPr>
              <w:tabs>
                <w:tab w:val="decimal" w:pos="1422"/>
              </w:tabs>
              <w:autoSpaceDE/>
              <w:autoSpaceDN/>
              <w:adjustRightInd/>
              <w:spacing w:after="0" w:line="240" w:lineRule="auto"/>
              <w:rPr>
                <w:rFonts w:ascii="Arial" w:hAnsi="Arial" w:cs="Arial"/>
                <w:bCs/>
                <w:color w:val="000000"/>
                <w:spacing w:val="-4"/>
                <w:sz w:val="20"/>
                <w:szCs w:val="20"/>
              </w:rPr>
            </w:pPr>
            <w:r w:rsidRPr="00473FF2">
              <w:rPr>
                <w:rFonts w:ascii="Arial" w:hAnsi="Arial" w:cs="Arial"/>
                <w:color w:val="000000"/>
                <w:spacing w:val="-4"/>
                <w:sz w:val="20"/>
                <w:szCs w:val="20"/>
              </w:rPr>
              <w:t>$</w:t>
            </w:r>
            <w:r w:rsidRPr="00473FF2">
              <w:rPr>
                <w:rFonts w:ascii="Arial" w:hAnsi="Arial" w:cs="Arial"/>
                <w:color w:val="000000"/>
                <w:spacing w:val="-4"/>
                <w:sz w:val="20"/>
                <w:szCs w:val="20"/>
                <w:u w:val="single"/>
              </w:rPr>
              <w:t> (1,709,000)</w:t>
            </w:r>
          </w:p>
        </w:tc>
        <w:tc>
          <w:tcPr>
            <w:tcW w:w="1710" w:type="dxa"/>
            <w:vAlign w:val="bottom"/>
          </w:tcPr>
          <w:p w14:paraId="0ED37908" w14:textId="7E185F88" w:rsidR="00473FF2" w:rsidRPr="00473FF2" w:rsidRDefault="00473FF2" w:rsidP="00473FF2">
            <w:pPr>
              <w:tabs>
                <w:tab w:val="decimal" w:pos="1332"/>
              </w:tabs>
              <w:autoSpaceDE/>
              <w:autoSpaceDN/>
              <w:adjustRightInd/>
              <w:spacing w:after="0" w:line="240" w:lineRule="auto"/>
              <w:rPr>
                <w:rFonts w:ascii="Arial" w:hAnsi="Arial" w:cs="Arial"/>
                <w:bCs/>
                <w:color w:val="000000"/>
                <w:spacing w:val="-4"/>
                <w:sz w:val="20"/>
                <w:szCs w:val="20"/>
                <w:u w:val="single"/>
              </w:rPr>
            </w:pPr>
            <w:r w:rsidRPr="00473FF2">
              <w:rPr>
                <w:rFonts w:ascii="Arial" w:hAnsi="Arial" w:cs="Arial"/>
                <w:color w:val="000000"/>
                <w:spacing w:val="-4"/>
                <w:sz w:val="20"/>
                <w:szCs w:val="20"/>
              </w:rPr>
              <w:t>$</w:t>
            </w:r>
            <w:proofErr w:type="gramStart"/>
            <w:r w:rsidRPr="00473FF2">
              <w:rPr>
                <w:rFonts w:ascii="Arial" w:hAnsi="Arial" w:cs="Arial"/>
                <w:color w:val="000000"/>
                <w:spacing w:val="-4"/>
                <w:sz w:val="20"/>
                <w:szCs w:val="20"/>
                <w:u w:val="single"/>
              </w:rPr>
              <w:t>   (</w:t>
            </w:r>
            <w:proofErr w:type="gramEnd"/>
            <w:r w:rsidRPr="00473FF2">
              <w:rPr>
                <w:rFonts w:ascii="Arial" w:hAnsi="Arial" w:cs="Arial"/>
                <w:color w:val="000000"/>
                <w:spacing w:val="-4"/>
                <w:sz w:val="20"/>
                <w:szCs w:val="20"/>
                <w:u w:val="single"/>
              </w:rPr>
              <w:t>1,792,000)</w:t>
            </w:r>
          </w:p>
        </w:tc>
      </w:tr>
      <w:tr w:rsidR="00473FF2" w:rsidRPr="00473FF2" w14:paraId="13EBF81D" w14:textId="77777777" w:rsidTr="00473FF2">
        <w:tc>
          <w:tcPr>
            <w:tcW w:w="5760" w:type="dxa"/>
          </w:tcPr>
          <w:p w14:paraId="0A6053A4" w14:textId="77777777" w:rsidR="00473FF2" w:rsidRPr="00473FF2" w:rsidRDefault="00473FF2" w:rsidP="00473FF2">
            <w:pPr>
              <w:tabs>
                <w:tab w:val="left" w:pos="216"/>
                <w:tab w:val="left" w:pos="432"/>
                <w:tab w:val="left" w:pos="648"/>
              </w:tabs>
              <w:autoSpaceDE/>
              <w:autoSpaceDN/>
              <w:adjustRightInd/>
              <w:spacing w:after="0" w:line="240" w:lineRule="auto"/>
              <w:rPr>
                <w:rFonts w:ascii="Arial" w:hAnsi="Arial" w:cs="Arial"/>
                <w:color w:val="000000"/>
                <w:spacing w:val="-4"/>
                <w:sz w:val="20"/>
                <w:szCs w:val="20"/>
              </w:rPr>
            </w:pPr>
          </w:p>
        </w:tc>
        <w:tc>
          <w:tcPr>
            <w:tcW w:w="1800" w:type="dxa"/>
            <w:vAlign w:val="bottom"/>
          </w:tcPr>
          <w:p w14:paraId="2C7565AA" w14:textId="77777777" w:rsidR="00473FF2" w:rsidRPr="00473FF2" w:rsidRDefault="00473FF2" w:rsidP="00BF1FB5">
            <w:pPr>
              <w:tabs>
                <w:tab w:val="decimal" w:pos="1422"/>
              </w:tabs>
              <w:autoSpaceDE/>
              <w:autoSpaceDN/>
              <w:adjustRightInd/>
              <w:spacing w:after="0" w:line="240" w:lineRule="auto"/>
              <w:rPr>
                <w:rFonts w:ascii="Arial" w:hAnsi="Arial" w:cs="Arial"/>
                <w:bCs/>
                <w:color w:val="000000"/>
                <w:spacing w:val="-4"/>
                <w:sz w:val="20"/>
                <w:szCs w:val="20"/>
                <w:u w:val="double"/>
              </w:rPr>
            </w:pPr>
          </w:p>
        </w:tc>
        <w:tc>
          <w:tcPr>
            <w:tcW w:w="1710" w:type="dxa"/>
            <w:vAlign w:val="bottom"/>
          </w:tcPr>
          <w:p w14:paraId="2EC9EF3E" w14:textId="77777777" w:rsidR="00473FF2" w:rsidRPr="00473FF2" w:rsidRDefault="00473FF2" w:rsidP="00473FF2">
            <w:pPr>
              <w:tabs>
                <w:tab w:val="decimal" w:pos="1332"/>
              </w:tabs>
              <w:autoSpaceDE/>
              <w:autoSpaceDN/>
              <w:adjustRightInd/>
              <w:spacing w:after="0" w:line="240" w:lineRule="auto"/>
              <w:rPr>
                <w:rFonts w:ascii="Arial" w:hAnsi="Arial" w:cs="Arial"/>
                <w:bCs/>
                <w:color w:val="000000"/>
                <w:spacing w:val="-4"/>
                <w:sz w:val="20"/>
                <w:szCs w:val="20"/>
                <w:u w:val="double"/>
              </w:rPr>
            </w:pPr>
          </w:p>
        </w:tc>
      </w:tr>
      <w:tr w:rsidR="00473FF2" w:rsidRPr="00473FF2" w14:paraId="68E81650" w14:textId="77777777" w:rsidTr="00473FF2">
        <w:tc>
          <w:tcPr>
            <w:tcW w:w="5760" w:type="dxa"/>
          </w:tcPr>
          <w:p w14:paraId="5E9A3B2A" w14:textId="77777777" w:rsidR="00473FF2" w:rsidRPr="00473FF2" w:rsidRDefault="00473FF2" w:rsidP="00473FF2">
            <w:pPr>
              <w:tabs>
                <w:tab w:val="left" w:pos="216"/>
                <w:tab w:val="left" w:pos="432"/>
                <w:tab w:val="left" w:pos="648"/>
              </w:tabs>
              <w:autoSpaceDE/>
              <w:autoSpaceDN/>
              <w:adjustRightInd/>
              <w:spacing w:after="0" w:line="240" w:lineRule="auto"/>
              <w:rPr>
                <w:rFonts w:ascii="Arial" w:hAnsi="Arial" w:cs="Arial"/>
                <w:color w:val="000000"/>
                <w:spacing w:val="-4"/>
                <w:sz w:val="20"/>
                <w:szCs w:val="20"/>
              </w:rPr>
            </w:pPr>
            <w:r w:rsidRPr="00473FF2">
              <w:rPr>
                <w:rFonts w:ascii="Arial" w:hAnsi="Arial" w:cs="Arial"/>
                <w:color w:val="000000"/>
                <w:spacing w:val="-4"/>
                <w:sz w:val="20"/>
                <w:szCs w:val="20"/>
              </w:rPr>
              <w:t>OTHER COMPREHENSIVE INCOME (LOSS):</w:t>
            </w:r>
          </w:p>
        </w:tc>
        <w:tc>
          <w:tcPr>
            <w:tcW w:w="1800" w:type="dxa"/>
            <w:vAlign w:val="bottom"/>
          </w:tcPr>
          <w:p w14:paraId="5DDC90CC" w14:textId="77777777" w:rsidR="00473FF2" w:rsidRPr="00473FF2" w:rsidRDefault="00473FF2" w:rsidP="00BF1FB5">
            <w:pPr>
              <w:tabs>
                <w:tab w:val="decimal" w:pos="1422"/>
              </w:tabs>
              <w:autoSpaceDE/>
              <w:autoSpaceDN/>
              <w:adjustRightInd/>
              <w:spacing w:after="0" w:line="240" w:lineRule="auto"/>
              <w:rPr>
                <w:rFonts w:ascii="Arial" w:hAnsi="Arial" w:cs="Arial"/>
                <w:bCs/>
                <w:color w:val="000000"/>
                <w:spacing w:val="-4"/>
                <w:sz w:val="20"/>
                <w:szCs w:val="20"/>
                <w:u w:val="double"/>
              </w:rPr>
            </w:pPr>
          </w:p>
        </w:tc>
        <w:tc>
          <w:tcPr>
            <w:tcW w:w="1710" w:type="dxa"/>
            <w:vAlign w:val="bottom"/>
          </w:tcPr>
          <w:p w14:paraId="71ABDA71" w14:textId="77777777" w:rsidR="00473FF2" w:rsidRPr="00473FF2" w:rsidRDefault="00473FF2" w:rsidP="00473FF2">
            <w:pPr>
              <w:tabs>
                <w:tab w:val="decimal" w:pos="1332"/>
              </w:tabs>
              <w:autoSpaceDE/>
              <w:autoSpaceDN/>
              <w:adjustRightInd/>
              <w:spacing w:after="0" w:line="240" w:lineRule="auto"/>
              <w:rPr>
                <w:rFonts w:ascii="Arial" w:hAnsi="Arial" w:cs="Arial"/>
                <w:bCs/>
                <w:color w:val="000000"/>
                <w:spacing w:val="-4"/>
                <w:sz w:val="20"/>
                <w:szCs w:val="20"/>
                <w:u w:val="double"/>
              </w:rPr>
            </w:pPr>
          </w:p>
        </w:tc>
      </w:tr>
      <w:tr w:rsidR="00473FF2" w:rsidRPr="00473FF2" w14:paraId="2ED8C3F3" w14:textId="77777777" w:rsidTr="00473FF2">
        <w:tc>
          <w:tcPr>
            <w:tcW w:w="5760" w:type="dxa"/>
          </w:tcPr>
          <w:p w14:paraId="2AACDF3E" w14:textId="0E32D58D" w:rsidR="00473FF2" w:rsidRPr="00473FF2" w:rsidRDefault="00473FF2" w:rsidP="00473FF2">
            <w:pPr>
              <w:tabs>
                <w:tab w:val="left" w:pos="216"/>
                <w:tab w:val="left" w:pos="432"/>
                <w:tab w:val="left" w:pos="648"/>
              </w:tabs>
              <w:autoSpaceDE/>
              <w:autoSpaceDN/>
              <w:adjustRightInd/>
              <w:spacing w:after="0" w:line="240" w:lineRule="auto"/>
              <w:rPr>
                <w:rFonts w:ascii="Arial" w:hAnsi="Arial" w:cs="Arial"/>
                <w:color w:val="000000"/>
                <w:spacing w:val="-4"/>
                <w:sz w:val="20"/>
                <w:szCs w:val="20"/>
              </w:rPr>
            </w:pPr>
            <w:r w:rsidRPr="00473FF2">
              <w:rPr>
                <w:rFonts w:ascii="Arial" w:hAnsi="Arial" w:cs="Arial"/>
                <w:color w:val="000000"/>
                <w:spacing w:val="-4"/>
                <w:sz w:val="20"/>
                <w:szCs w:val="20"/>
              </w:rPr>
              <w:tab/>
              <w:t>Net unrealized holding gain (loss) on corporate bonds</w:t>
            </w:r>
            <w:r w:rsidR="00BF1FB5">
              <w:rPr>
                <w:rFonts w:ascii="Arial" w:hAnsi="Arial" w:cs="Arial"/>
                <w:color w:val="000000"/>
                <w:spacing w:val="-4"/>
                <w:sz w:val="20"/>
                <w:szCs w:val="20"/>
              </w:rPr>
              <w:br/>
              <w:t>   </w:t>
            </w:r>
            <w:r w:rsidRPr="00473FF2">
              <w:rPr>
                <w:rFonts w:ascii="Arial" w:hAnsi="Arial" w:cs="Arial"/>
                <w:color w:val="000000"/>
                <w:spacing w:val="-4"/>
                <w:sz w:val="20"/>
                <w:szCs w:val="20"/>
              </w:rPr>
              <w:t xml:space="preserve"> and notes arising during the year, net of tax</w:t>
            </w:r>
          </w:p>
        </w:tc>
        <w:tc>
          <w:tcPr>
            <w:tcW w:w="1800" w:type="dxa"/>
            <w:vAlign w:val="bottom"/>
          </w:tcPr>
          <w:p w14:paraId="44FD21BE" w14:textId="77777777" w:rsidR="00473FF2" w:rsidRPr="00473FF2" w:rsidRDefault="00473FF2" w:rsidP="00BF1FB5">
            <w:pPr>
              <w:tabs>
                <w:tab w:val="decimal" w:pos="1422"/>
              </w:tabs>
              <w:autoSpaceDE/>
              <w:autoSpaceDN/>
              <w:adjustRightInd/>
              <w:spacing w:after="0" w:line="240" w:lineRule="auto"/>
              <w:rPr>
                <w:rFonts w:ascii="Arial" w:hAnsi="Arial" w:cs="Arial"/>
                <w:bCs/>
                <w:color w:val="000000"/>
                <w:spacing w:val="-4"/>
                <w:sz w:val="20"/>
                <w:szCs w:val="20"/>
                <w:u w:val="single"/>
              </w:rPr>
            </w:pPr>
          </w:p>
          <w:p w14:paraId="3E045628" w14:textId="77777777" w:rsidR="00473FF2" w:rsidRPr="00473FF2" w:rsidRDefault="00473FF2" w:rsidP="00BF1FB5">
            <w:pPr>
              <w:tabs>
                <w:tab w:val="decimal" w:pos="1422"/>
              </w:tabs>
              <w:autoSpaceDE/>
              <w:autoSpaceDN/>
              <w:adjustRightInd/>
              <w:spacing w:after="0" w:line="240" w:lineRule="auto"/>
              <w:rPr>
                <w:rFonts w:ascii="Arial" w:hAnsi="Arial" w:cs="Arial"/>
                <w:bCs/>
                <w:color w:val="000000"/>
                <w:spacing w:val="-4"/>
                <w:sz w:val="20"/>
                <w:szCs w:val="20"/>
                <w:u w:val="single"/>
              </w:rPr>
            </w:pPr>
            <w:r w:rsidRPr="00473FF2">
              <w:rPr>
                <w:rFonts w:ascii="Arial" w:hAnsi="Arial" w:cs="Arial"/>
                <w:color w:val="000000"/>
                <w:spacing w:val="-4"/>
                <w:sz w:val="20"/>
                <w:szCs w:val="20"/>
                <w:u w:val="single"/>
              </w:rPr>
              <w:t>       (89,000)</w:t>
            </w:r>
          </w:p>
        </w:tc>
        <w:tc>
          <w:tcPr>
            <w:tcW w:w="1710" w:type="dxa"/>
            <w:vAlign w:val="bottom"/>
          </w:tcPr>
          <w:p w14:paraId="476A1818" w14:textId="77777777" w:rsidR="00473FF2" w:rsidRPr="00473FF2" w:rsidRDefault="00473FF2" w:rsidP="00473FF2">
            <w:pPr>
              <w:tabs>
                <w:tab w:val="decimal" w:pos="1332"/>
              </w:tabs>
              <w:autoSpaceDE/>
              <w:autoSpaceDN/>
              <w:adjustRightInd/>
              <w:spacing w:after="0" w:line="240" w:lineRule="auto"/>
              <w:rPr>
                <w:rFonts w:ascii="Arial" w:hAnsi="Arial" w:cs="Arial"/>
                <w:bCs/>
                <w:color w:val="000000"/>
                <w:spacing w:val="-4"/>
                <w:sz w:val="20"/>
                <w:szCs w:val="20"/>
                <w:u w:val="single"/>
              </w:rPr>
            </w:pPr>
          </w:p>
          <w:p w14:paraId="4C2B2935" w14:textId="77777777" w:rsidR="00473FF2" w:rsidRPr="00473FF2" w:rsidRDefault="00473FF2" w:rsidP="00473FF2">
            <w:pPr>
              <w:tabs>
                <w:tab w:val="decimal" w:pos="1332"/>
              </w:tabs>
              <w:autoSpaceDE/>
              <w:autoSpaceDN/>
              <w:adjustRightInd/>
              <w:spacing w:after="0" w:line="240" w:lineRule="auto"/>
              <w:rPr>
                <w:rFonts w:ascii="Arial" w:hAnsi="Arial" w:cs="Arial"/>
                <w:bCs/>
                <w:color w:val="000000"/>
                <w:spacing w:val="-4"/>
                <w:sz w:val="20"/>
                <w:szCs w:val="20"/>
                <w:u w:val="single"/>
              </w:rPr>
            </w:pPr>
            <w:r w:rsidRPr="00473FF2">
              <w:rPr>
                <w:rFonts w:ascii="Arial" w:hAnsi="Arial" w:cs="Arial"/>
                <w:color w:val="000000"/>
                <w:spacing w:val="-4"/>
                <w:sz w:val="20"/>
                <w:szCs w:val="20"/>
                <w:u w:val="single"/>
              </w:rPr>
              <w:t>       160,000</w:t>
            </w:r>
          </w:p>
        </w:tc>
      </w:tr>
      <w:tr w:rsidR="00473FF2" w:rsidRPr="00473FF2" w14:paraId="3994AB13" w14:textId="77777777" w:rsidTr="00473FF2">
        <w:tc>
          <w:tcPr>
            <w:tcW w:w="5760" w:type="dxa"/>
          </w:tcPr>
          <w:p w14:paraId="4CE2181E" w14:textId="77777777" w:rsidR="00473FF2" w:rsidRPr="00473FF2" w:rsidRDefault="00473FF2" w:rsidP="00473FF2">
            <w:pPr>
              <w:tabs>
                <w:tab w:val="left" w:pos="216"/>
                <w:tab w:val="left" w:pos="432"/>
                <w:tab w:val="left" w:pos="648"/>
              </w:tabs>
              <w:autoSpaceDE/>
              <w:autoSpaceDN/>
              <w:adjustRightInd/>
              <w:spacing w:after="0" w:line="240" w:lineRule="auto"/>
              <w:rPr>
                <w:rFonts w:ascii="Arial" w:hAnsi="Arial" w:cs="Arial"/>
                <w:color w:val="000000"/>
                <w:spacing w:val="-4"/>
                <w:sz w:val="20"/>
                <w:szCs w:val="20"/>
              </w:rPr>
            </w:pPr>
          </w:p>
        </w:tc>
        <w:tc>
          <w:tcPr>
            <w:tcW w:w="1800" w:type="dxa"/>
            <w:vAlign w:val="bottom"/>
          </w:tcPr>
          <w:p w14:paraId="18C424BF" w14:textId="77777777" w:rsidR="00473FF2" w:rsidRPr="00473FF2" w:rsidRDefault="00473FF2" w:rsidP="00BF1FB5">
            <w:pPr>
              <w:tabs>
                <w:tab w:val="decimal" w:pos="1422"/>
              </w:tabs>
              <w:autoSpaceDE/>
              <w:autoSpaceDN/>
              <w:adjustRightInd/>
              <w:spacing w:after="0" w:line="240" w:lineRule="auto"/>
              <w:rPr>
                <w:rFonts w:ascii="Arial" w:hAnsi="Arial" w:cs="Arial"/>
                <w:bCs/>
                <w:color w:val="000000"/>
                <w:spacing w:val="-4"/>
                <w:sz w:val="20"/>
                <w:szCs w:val="20"/>
                <w:u w:val="double"/>
              </w:rPr>
            </w:pPr>
          </w:p>
        </w:tc>
        <w:tc>
          <w:tcPr>
            <w:tcW w:w="1710" w:type="dxa"/>
            <w:vAlign w:val="bottom"/>
          </w:tcPr>
          <w:p w14:paraId="37C271CE" w14:textId="77777777" w:rsidR="00473FF2" w:rsidRPr="00473FF2" w:rsidRDefault="00473FF2" w:rsidP="00473FF2">
            <w:pPr>
              <w:tabs>
                <w:tab w:val="decimal" w:pos="1332"/>
              </w:tabs>
              <w:autoSpaceDE/>
              <w:autoSpaceDN/>
              <w:adjustRightInd/>
              <w:spacing w:after="0" w:line="240" w:lineRule="auto"/>
              <w:rPr>
                <w:rFonts w:ascii="Arial" w:hAnsi="Arial" w:cs="Arial"/>
                <w:bCs/>
                <w:color w:val="000000"/>
                <w:spacing w:val="-4"/>
                <w:sz w:val="20"/>
                <w:szCs w:val="20"/>
                <w:u w:val="double"/>
              </w:rPr>
            </w:pPr>
          </w:p>
        </w:tc>
      </w:tr>
      <w:tr w:rsidR="00473FF2" w:rsidRPr="00473FF2" w14:paraId="1167A3F2" w14:textId="77777777" w:rsidTr="00473FF2">
        <w:trPr>
          <w:trHeight w:val="87"/>
        </w:trPr>
        <w:tc>
          <w:tcPr>
            <w:tcW w:w="5760" w:type="dxa"/>
          </w:tcPr>
          <w:p w14:paraId="1773DD6F" w14:textId="77777777" w:rsidR="00473FF2" w:rsidRPr="00473FF2" w:rsidRDefault="00473FF2" w:rsidP="00473FF2">
            <w:pPr>
              <w:tabs>
                <w:tab w:val="left" w:pos="216"/>
                <w:tab w:val="left" w:pos="432"/>
                <w:tab w:val="left" w:pos="648"/>
              </w:tabs>
              <w:autoSpaceDE/>
              <w:autoSpaceDN/>
              <w:adjustRightInd/>
              <w:spacing w:after="0" w:line="240" w:lineRule="auto"/>
              <w:rPr>
                <w:rFonts w:ascii="Arial" w:hAnsi="Arial" w:cs="Arial"/>
                <w:color w:val="000000"/>
                <w:spacing w:val="-4"/>
                <w:sz w:val="20"/>
                <w:szCs w:val="20"/>
              </w:rPr>
            </w:pPr>
            <w:r w:rsidRPr="00473FF2">
              <w:rPr>
                <w:rFonts w:ascii="Arial" w:hAnsi="Arial" w:cs="Arial"/>
                <w:color w:val="000000"/>
                <w:spacing w:val="-4"/>
                <w:sz w:val="20"/>
                <w:szCs w:val="20"/>
              </w:rPr>
              <w:t>COMPREHENSIVE LOSS</w:t>
            </w:r>
          </w:p>
        </w:tc>
        <w:tc>
          <w:tcPr>
            <w:tcW w:w="1800" w:type="dxa"/>
            <w:vAlign w:val="bottom"/>
          </w:tcPr>
          <w:p w14:paraId="5302A385" w14:textId="77777777" w:rsidR="00473FF2" w:rsidRPr="00473FF2" w:rsidRDefault="00473FF2" w:rsidP="00BF1FB5">
            <w:pPr>
              <w:tabs>
                <w:tab w:val="decimal" w:pos="1422"/>
              </w:tabs>
              <w:autoSpaceDE/>
              <w:autoSpaceDN/>
              <w:adjustRightInd/>
              <w:spacing w:after="0" w:line="240" w:lineRule="auto"/>
              <w:rPr>
                <w:rFonts w:ascii="Arial" w:hAnsi="Arial" w:cs="Arial"/>
                <w:bCs/>
                <w:color w:val="000000"/>
                <w:spacing w:val="-4"/>
                <w:sz w:val="20"/>
                <w:szCs w:val="20"/>
                <w:u w:val="double"/>
              </w:rPr>
            </w:pPr>
            <w:proofErr w:type="gramStart"/>
            <w:r w:rsidRPr="00473FF2">
              <w:rPr>
                <w:rFonts w:ascii="Arial" w:hAnsi="Arial" w:cs="Arial"/>
                <w:color w:val="000000"/>
                <w:spacing w:val="-4"/>
                <w:sz w:val="20"/>
                <w:szCs w:val="20"/>
              </w:rPr>
              <w:t>$</w:t>
            </w:r>
            <w:r w:rsidRPr="00473FF2">
              <w:rPr>
                <w:rFonts w:ascii="Arial" w:hAnsi="Arial" w:cs="Arial"/>
                <w:color w:val="000000"/>
                <w:spacing w:val="-4"/>
                <w:sz w:val="20"/>
                <w:szCs w:val="20"/>
                <w:u w:val="single"/>
              </w:rPr>
              <w:t>  (</w:t>
            </w:r>
            <w:proofErr w:type="gramEnd"/>
            <w:r w:rsidRPr="00473FF2">
              <w:rPr>
                <w:rFonts w:ascii="Arial" w:hAnsi="Arial" w:cs="Arial"/>
                <w:color w:val="000000"/>
                <w:spacing w:val="-4"/>
                <w:sz w:val="20"/>
                <w:szCs w:val="20"/>
                <w:u w:val="single"/>
              </w:rPr>
              <w:t>1,798,000 )</w:t>
            </w:r>
          </w:p>
        </w:tc>
        <w:tc>
          <w:tcPr>
            <w:tcW w:w="1710" w:type="dxa"/>
            <w:vAlign w:val="bottom"/>
          </w:tcPr>
          <w:p w14:paraId="27480800" w14:textId="77777777" w:rsidR="00473FF2" w:rsidRPr="00473FF2" w:rsidRDefault="00473FF2" w:rsidP="00473FF2">
            <w:pPr>
              <w:tabs>
                <w:tab w:val="decimal" w:pos="1332"/>
              </w:tabs>
              <w:autoSpaceDE/>
              <w:autoSpaceDN/>
              <w:adjustRightInd/>
              <w:spacing w:after="0" w:line="240" w:lineRule="auto"/>
              <w:rPr>
                <w:rFonts w:ascii="Arial" w:hAnsi="Arial" w:cs="Arial"/>
                <w:bCs/>
                <w:color w:val="000000"/>
                <w:spacing w:val="-4"/>
                <w:sz w:val="20"/>
                <w:szCs w:val="20"/>
                <w:u w:val="double"/>
              </w:rPr>
            </w:pPr>
            <w:r w:rsidRPr="00473FF2">
              <w:rPr>
                <w:rFonts w:ascii="Arial" w:hAnsi="Arial" w:cs="Arial"/>
                <w:color w:val="000000"/>
                <w:spacing w:val="-4"/>
                <w:sz w:val="20"/>
                <w:szCs w:val="20"/>
              </w:rPr>
              <w:t>$</w:t>
            </w:r>
            <w:r w:rsidRPr="00473FF2">
              <w:rPr>
                <w:rFonts w:ascii="Arial" w:hAnsi="Arial" w:cs="Arial"/>
                <w:color w:val="000000"/>
                <w:spacing w:val="-4"/>
                <w:sz w:val="20"/>
                <w:szCs w:val="20"/>
                <w:u w:val="single"/>
              </w:rPr>
              <w:t> </w:t>
            </w:r>
            <w:proofErr w:type="gramStart"/>
            <w:r w:rsidRPr="00473FF2">
              <w:rPr>
                <w:rFonts w:ascii="Arial" w:hAnsi="Arial" w:cs="Arial"/>
                <w:color w:val="000000"/>
                <w:spacing w:val="-4"/>
                <w:sz w:val="20"/>
                <w:szCs w:val="20"/>
                <w:u w:val="single"/>
              </w:rPr>
              <w:t>   (</w:t>
            </w:r>
            <w:proofErr w:type="gramEnd"/>
            <w:r w:rsidRPr="00473FF2">
              <w:rPr>
                <w:rFonts w:ascii="Arial" w:hAnsi="Arial" w:cs="Arial"/>
                <w:color w:val="000000"/>
                <w:spacing w:val="-4"/>
                <w:sz w:val="20"/>
                <w:szCs w:val="20"/>
                <w:u w:val="single"/>
              </w:rPr>
              <w:t>1,632,000)</w:t>
            </w:r>
          </w:p>
        </w:tc>
      </w:tr>
    </w:tbl>
    <w:p w14:paraId="791A40A6" w14:textId="77777777" w:rsidR="00473FF2" w:rsidRDefault="00473FF2">
      <w:pPr>
        <w:rPr>
          <w:i/>
          <w:iCs/>
        </w:rPr>
        <w:sectPr w:rsidR="00473FF2" w:rsidSect="00CF6B13">
          <w:pgSz w:w="12240" w:h="15840"/>
          <w:pgMar w:top="720" w:right="1728" w:bottom="720" w:left="1728" w:header="720" w:footer="518" w:gutter="0"/>
          <w:cols w:space="720"/>
          <w:noEndnote/>
          <w:titlePg/>
          <w:docGrid w:linePitch="299"/>
        </w:sectPr>
      </w:pPr>
      <w:bookmarkStart w:id="17" w:name="_DV_M29"/>
      <w:bookmarkStart w:id="18" w:name="_DV_M30"/>
      <w:bookmarkStart w:id="19" w:name="_DV_M33"/>
      <w:bookmarkEnd w:id="17"/>
      <w:bookmarkEnd w:id="18"/>
      <w:bookmarkEnd w:id="19"/>
    </w:p>
    <w:p w14:paraId="00CEBC45" w14:textId="77777777" w:rsidR="0039632F" w:rsidRDefault="0039632F" w:rsidP="0039632F">
      <w:pPr>
        <w:rPr>
          <w:rFonts w:ascii="Times New Roman" w:hAnsi="Times New Roman"/>
          <w:b/>
          <w:sz w:val="20"/>
          <w:szCs w:val="20"/>
        </w:rPr>
      </w:pPr>
      <w:r>
        <w:rPr>
          <w:rFonts w:ascii="Times New Roman" w:hAnsi="Times New Roman"/>
          <w:b/>
          <w:color w:val="000000"/>
          <w:sz w:val="20"/>
          <w:szCs w:val="20"/>
        </w:rPr>
        <w:lastRenderedPageBreak/>
        <w:t>Condensed Consolidated Balance Sheet as of December 31, 2020</w:t>
      </w:r>
    </w:p>
    <w:p w14:paraId="161960A9" w14:textId="77777777" w:rsidR="0039632F" w:rsidRDefault="0039632F" w:rsidP="0039632F">
      <w:pPr>
        <w:spacing w:after="0" w:line="240" w:lineRule="auto"/>
        <w:jc w:val="both"/>
        <w:rPr>
          <w:rFonts w:ascii="Times New Roman" w:hAnsi="Times New Roman"/>
          <w:b/>
          <w:sz w:val="20"/>
          <w:szCs w:val="20"/>
        </w:rPr>
      </w:pPr>
    </w:p>
    <w:p w14:paraId="669DF2B5" w14:textId="77777777" w:rsidR="0039632F" w:rsidRDefault="0039632F" w:rsidP="0039632F">
      <w:pPr>
        <w:spacing w:after="0" w:line="240" w:lineRule="auto"/>
        <w:jc w:val="both"/>
        <w:rPr>
          <w:rFonts w:ascii="Times New Roman" w:hAnsi="Times New Roman"/>
          <w:b/>
          <w:sz w:val="20"/>
          <w:szCs w:val="20"/>
        </w:rPr>
      </w:pPr>
    </w:p>
    <w:tbl>
      <w:tblPr>
        <w:tblW w:w="0" w:type="auto"/>
        <w:tblLayout w:type="fixed"/>
        <w:tblCellMar>
          <w:left w:w="30" w:type="dxa"/>
          <w:right w:w="30" w:type="dxa"/>
        </w:tblCellMar>
        <w:tblLook w:val="0000" w:firstRow="0" w:lastRow="0" w:firstColumn="0" w:lastColumn="0" w:noHBand="0" w:noVBand="0"/>
      </w:tblPr>
      <w:tblGrid>
        <w:gridCol w:w="5834"/>
        <w:gridCol w:w="316"/>
        <w:gridCol w:w="1440"/>
      </w:tblGrid>
      <w:tr w:rsidR="0039632F" w14:paraId="220DBECF" w14:textId="77777777" w:rsidTr="00543794">
        <w:trPr>
          <w:trHeight w:val="305"/>
        </w:trPr>
        <w:tc>
          <w:tcPr>
            <w:tcW w:w="5834" w:type="dxa"/>
            <w:tcBorders>
              <w:top w:val="nil"/>
              <w:left w:val="nil"/>
              <w:bottom w:val="nil"/>
              <w:right w:val="nil"/>
            </w:tcBorders>
          </w:tcPr>
          <w:p w14:paraId="547501C0" w14:textId="77777777" w:rsidR="0039632F" w:rsidRDefault="0039632F" w:rsidP="00543794">
            <w:pPr>
              <w:spacing w:after="0" w:line="240" w:lineRule="auto"/>
              <w:rPr>
                <w:rFonts w:ascii="Times New Roman" w:hAnsi="Times New Roman"/>
                <w:color w:val="000000"/>
                <w:sz w:val="20"/>
                <w:szCs w:val="20"/>
              </w:rPr>
            </w:pPr>
          </w:p>
          <w:p w14:paraId="27D10BCD" w14:textId="77777777" w:rsidR="0039632F" w:rsidRDefault="0039632F" w:rsidP="00543794">
            <w:pPr>
              <w:spacing w:after="0" w:line="240" w:lineRule="auto"/>
              <w:rPr>
                <w:rFonts w:ascii="Times New Roman" w:hAnsi="Times New Roman"/>
                <w:color w:val="000000"/>
                <w:sz w:val="20"/>
                <w:szCs w:val="20"/>
              </w:rPr>
            </w:pPr>
            <w:r>
              <w:rPr>
                <w:rFonts w:ascii="Times New Roman" w:hAnsi="Times New Roman"/>
                <w:color w:val="000000"/>
                <w:sz w:val="20"/>
                <w:szCs w:val="20"/>
              </w:rPr>
              <w:t>Cash and cash equivalents</w:t>
            </w:r>
          </w:p>
        </w:tc>
        <w:tc>
          <w:tcPr>
            <w:tcW w:w="316" w:type="dxa"/>
            <w:tcBorders>
              <w:top w:val="nil"/>
              <w:left w:val="nil"/>
              <w:bottom w:val="nil"/>
              <w:right w:val="nil"/>
            </w:tcBorders>
          </w:tcPr>
          <w:p w14:paraId="19BE8447" w14:textId="77777777" w:rsidR="0039632F" w:rsidRDefault="0039632F" w:rsidP="00543794">
            <w:pPr>
              <w:spacing w:after="0" w:line="240" w:lineRule="auto"/>
              <w:jc w:val="right"/>
              <w:rPr>
                <w:rFonts w:ascii="Times New Roman" w:hAnsi="Times New Roman"/>
                <w:color w:val="000000"/>
                <w:sz w:val="20"/>
                <w:szCs w:val="20"/>
              </w:rPr>
            </w:pPr>
          </w:p>
          <w:p w14:paraId="3CE5523D" w14:textId="77777777" w:rsidR="0039632F" w:rsidRDefault="0039632F" w:rsidP="00543794">
            <w:pPr>
              <w:spacing w:after="0" w:line="240" w:lineRule="auto"/>
              <w:jc w:val="right"/>
              <w:rPr>
                <w:rFonts w:ascii="Times New Roman" w:hAnsi="Times New Roman"/>
                <w:color w:val="000000"/>
                <w:sz w:val="20"/>
                <w:szCs w:val="20"/>
              </w:rPr>
            </w:pPr>
            <w:r>
              <w:rPr>
                <w:rFonts w:ascii="Times New Roman" w:hAnsi="Times New Roman"/>
                <w:color w:val="000000"/>
                <w:sz w:val="20"/>
                <w:szCs w:val="20"/>
              </w:rPr>
              <w:t>$</w:t>
            </w:r>
          </w:p>
        </w:tc>
        <w:tc>
          <w:tcPr>
            <w:tcW w:w="1440" w:type="dxa"/>
            <w:tcBorders>
              <w:top w:val="nil"/>
              <w:left w:val="nil"/>
              <w:bottom w:val="double" w:sz="4" w:space="0" w:color="auto"/>
              <w:right w:val="nil"/>
            </w:tcBorders>
          </w:tcPr>
          <w:p w14:paraId="4490BBB6" w14:textId="77777777" w:rsidR="0039632F" w:rsidRDefault="0039632F" w:rsidP="00543794">
            <w:pPr>
              <w:tabs>
                <w:tab w:val="decimal" w:pos="1152"/>
              </w:tabs>
              <w:spacing w:after="0" w:line="240" w:lineRule="auto"/>
              <w:rPr>
                <w:rFonts w:ascii="Times New Roman" w:hAnsi="Times New Roman"/>
                <w:color w:val="000000"/>
                <w:sz w:val="20"/>
                <w:szCs w:val="20"/>
              </w:rPr>
            </w:pPr>
          </w:p>
          <w:p w14:paraId="7F7E0EE1" w14:textId="77777777" w:rsidR="0039632F" w:rsidRDefault="0039632F" w:rsidP="00543794">
            <w:pPr>
              <w:tabs>
                <w:tab w:val="decimal" w:pos="1152"/>
              </w:tabs>
              <w:spacing w:after="0" w:line="240" w:lineRule="auto"/>
              <w:rPr>
                <w:rFonts w:ascii="Times New Roman" w:hAnsi="Times New Roman"/>
                <w:color w:val="000000"/>
                <w:sz w:val="20"/>
                <w:szCs w:val="20"/>
              </w:rPr>
            </w:pPr>
            <w:r>
              <w:rPr>
                <w:rFonts w:ascii="Times New Roman" w:hAnsi="Times New Roman"/>
                <w:color w:val="000000"/>
                <w:sz w:val="20"/>
                <w:szCs w:val="20"/>
              </w:rPr>
              <w:t xml:space="preserve">25,505,000 </w:t>
            </w:r>
          </w:p>
        </w:tc>
      </w:tr>
      <w:tr w:rsidR="0039632F" w14:paraId="1277C71F" w14:textId="77777777" w:rsidTr="00543794">
        <w:trPr>
          <w:trHeight w:val="115"/>
        </w:trPr>
        <w:tc>
          <w:tcPr>
            <w:tcW w:w="5834" w:type="dxa"/>
            <w:tcBorders>
              <w:top w:val="nil"/>
              <w:left w:val="nil"/>
              <w:bottom w:val="nil"/>
              <w:right w:val="nil"/>
            </w:tcBorders>
          </w:tcPr>
          <w:p w14:paraId="045DC26D" w14:textId="77777777" w:rsidR="0039632F" w:rsidRDefault="0039632F" w:rsidP="00543794">
            <w:pPr>
              <w:spacing w:after="0" w:line="240" w:lineRule="auto"/>
              <w:jc w:val="right"/>
              <w:rPr>
                <w:rFonts w:ascii="Times New Roman" w:hAnsi="Times New Roman"/>
                <w:color w:val="000000"/>
                <w:sz w:val="20"/>
                <w:szCs w:val="20"/>
              </w:rPr>
            </w:pPr>
          </w:p>
        </w:tc>
        <w:tc>
          <w:tcPr>
            <w:tcW w:w="316" w:type="dxa"/>
            <w:tcBorders>
              <w:top w:val="nil"/>
              <w:left w:val="nil"/>
              <w:bottom w:val="nil"/>
              <w:right w:val="nil"/>
            </w:tcBorders>
          </w:tcPr>
          <w:p w14:paraId="1BF87E0E" w14:textId="77777777" w:rsidR="0039632F" w:rsidRDefault="0039632F" w:rsidP="00543794">
            <w:pPr>
              <w:spacing w:after="0" w:line="240" w:lineRule="auto"/>
              <w:jc w:val="right"/>
              <w:rPr>
                <w:rFonts w:ascii="Times New Roman" w:hAnsi="Times New Roman"/>
                <w:color w:val="000000"/>
                <w:sz w:val="20"/>
                <w:szCs w:val="20"/>
              </w:rPr>
            </w:pPr>
          </w:p>
        </w:tc>
        <w:tc>
          <w:tcPr>
            <w:tcW w:w="1440" w:type="dxa"/>
            <w:tcBorders>
              <w:top w:val="double" w:sz="4" w:space="0" w:color="auto"/>
              <w:left w:val="nil"/>
              <w:bottom w:val="nil"/>
              <w:right w:val="nil"/>
            </w:tcBorders>
          </w:tcPr>
          <w:p w14:paraId="2708AA3E" w14:textId="77777777" w:rsidR="0039632F" w:rsidRDefault="0039632F" w:rsidP="00543794">
            <w:pPr>
              <w:tabs>
                <w:tab w:val="decimal" w:pos="1152"/>
              </w:tabs>
              <w:spacing w:after="0" w:line="240" w:lineRule="auto"/>
              <w:rPr>
                <w:rFonts w:ascii="Times New Roman" w:hAnsi="Times New Roman"/>
                <w:color w:val="000000"/>
                <w:sz w:val="20"/>
                <w:szCs w:val="20"/>
              </w:rPr>
            </w:pPr>
          </w:p>
        </w:tc>
      </w:tr>
      <w:tr w:rsidR="0039632F" w14:paraId="5807FAC0" w14:textId="77777777" w:rsidTr="00543794">
        <w:trPr>
          <w:trHeight w:val="305"/>
        </w:trPr>
        <w:tc>
          <w:tcPr>
            <w:tcW w:w="5834" w:type="dxa"/>
            <w:tcBorders>
              <w:top w:val="nil"/>
              <w:left w:val="nil"/>
              <w:bottom w:val="nil"/>
              <w:right w:val="nil"/>
            </w:tcBorders>
          </w:tcPr>
          <w:p w14:paraId="181EA563" w14:textId="77777777" w:rsidR="0039632F" w:rsidRDefault="0039632F" w:rsidP="00543794">
            <w:pPr>
              <w:spacing w:after="0" w:line="240" w:lineRule="auto"/>
              <w:rPr>
                <w:rFonts w:ascii="Times New Roman" w:hAnsi="Times New Roman"/>
                <w:color w:val="000000"/>
                <w:sz w:val="20"/>
                <w:szCs w:val="20"/>
              </w:rPr>
            </w:pPr>
            <w:bookmarkStart w:id="20" w:name="_Hlk4765071"/>
            <w:r>
              <w:rPr>
                <w:rFonts w:ascii="Times New Roman" w:hAnsi="Times New Roman"/>
                <w:color w:val="000000"/>
                <w:sz w:val="20"/>
                <w:szCs w:val="20"/>
              </w:rPr>
              <w:t>Marketable securities</w:t>
            </w:r>
          </w:p>
        </w:tc>
        <w:tc>
          <w:tcPr>
            <w:tcW w:w="316" w:type="dxa"/>
            <w:tcBorders>
              <w:top w:val="nil"/>
              <w:left w:val="nil"/>
              <w:bottom w:val="nil"/>
              <w:right w:val="nil"/>
            </w:tcBorders>
          </w:tcPr>
          <w:p w14:paraId="6ABB987C" w14:textId="77777777" w:rsidR="0039632F" w:rsidRDefault="0039632F" w:rsidP="00543794">
            <w:pPr>
              <w:spacing w:after="0" w:line="240" w:lineRule="auto"/>
              <w:jc w:val="right"/>
              <w:rPr>
                <w:rFonts w:ascii="Times New Roman" w:hAnsi="Times New Roman"/>
                <w:color w:val="000000"/>
                <w:sz w:val="20"/>
                <w:szCs w:val="20"/>
              </w:rPr>
            </w:pPr>
            <w:r>
              <w:rPr>
                <w:rFonts w:ascii="Times New Roman" w:hAnsi="Times New Roman"/>
                <w:color w:val="000000"/>
                <w:sz w:val="20"/>
                <w:szCs w:val="20"/>
              </w:rPr>
              <w:t>$</w:t>
            </w:r>
          </w:p>
        </w:tc>
        <w:tc>
          <w:tcPr>
            <w:tcW w:w="1440" w:type="dxa"/>
            <w:tcBorders>
              <w:top w:val="nil"/>
              <w:left w:val="nil"/>
              <w:bottom w:val="double" w:sz="4" w:space="0" w:color="auto"/>
              <w:right w:val="nil"/>
            </w:tcBorders>
          </w:tcPr>
          <w:p w14:paraId="39D5BEDD" w14:textId="77777777" w:rsidR="0039632F" w:rsidRDefault="0039632F" w:rsidP="00543794">
            <w:pPr>
              <w:tabs>
                <w:tab w:val="decimal" w:pos="1152"/>
              </w:tabs>
              <w:spacing w:after="0" w:line="240" w:lineRule="auto"/>
              <w:rPr>
                <w:rFonts w:ascii="Times New Roman" w:hAnsi="Times New Roman"/>
                <w:color w:val="000000"/>
                <w:sz w:val="20"/>
                <w:szCs w:val="20"/>
              </w:rPr>
            </w:pPr>
            <w:r>
              <w:rPr>
                <w:rFonts w:ascii="Times New Roman" w:hAnsi="Times New Roman"/>
                <w:color w:val="000000"/>
                <w:sz w:val="20"/>
                <w:szCs w:val="20"/>
              </w:rPr>
              <w:t xml:space="preserve">19,366,000 </w:t>
            </w:r>
          </w:p>
        </w:tc>
      </w:tr>
      <w:tr w:rsidR="0039632F" w14:paraId="0842807F" w14:textId="77777777" w:rsidTr="00543794">
        <w:trPr>
          <w:trHeight w:val="305"/>
        </w:trPr>
        <w:tc>
          <w:tcPr>
            <w:tcW w:w="5834" w:type="dxa"/>
            <w:tcBorders>
              <w:top w:val="nil"/>
              <w:left w:val="nil"/>
              <w:bottom w:val="nil"/>
              <w:right w:val="nil"/>
            </w:tcBorders>
          </w:tcPr>
          <w:p w14:paraId="452B891E" w14:textId="77777777" w:rsidR="0039632F" w:rsidRDefault="0039632F" w:rsidP="00543794">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  </w:t>
            </w:r>
          </w:p>
          <w:p w14:paraId="323816EC" w14:textId="77777777" w:rsidR="0039632F" w:rsidRDefault="0039632F" w:rsidP="00543794">
            <w:pPr>
              <w:spacing w:after="0" w:line="240" w:lineRule="auto"/>
              <w:rPr>
                <w:rFonts w:ascii="Times New Roman" w:hAnsi="Times New Roman"/>
                <w:color w:val="000000"/>
                <w:sz w:val="20"/>
                <w:szCs w:val="20"/>
              </w:rPr>
            </w:pPr>
            <w:r>
              <w:rPr>
                <w:rFonts w:ascii="Times New Roman" w:hAnsi="Times New Roman"/>
                <w:color w:val="000000"/>
                <w:sz w:val="20"/>
                <w:szCs w:val="20"/>
              </w:rPr>
              <w:t>Total current assets</w:t>
            </w:r>
          </w:p>
        </w:tc>
        <w:tc>
          <w:tcPr>
            <w:tcW w:w="316" w:type="dxa"/>
            <w:tcBorders>
              <w:top w:val="nil"/>
              <w:left w:val="nil"/>
              <w:bottom w:val="nil"/>
              <w:right w:val="nil"/>
            </w:tcBorders>
          </w:tcPr>
          <w:p w14:paraId="2CD4191A" w14:textId="77777777" w:rsidR="0039632F" w:rsidRDefault="0039632F" w:rsidP="00543794">
            <w:pPr>
              <w:spacing w:after="0" w:line="240" w:lineRule="auto"/>
              <w:jc w:val="right"/>
              <w:rPr>
                <w:rFonts w:ascii="Times New Roman" w:hAnsi="Times New Roman"/>
                <w:color w:val="000000"/>
                <w:sz w:val="20"/>
                <w:szCs w:val="20"/>
              </w:rPr>
            </w:pPr>
            <w:r>
              <w:rPr>
                <w:rFonts w:ascii="Times New Roman" w:hAnsi="Times New Roman"/>
                <w:color w:val="000000"/>
                <w:sz w:val="20"/>
                <w:szCs w:val="20"/>
              </w:rPr>
              <w:t xml:space="preserve">  </w:t>
            </w:r>
          </w:p>
          <w:p w14:paraId="5FD3CB37" w14:textId="77777777" w:rsidR="0039632F" w:rsidRDefault="0039632F" w:rsidP="00543794">
            <w:pPr>
              <w:spacing w:after="0" w:line="240" w:lineRule="auto"/>
              <w:jc w:val="right"/>
              <w:rPr>
                <w:rFonts w:ascii="Times New Roman" w:hAnsi="Times New Roman"/>
                <w:color w:val="000000"/>
                <w:sz w:val="20"/>
                <w:szCs w:val="20"/>
              </w:rPr>
            </w:pPr>
            <w:r>
              <w:rPr>
                <w:rFonts w:ascii="Times New Roman" w:hAnsi="Times New Roman"/>
                <w:color w:val="000000"/>
                <w:sz w:val="20"/>
                <w:szCs w:val="20"/>
              </w:rPr>
              <w:t>$</w:t>
            </w:r>
          </w:p>
        </w:tc>
        <w:tc>
          <w:tcPr>
            <w:tcW w:w="1440" w:type="dxa"/>
            <w:tcBorders>
              <w:top w:val="nil"/>
              <w:left w:val="nil"/>
              <w:bottom w:val="double" w:sz="4" w:space="0" w:color="auto"/>
              <w:right w:val="nil"/>
            </w:tcBorders>
          </w:tcPr>
          <w:p w14:paraId="5B27F5D7" w14:textId="77777777" w:rsidR="0039632F" w:rsidRDefault="0039632F" w:rsidP="00543794">
            <w:pPr>
              <w:tabs>
                <w:tab w:val="decimal" w:pos="1152"/>
              </w:tabs>
              <w:spacing w:after="0" w:line="240" w:lineRule="auto"/>
              <w:rPr>
                <w:rFonts w:ascii="Times New Roman" w:hAnsi="Times New Roman"/>
                <w:color w:val="000000"/>
                <w:sz w:val="20"/>
                <w:szCs w:val="20"/>
              </w:rPr>
            </w:pPr>
          </w:p>
          <w:p w14:paraId="270F126C" w14:textId="77777777" w:rsidR="0039632F" w:rsidRDefault="0039632F" w:rsidP="00543794">
            <w:pPr>
              <w:tabs>
                <w:tab w:val="decimal" w:pos="1152"/>
              </w:tabs>
              <w:spacing w:after="0" w:line="240" w:lineRule="auto"/>
              <w:rPr>
                <w:rFonts w:ascii="Times New Roman" w:hAnsi="Times New Roman"/>
                <w:color w:val="000000"/>
                <w:sz w:val="20"/>
                <w:szCs w:val="20"/>
              </w:rPr>
            </w:pPr>
            <w:r>
              <w:rPr>
                <w:rFonts w:ascii="Times New Roman" w:hAnsi="Times New Roman"/>
                <w:color w:val="000000"/>
                <w:sz w:val="20"/>
                <w:szCs w:val="20"/>
              </w:rPr>
              <w:t xml:space="preserve">44,991,000 </w:t>
            </w:r>
          </w:p>
        </w:tc>
      </w:tr>
      <w:bookmarkEnd w:id="20"/>
      <w:tr w:rsidR="0039632F" w14:paraId="6FED4291" w14:textId="77777777" w:rsidTr="00543794">
        <w:trPr>
          <w:trHeight w:val="158"/>
        </w:trPr>
        <w:tc>
          <w:tcPr>
            <w:tcW w:w="5834" w:type="dxa"/>
            <w:tcBorders>
              <w:top w:val="nil"/>
              <w:left w:val="nil"/>
              <w:bottom w:val="nil"/>
              <w:right w:val="nil"/>
            </w:tcBorders>
          </w:tcPr>
          <w:p w14:paraId="7A4831A5" w14:textId="77777777" w:rsidR="0039632F" w:rsidRDefault="0039632F" w:rsidP="00543794">
            <w:pPr>
              <w:spacing w:after="0" w:line="240" w:lineRule="auto"/>
              <w:jc w:val="right"/>
              <w:rPr>
                <w:rFonts w:ascii="Times New Roman" w:hAnsi="Times New Roman"/>
                <w:color w:val="000000"/>
                <w:sz w:val="20"/>
                <w:szCs w:val="20"/>
              </w:rPr>
            </w:pPr>
          </w:p>
        </w:tc>
        <w:tc>
          <w:tcPr>
            <w:tcW w:w="316" w:type="dxa"/>
            <w:tcBorders>
              <w:top w:val="nil"/>
              <w:left w:val="nil"/>
              <w:bottom w:val="nil"/>
              <w:right w:val="nil"/>
            </w:tcBorders>
          </w:tcPr>
          <w:p w14:paraId="3EA578E8" w14:textId="77777777" w:rsidR="0039632F" w:rsidRDefault="0039632F" w:rsidP="00543794">
            <w:pPr>
              <w:spacing w:after="0" w:line="240" w:lineRule="auto"/>
              <w:jc w:val="right"/>
              <w:rPr>
                <w:rFonts w:ascii="Times New Roman" w:hAnsi="Times New Roman"/>
                <w:color w:val="000000"/>
                <w:sz w:val="20"/>
                <w:szCs w:val="20"/>
              </w:rPr>
            </w:pPr>
          </w:p>
        </w:tc>
        <w:tc>
          <w:tcPr>
            <w:tcW w:w="1440" w:type="dxa"/>
            <w:tcBorders>
              <w:top w:val="double" w:sz="4" w:space="0" w:color="auto"/>
              <w:left w:val="nil"/>
              <w:bottom w:val="nil"/>
              <w:right w:val="nil"/>
            </w:tcBorders>
          </w:tcPr>
          <w:p w14:paraId="6D1C40C2" w14:textId="77777777" w:rsidR="0039632F" w:rsidRDefault="0039632F" w:rsidP="00543794">
            <w:pPr>
              <w:tabs>
                <w:tab w:val="decimal" w:pos="1152"/>
              </w:tabs>
              <w:spacing w:after="0" w:line="240" w:lineRule="auto"/>
              <w:rPr>
                <w:rFonts w:ascii="Times New Roman" w:hAnsi="Times New Roman"/>
                <w:color w:val="000000"/>
                <w:sz w:val="20"/>
                <w:szCs w:val="20"/>
              </w:rPr>
            </w:pPr>
          </w:p>
        </w:tc>
      </w:tr>
      <w:tr w:rsidR="0039632F" w14:paraId="574D3A2E" w14:textId="77777777" w:rsidTr="00543794">
        <w:trPr>
          <w:trHeight w:val="305"/>
        </w:trPr>
        <w:tc>
          <w:tcPr>
            <w:tcW w:w="5834" w:type="dxa"/>
            <w:tcBorders>
              <w:top w:val="nil"/>
              <w:left w:val="nil"/>
              <w:bottom w:val="nil"/>
              <w:right w:val="nil"/>
            </w:tcBorders>
          </w:tcPr>
          <w:p w14:paraId="7C1FAAAF" w14:textId="77777777" w:rsidR="0039632F" w:rsidRDefault="0039632F" w:rsidP="00543794">
            <w:pPr>
              <w:spacing w:after="0" w:line="240" w:lineRule="auto"/>
              <w:rPr>
                <w:rFonts w:ascii="Times New Roman" w:hAnsi="Times New Roman"/>
                <w:color w:val="000000"/>
                <w:sz w:val="20"/>
                <w:szCs w:val="20"/>
              </w:rPr>
            </w:pPr>
            <w:r>
              <w:rPr>
                <w:rFonts w:ascii="Times New Roman" w:hAnsi="Times New Roman"/>
                <w:color w:val="000000"/>
                <w:sz w:val="20"/>
                <w:szCs w:val="20"/>
              </w:rPr>
              <w:t>Total assets</w:t>
            </w:r>
          </w:p>
        </w:tc>
        <w:tc>
          <w:tcPr>
            <w:tcW w:w="316" w:type="dxa"/>
            <w:tcBorders>
              <w:top w:val="nil"/>
              <w:left w:val="nil"/>
              <w:bottom w:val="nil"/>
              <w:right w:val="nil"/>
            </w:tcBorders>
          </w:tcPr>
          <w:p w14:paraId="65E3FF12" w14:textId="77777777" w:rsidR="0039632F" w:rsidRDefault="0039632F" w:rsidP="00543794">
            <w:pPr>
              <w:spacing w:after="0" w:line="240" w:lineRule="auto"/>
              <w:jc w:val="right"/>
              <w:rPr>
                <w:rFonts w:ascii="Times New Roman" w:hAnsi="Times New Roman"/>
                <w:color w:val="000000"/>
                <w:sz w:val="20"/>
                <w:szCs w:val="20"/>
              </w:rPr>
            </w:pPr>
            <w:r>
              <w:rPr>
                <w:rFonts w:ascii="Times New Roman" w:hAnsi="Times New Roman"/>
                <w:color w:val="000000"/>
                <w:sz w:val="20"/>
                <w:szCs w:val="20"/>
              </w:rPr>
              <w:t>$</w:t>
            </w:r>
          </w:p>
        </w:tc>
        <w:tc>
          <w:tcPr>
            <w:tcW w:w="1440" w:type="dxa"/>
            <w:tcBorders>
              <w:top w:val="nil"/>
              <w:left w:val="nil"/>
              <w:bottom w:val="double" w:sz="4" w:space="0" w:color="auto"/>
              <w:right w:val="nil"/>
            </w:tcBorders>
          </w:tcPr>
          <w:p w14:paraId="76BD4D59" w14:textId="77777777" w:rsidR="0039632F" w:rsidRDefault="0039632F" w:rsidP="00543794">
            <w:pPr>
              <w:tabs>
                <w:tab w:val="decimal" w:pos="1152"/>
              </w:tabs>
              <w:spacing w:after="0" w:line="240" w:lineRule="auto"/>
              <w:rPr>
                <w:rFonts w:ascii="Times New Roman" w:hAnsi="Times New Roman"/>
                <w:color w:val="000000"/>
                <w:sz w:val="20"/>
                <w:szCs w:val="20"/>
              </w:rPr>
            </w:pPr>
            <w:r>
              <w:rPr>
                <w:rFonts w:ascii="Times New Roman" w:hAnsi="Times New Roman"/>
                <w:color w:val="000000"/>
                <w:sz w:val="20"/>
                <w:szCs w:val="20"/>
              </w:rPr>
              <w:t xml:space="preserve">51,194,000 </w:t>
            </w:r>
          </w:p>
        </w:tc>
      </w:tr>
      <w:tr w:rsidR="0039632F" w14:paraId="349B38CA" w14:textId="77777777" w:rsidTr="00543794">
        <w:trPr>
          <w:trHeight w:val="247"/>
        </w:trPr>
        <w:tc>
          <w:tcPr>
            <w:tcW w:w="5834" w:type="dxa"/>
            <w:tcBorders>
              <w:top w:val="nil"/>
              <w:left w:val="nil"/>
              <w:bottom w:val="nil"/>
              <w:right w:val="nil"/>
            </w:tcBorders>
          </w:tcPr>
          <w:p w14:paraId="48BDD173" w14:textId="77777777" w:rsidR="0039632F" w:rsidRDefault="0039632F" w:rsidP="00543794">
            <w:pPr>
              <w:spacing w:after="0" w:line="240" w:lineRule="auto"/>
              <w:jc w:val="right"/>
              <w:rPr>
                <w:rFonts w:ascii="Times New Roman" w:hAnsi="Times New Roman"/>
                <w:color w:val="000000"/>
                <w:sz w:val="20"/>
                <w:szCs w:val="20"/>
              </w:rPr>
            </w:pPr>
          </w:p>
        </w:tc>
        <w:tc>
          <w:tcPr>
            <w:tcW w:w="316" w:type="dxa"/>
            <w:tcBorders>
              <w:top w:val="nil"/>
              <w:left w:val="nil"/>
              <w:bottom w:val="nil"/>
              <w:right w:val="nil"/>
            </w:tcBorders>
          </w:tcPr>
          <w:p w14:paraId="35190158" w14:textId="77777777" w:rsidR="0039632F" w:rsidRDefault="0039632F" w:rsidP="00543794">
            <w:pPr>
              <w:spacing w:after="0" w:line="240" w:lineRule="auto"/>
              <w:jc w:val="right"/>
              <w:rPr>
                <w:rFonts w:ascii="Times New Roman" w:hAnsi="Times New Roman"/>
                <w:color w:val="000000"/>
                <w:sz w:val="20"/>
                <w:szCs w:val="20"/>
              </w:rPr>
            </w:pPr>
          </w:p>
        </w:tc>
        <w:tc>
          <w:tcPr>
            <w:tcW w:w="1440" w:type="dxa"/>
            <w:tcBorders>
              <w:top w:val="double" w:sz="4" w:space="0" w:color="auto"/>
              <w:left w:val="nil"/>
              <w:bottom w:val="nil"/>
              <w:right w:val="nil"/>
            </w:tcBorders>
          </w:tcPr>
          <w:p w14:paraId="1B555B45" w14:textId="77777777" w:rsidR="0039632F" w:rsidRDefault="0039632F" w:rsidP="00543794">
            <w:pPr>
              <w:tabs>
                <w:tab w:val="decimal" w:pos="1152"/>
              </w:tabs>
              <w:spacing w:after="0" w:line="240" w:lineRule="auto"/>
              <w:rPr>
                <w:rFonts w:ascii="Times New Roman" w:hAnsi="Times New Roman"/>
                <w:color w:val="000000"/>
                <w:sz w:val="20"/>
                <w:szCs w:val="20"/>
              </w:rPr>
            </w:pPr>
          </w:p>
        </w:tc>
      </w:tr>
      <w:tr w:rsidR="0039632F" w14:paraId="4519E70D" w14:textId="77777777" w:rsidTr="00543794">
        <w:trPr>
          <w:trHeight w:val="305"/>
        </w:trPr>
        <w:tc>
          <w:tcPr>
            <w:tcW w:w="5834" w:type="dxa"/>
            <w:tcBorders>
              <w:top w:val="nil"/>
              <w:left w:val="nil"/>
              <w:bottom w:val="nil"/>
              <w:right w:val="nil"/>
            </w:tcBorders>
          </w:tcPr>
          <w:p w14:paraId="41DE653D" w14:textId="77777777" w:rsidR="0039632F" w:rsidRDefault="0039632F" w:rsidP="00543794">
            <w:pPr>
              <w:spacing w:after="0" w:line="240" w:lineRule="auto"/>
              <w:rPr>
                <w:rFonts w:ascii="Times New Roman" w:hAnsi="Times New Roman"/>
                <w:color w:val="000000"/>
                <w:sz w:val="20"/>
                <w:szCs w:val="20"/>
              </w:rPr>
            </w:pPr>
            <w:r>
              <w:rPr>
                <w:rFonts w:ascii="Times New Roman" w:hAnsi="Times New Roman"/>
                <w:color w:val="000000"/>
                <w:sz w:val="20"/>
                <w:szCs w:val="20"/>
              </w:rPr>
              <w:t>Total current liabilities</w:t>
            </w:r>
          </w:p>
        </w:tc>
        <w:tc>
          <w:tcPr>
            <w:tcW w:w="316" w:type="dxa"/>
            <w:tcBorders>
              <w:top w:val="nil"/>
              <w:left w:val="nil"/>
              <w:bottom w:val="nil"/>
              <w:right w:val="nil"/>
            </w:tcBorders>
          </w:tcPr>
          <w:p w14:paraId="0BDEB66C" w14:textId="77777777" w:rsidR="0039632F" w:rsidRDefault="0039632F" w:rsidP="00543794">
            <w:pPr>
              <w:spacing w:after="0" w:line="240" w:lineRule="auto"/>
              <w:jc w:val="right"/>
              <w:rPr>
                <w:rFonts w:ascii="Times New Roman" w:hAnsi="Times New Roman"/>
                <w:color w:val="000000"/>
                <w:sz w:val="20"/>
                <w:szCs w:val="20"/>
              </w:rPr>
            </w:pPr>
            <w:r>
              <w:rPr>
                <w:rFonts w:ascii="Times New Roman" w:hAnsi="Times New Roman"/>
                <w:color w:val="000000"/>
                <w:sz w:val="20"/>
                <w:szCs w:val="20"/>
              </w:rPr>
              <w:t>$</w:t>
            </w:r>
          </w:p>
        </w:tc>
        <w:tc>
          <w:tcPr>
            <w:tcW w:w="1440" w:type="dxa"/>
            <w:tcBorders>
              <w:top w:val="nil"/>
              <w:left w:val="nil"/>
              <w:bottom w:val="double" w:sz="4" w:space="0" w:color="auto"/>
              <w:right w:val="nil"/>
            </w:tcBorders>
          </w:tcPr>
          <w:p w14:paraId="7A08F7DE" w14:textId="77777777" w:rsidR="0039632F" w:rsidRDefault="0039632F" w:rsidP="00543794">
            <w:pPr>
              <w:tabs>
                <w:tab w:val="decimal" w:pos="1152"/>
              </w:tabs>
              <w:spacing w:after="0" w:line="240" w:lineRule="auto"/>
              <w:rPr>
                <w:rFonts w:ascii="Times New Roman" w:hAnsi="Times New Roman"/>
                <w:color w:val="000000"/>
                <w:sz w:val="20"/>
                <w:szCs w:val="20"/>
              </w:rPr>
            </w:pPr>
            <w:r>
              <w:rPr>
                <w:rFonts w:ascii="Times New Roman" w:hAnsi="Times New Roman"/>
                <w:color w:val="000000"/>
                <w:sz w:val="20"/>
                <w:szCs w:val="20"/>
              </w:rPr>
              <w:t xml:space="preserve">2,032,000 </w:t>
            </w:r>
          </w:p>
        </w:tc>
      </w:tr>
      <w:tr w:rsidR="0039632F" w14:paraId="46C86E89" w14:textId="77777777" w:rsidTr="00543794">
        <w:trPr>
          <w:trHeight w:val="262"/>
        </w:trPr>
        <w:tc>
          <w:tcPr>
            <w:tcW w:w="5834" w:type="dxa"/>
            <w:tcBorders>
              <w:top w:val="nil"/>
              <w:left w:val="nil"/>
              <w:bottom w:val="nil"/>
              <w:right w:val="nil"/>
            </w:tcBorders>
          </w:tcPr>
          <w:p w14:paraId="0DC1AAAD" w14:textId="77777777" w:rsidR="0039632F" w:rsidRDefault="0039632F" w:rsidP="00543794">
            <w:pPr>
              <w:spacing w:after="0" w:line="240" w:lineRule="auto"/>
              <w:jc w:val="right"/>
              <w:rPr>
                <w:rFonts w:ascii="Times New Roman" w:hAnsi="Times New Roman"/>
                <w:color w:val="000000"/>
                <w:sz w:val="20"/>
                <w:szCs w:val="20"/>
              </w:rPr>
            </w:pPr>
          </w:p>
        </w:tc>
        <w:tc>
          <w:tcPr>
            <w:tcW w:w="316" w:type="dxa"/>
            <w:tcBorders>
              <w:top w:val="nil"/>
              <w:left w:val="nil"/>
              <w:bottom w:val="nil"/>
              <w:right w:val="nil"/>
            </w:tcBorders>
          </w:tcPr>
          <w:p w14:paraId="59BD773A" w14:textId="77777777" w:rsidR="0039632F" w:rsidRDefault="0039632F" w:rsidP="00543794">
            <w:pPr>
              <w:spacing w:after="0" w:line="240" w:lineRule="auto"/>
              <w:jc w:val="right"/>
              <w:rPr>
                <w:rFonts w:ascii="Times New Roman" w:hAnsi="Times New Roman"/>
                <w:color w:val="000000"/>
                <w:sz w:val="20"/>
                <w:szCs w:val="20"/>
              </w:rPr>
            </w:pPr>
          </w:p>
        </w:tc>
        <w:tc>
          <w:tcPr>
            <w:tcW w:w="1440" w:type="dxa"/>
            <w:tcBorders>
              <w:top w:val="double" w:sz="4" w:space="0" w:color="auto"/>
              <w:left w:val="nil"/>
              <w:bottom w:val="nil"/>
              <w:right w:val="nil"/>
            </w:tcBorders>
          </w:tcPr>
          <w:p w14:paraId="5493D7BE" w14:textId="77777777" w:rsidR="0039632F" w:rsidRDefault="0039632F" w:rsidP="00543794">
            <w:pPr>
              <w:tabs>
                <w:tab w:val="decimal" w:pos="1152"/>
              </w:tabs>
              <w:spacing w:after="0" w:line="240" w:lineRule="auto"/>
              <w:rPr>
                <w:rFonts w:ascii="Times New Roman" w:hAnsi="Times New Roman"/>
                <w:color w:val="000000"/>
                <w:sz w:val="20"/>
                <w:szCs w:val="20"/>
              </w:rPr>
            </w:pPr>
          </w:p>
        </w:tc>
      </w:tr>
      <w:tr w:rsidR="0039632F" w14:paraId="2BF17D72" w14:textId="77777777" w:rsidTr="00543794">
        <w:trPr>
          <w:trHeight w:val="305"/>
        </w:trPr>
        <w:tc>
          <w:tcPr>
            <w:tcW w:w="5834" w:type="dxa"/>
            <w:tcBorders>
              <w:top w:val="nil"/>
              <w:left w:val="nil"/>
              <w:bottom w:val="nil"/>
              <w:right w:val="nil"/>
            </w:tcBorders>
          </w:tcPr>
          <w:p w14:paraId="124567CC" w14:textId="77777777" w:rsidR="0039632F" w:rsidRDefault="0039632F" w:rsidP="00543794">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Total </w:t>
            </w:r>
            <w:proofErr w:type="gramStart"/>
            <w:r>
              <w:rPr>
                <w:rFonts w:ascii="Times New Roman" w:hAnsi="Times New Roman"/>
                <w:color w:val="000000"/>
                <w:sz w:val="20"/>
                <w:szCs w:val="20"/>
              </w:rPr>
              <w:t>long term</w:t>
            </w:r>
            <w:proofErr w:type="gramEnd"/>
            <w:r>
              <w:rPr>
                <w:rFonts w:ascii="Times New Roman" w:hAnsi="Times New Roman"/>
                <w:color w:val="000000"/>
                <w:sz w:val="20"/>
                <w:szCs w:val="20"/>
              </w:rPr>
              <w:t xml:space="preserve"> liabilities</w:t>
            </w:r>
          </w:p>
        </w:tc>
        <w:tc>
          <w:tcPr>
            <w:tcW w:w="316" w:type="dxa"/>
            <w:tcBorders>
              <w:top w:val="nil"/>
              <w:left w:val="nil"/>
              <w:bottom w:val="nil"/>
              <w:right w:val="nil"/>
            </w:tcBorders>
          </w:tcPr>
          <w:p w14:paraId="0BABB16A" w14:textId="77777777" w:rsidR="0039632F" w:rsidRDefault="0039632F" w:rsidP="00543794">
            <w:pPr>
              <w:spacing w:after="0" w:line="240" w:lineRule="auto"/>
              <w:jc w:val="right"/>
              <w:rPr>
                <w:rFonts w:ascii="Times New Roman" w:hAnsi="Times New Roman"/>
                <w:color w:val="000000"/>
                <w:sz w:val="20"/>
                <w:szCs w:val="20"/>
              </w:rPr>
            </w:pPr>
            <w:r>
              <w:rPr>
                <w:rFonts w:ascii="Times New Roman" w:hAnsi="Times New Roman"/>
                <w:color w:val="000000"/>
                <w:sz w:val="20"/>
                <w:szCs w:val="20"/>
              </w:rPr>
              <w:t>$</w:t>
            </w:r>
          </w:p>
        </w:tc>
        <w:tc>
          <w:tcPr>
            <w:tcW w:w="1440" w:type="dxa"/>
            <w:tcBorders>
              <w:top w:val="nil"/>
              <w:left w:val="nil"/>
              <w:bottom w:val="double" w:sz="4" w:space="0" w:color="auto"/>
              <w:right w:val="nil"/>
            </w:tcBorders>
          </w:tcPr>
          <w:p w14:paraId="54C1DABE" w14:textId="77777777" w:rsidR="0039632F" w:rsidRDefault="0039632F" w:rsidP="00543794">
            <w:pPr>
              <w:tabs>
                <w:tab w:val="decimal" w:pos="1152"/>
              </w:tabs>
              <w:spacing w:after="0" w:line="240" w:lineRule="auto"/>
              <w:rPr>
                <w:rFonts w:ascii="Times New Roman" w:hAnsi="Times New Roman"/>
                <w:color w:val="000000"/>
                <w:sz w:val="20"/>
                <w:szCs w:val="20"/>
              </w:rPr>
            </w:pPr>
            <w:r>
              <w:rPr>
                <w:rFonts w:ascii="Times New Roman" w:hAnsi="Times New Roman"/>
                <w:color w:val="000000"/>
                <w:sz w:val="20"/>
                <w:szCs w:val="20"/>
              </w:rPr>
              <w:t>-0-</w:t>
            </w:r>
          </w:p>
        </w:tc>
      </w:tr>
      <w:tr w:rsidR="0039632F" w14:paraId="5EE368AB" w14:textId="77777777" w:rsidTr="00543794">
        <w:trPr>
          <w:trHeight w:val="262"/>
        </w:trPr>
        <w:tc>
          <w:tcPr>
            <w:tcW w:w="5834" w:type="dxa"/>
            <w:tcBorders>
              <w:top w:val="nil"/>
              <w:left w:val="nil"/>
              <w:bottom w:val="nil"/>
              <w:right w:val="nil"/>
            </w:tcBorders>
          </w:tcPr>
          <w:p w14:paraId="6A6650C2" w14:textId="77777777" w:rsidR="0039632F" w:rsidRDefault="0039632F" w:rsidP="00543794">
            <w:pPr>
              <w:spacing w:after="0" w:line="240" w:lineRule="auto"/>
              <w:jc w:val="right"/>
              <w:rPr>
                <w:rFonts w:ascii="Times New Roman" w:hAnsi="Times New Roman"/>
                <w:color w:val="000000"/>
                <w:sz w:val="20"/>
                <w:szCs w:val="20"/>
              </w:rPr>
            </w:pPr>
          </w:p>
        </w:tc>
        <w:tc>
          <w:tcPr>
            <w:tcW w:w="316" w:type="dxa"/>
            <w:tcBorders>
              <w:top w:val="nil"/>
              <w:left w:val="nil"/>
              <w:bottom w:val="nil"/>
              <w:right w:val="nil"/>
            </w:tcBorders>
          </w:tcPr>
          <w:p w14:paraId="72351437" w14:textId="77777777" w:rsidR="0039632F" w:rsidRDefault="0039632F" w:rsidP="00543794">
            <w:pPr>
              <w:spacing w:after="0" w:line="240" w:lineRule="auto"/>
              <w:jc w:val="right"/>
              <w:rPr>
                <w:rFonts w:ascii="Times New Roman" w:hAnsi="Times New Roman"/>
                <w:color w:val="000000"/>
                <w:sz w:val="20"/>
                <w:szCs w:val="20"/>
              </w:rPr>
            </w:pPr>
          </w:p>
        </w:tc>
        <w:tc>
          <w:tcPr>
            <w:tcW w:w="1440" w:type="dxa"/>
            <w:tcBorders>
              <w:top w:val="double" w:sz="4" w:space="0" w:color="auto"/>
              <w:left w:val="nil"/>
              <w:bottom w:val="nil"/>
              <w:right w:val="nil"/>
            </w:tcBorders>
          </w:tcPr>
          <w:p w14:paraId="795577D7" w14:textId="77777777" w:rsidR="0039632F" w:rsidRDefault="0039632F" w:rsidP="00543794">
            <w:pPr>
              <w:tabs>
                <w:tab w:val="decimal" w:pos="1152"/>
              </w:tabs>
              <w:spacing w:after="0" w:line="240" w:lineRule="auto"/>
              <w:rPr>
                <w:rFonts w:ascii="Times New Roman" w:hAnsi="Times New Roman"/>
                <w:color w:val="000000"/>
                <w:sz w:val="20"/>
                <w:szCs w:val="20"/>
              </w:rPr>
            </w:pPr>
          </w:p>
        </w:tc>
      </w:tr>
      <w:tr w:rsidR="0039632F" w14:paraId="6ADF14FF" w14:textId="77777777" w:rsidTr="00543794">
        <w:trPr>
          <w:trHeight w:val="305"/>
        </w:trPr>
        <w:tc>
          <w:tcPr>
            <w:tcW w:w="5834" w:type="dxa"/>
            <w:tcBorders>
              <w:top w:val="nil"/>
              <w:left w:val="nil"/>
              <w:bottom w:val="nil"/>
              <w:right w:val="nil"/>
            </w:tcBorders>
          </w:tcPr>
          <w:p w14:paraId="553341CF" w14:textId="3E14D485" w:rsidR="0039632F" w:rsidRDefault="0039632F" w:rsidP="00543794">
            <w:pPr>
              <w:spacing w:after="0" w:line="240" w:lineRule="auto"/>
              <w:rPr>
                <w:rFonts w:ascii="Times New Roman" w:hAnsi="Times New Roman"/>
                <w:color w:val="000000"/>
                <w:sz w:val="20"/>
                <w:szCs w:val="20"/>
              </w:rPr>
            </w:pPr>
            <w:r>
              <w:rPr>
                <w:rFonts w:ascii="Times New Roman" w:hAnsi="Times New Roman"/>
                <w:color w:val="000000"/>
                <w:sz w:val="20"/>
                <w:szCs w:val="20"/>
              </w:rPr>
              <w:t>Total stockholders</w:t>
            </w:r>
            <w:r w:rsidR="003F0BAC">
              <w:rPr>
                <w:rFonts w:ascii="Times New Roman" w:hAnsi="Times New Roman"/>
                <w:color w:val="000000"/>
                <w:sz w:val="20"/>
                <w:szCs w:val="20"/>
              </w:rPr>
              <w:t>’</w:t>
            </w:r>
            <w:r>
              <w:rPr>
                <w:rFonts w:ascii="Times New Roman" w:hAnsi="Times New Roman"/>
                <w:color w:val="000000"/>
                <w:sz w:val="20"/>
                <w:szCs w:val="20"/>
              </w:rPr>
              <w:t xml:space="preserve"> equity</w:t>
            </w:r>
          </w:p>
        </w:tc>
        <w:tc>
          <w:tcPr>
            <w:tcW w:w="316" w:type="dxa"/>
            <w:tcBorders>
              <w:top w:val="nil"/>
              <w:left w:val="nil"/>
              <w:bottom w:val="nil"/>
              <w:right w:val="nil"/>
            </w:tcBorders>
          </w:tcPr>
          <w:p w14:paraId="2A708C4D" w14:textId="77777777" w:rsidR="0039632F" w:rsidRDefault="0039632F" w:rsidP="00543794">
            <w:pPr>
              <w:spacing w:after="0" w:line="240" w:lineRule="auto"/>
              <w:jc w:val="right"/>
              <w:rPr>
                <w:rFonts w:ascii="Times New Roman" w:hAnsi="Times New Roman"/>
                <w:color w:val="000000"/>
                <w:sz w:val="20"/>
                <w:szCs w:val="20"/>
              </w:rPr>
            </w:pPr>
            <w:r>
              <w:rPr>
                <w:rFonts w:ascii="Times New Roman" w:hAnsi="Times New Roman"/>
                <w:color w:val="000000"/>
                <w:sz w:val="20"/>
                <w:szCs w:val="20"/>
              </w:rPr>
              <w:t>$</w:t>
            </w:r>
          </w:p>
        </w:tc>
        <w:tc>
          <w:tcPr>
            <w:tcW w:w="1440" w:type="dxa"/>
            <w:tcBorders>
              <w:top w:val="nil"/>
              <w:left w:val="nil"/>
              <w:bottom w:val="double" w:sz="2" w:space="0" w:color="auto"/>
              <w:right w:val="nil"/>
            </w:tcBorders>
          </w:tcPr>
          <w:p w14:paraId="3AC3213E" w14:textId="77777777" w:rsidR="0039632F" w:rsidRDefault="0039632F" w:rsidP="00543794">
            <w:pPr>
              <w:tabs>
                <w:tab w:val="decimal" w:pos="1152"/>
              </w:tabs>
              <w:spacing w:after="0" w:line="240" w:lineRule="auto"/>
              <w:rPr>
                <w:rFonts w:ascii="Times New Roman" w:hAnsi="Times New Roman"/>
                <w:color w:val="000000"/>
                <w:sz w:val="20"/>
                <w:szCs w:val="20"/>
              </w:rPr>
            </w:pPr>
            <w:r>
              <w:rPr>
                <w:rFonts w:ascii="Times New Roman" w:hAnsi="Times New Roman"/>
                <w:color w:val="000000"/>
                <w:sz w:val="20"/>
                <w:szCs w:val="20"/>
              </w:rPr>
              <w:t>49,162,000</w:t>
            </w:r>
          </w:p>
        </w:tc>
      </w:tr>
      <w:tr w:rsidR="0039632F" w14:paraId="61A690A1" w14:textId="77777777" w:rsidTr="00543794">
        <w:trPr>
          <w:trHeight w:val="305"/>
        </w:trPr>
        <w:tc>
          <w:tcPr>
            <w:tcW w:w="5834" w:type="dxa"/>
            <w:tcBorders>
              <w:top w:val="nil"/>
              <w:left w:val="nil"/>
              <w:bottom w:val="nil"/>
              <w:right w:val="nil"/>
            </w:tcBorders>
          </w:tcPr>
          <w:p w14:paraId="0B3573CD" w14:textId="77777777" w:rsidR="0039632F" w:rsidRDefault="0039632F" w:rsidP="00543794">
            <w:pPr>
              <w:spacing w:after="0" w:line="240" w:lineRule="auto"/>
              <w:rPr>
                <w:rFonts w:ascii="Times New Roman" w:hAnsi="Times New Roman"/>
                <w:color w:val="000000"/>
                <w:sz w:val="20"/>
                <w:szCs w:val="20"/>
              </w:rPr>
            </w:pPr>
          </w:p>
        </w:tc>
        <w:tc>
          <w:tcPr>
            <w:tcW w:w="316" w:type="dxa"/>
            <w:tcBorders>
              <w:top w:val="nil"/>
              <w:left w:val="nil"/>
              <w:bottom w:val="nil"/>
              <w:right w:val="nil"/>
            </w:tcBorders>
          </w:tcPr>
          <w:p w14:paraId="1CA82803" w14:textId="77777777" w:rsidR="0039632F" w:rsidRDefault="0039632F" w:rsidP="00543794">
            <w:pPr>
              <w:spacing w:after="0" w:line="240" w:lineRule="auto"/>
              <w:jc w:val="right"/>
              <w:rPr>
                <w:rFonts w:ascii="Times New Roman" w:hAnsi="Times New Roman"/>
                <w:b/>
                <w:color w:val="000000"/>
                <w:sz w:val="20"/>
                <w:szCs w:val="20"/>
              </w:rPr>
            </w:pPr>
          </w:p>
        </w:tc>
        <w:tc>
          <w:tcPr>
            <w:tcW w:w="1440" w:type="dxa"/>
            <w:tcBorders>
              <w:top w:val="double" w:sz="2" w:space="0" w:color="auto"/>
              <w:left w:val="nil"/>
              <w:bottom w:val="nil"/>
              <w:right w:val="nil"/>
            </w:tcBorders>
          </w:tcPr>
          <w:p w14:paraId="7A13B8D4" w14:textId="77777777" w:rsidR="0039632F" w:rsidRDefault="0039632F" w:rsidP="00543794">
            <w:pPr>
              <w:tabs>
                <w:tab w:val="decimal" w:pos="1152"/>
              </w:tabs>
              <w:spacing w:after="0" w:line="240" w:lineRule="auto"/>
              <w:rPr>
                <w:rFonts w:ascii="Times New Roman" w:hAnsi="Times New Roman"/>
                <w:color w:val="000000"/>
                <w:sz w:val="20"/>
                <w:szCs w:val="20"/>
              </w:rPr>
            </w:pPr>
          </w:p>
        </w:tc>
      </w:tr>
    </w:tbl>
    <w:p w14:paraId="4E0754D1" w14:textId="77777777" w:rsidR="0039632F" w:rsidRPr="00284DC0" w:rsidRDefault="0039632F" w:rsidP="0039632F">
      <w:pPr>
        <w:tabs>
          <w:tab w:val="left" w:pos="1632"/>
        </w:tabs>
      </w:pPr>
    </w:p>
    <w:p w14:paraId="4FB8A658" w14:textId="77777777" w:rsidR="0039632F" w:rsidRPr="00005AC8" w:rsidRDefault="0039632F" w:rsidP="003F0BAC"/>
    <w:sectPr w:rsidR="0039632F" w:rsidRPr="00005AC8" w:rsidSect="00CF6B13">
      <w:pgSz w:w="12240" w:h="15840"/>
      <w:pgMar w:top="720" w:right="1728" w:bottom="720" w:left="1728" w:header="720" w:footer="518"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94DBBA" w14:textId="77777777" w:rsidR="004D789B" w:rsidRDefault="004D789B">
      <w:pPr>
        <w:spacing w:after="0" w:line="240" w:lineRule="auto"/>
        <w:rPr>
          <w:rFonts w:ascii="Times New Roman" w:eastAsiaTheme="minorEastAsia" w:hAnsi="Times New Roman"/>
          <w:szCs w:val="24"/>
        </w:rPr>
      </w:pPr>
      <w:r>
        <w:rPr>
          <w:rFonts w:ascii="Times New Roman" w:eastAsiaTheme="minorEastAsia" w:hAnsi="Times New Roman"/>
          <w:szCs w:val="24"/>
        </w:rPr>
        <w:separator/>
      </w:r>
    </w:p>
  </w:endnote>
  <w:endnote w:type="continuationSeparator" w:id="0">
    <w:p w14:paraId="6F0C28E2" w14:textId="77777777" w:rsidR="004D789B" w:rsidRDefault="004D789B">
      <w:pPr>
        <w:spacing w:after="0" w:line="240" w:lineRule="auto"/>
        <w:rPr>
          <w:rFonts w:ascii="Times New Roman" w:eastAsiaTheme="minorEastAsia" w:hAnsi="Times New Roman"/>
          <w:szCs w:val="24"/>
        </w:rPr>
      </w:pPr>
      <w:r>
        <w:rPr>
          <w:rFonts w:ascii="Times New Roman" w:eastAsiaTheme="minorEastAsia" w:hAnsi="Times New Roman"/>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C6688" w14:textId="7E444A8E" w:rsidR="00170893" w:rsidRDefault="00170893">
    <w:pPr>
      <w:pStyle w:val="Footer"/>
    </w:pPr>
  </w:p>
  <w:p w14:paraId="506EE74E" w14:textId="33440C6A" w:rsidR="00170893" w:rsidRPr="00170893" w:rsidRDefault="00170893" w:rsidP="00170893">
    <w:pPr>
      <w:pStyle w:val="Footer"/>
      <w:rPr>
        <w:sz w:val="12"/>
        <w:szCs w:val="12"/>
      </w:rPr>
    </w:pPr>
    <w:r w:rsidRPr="00170893">
      <w:rPr>
        <w:sz w:val="12"/>
        <w:szCs w:val="12"/>
      </w:rPr>
      <w:fldChar w:fldCharType="begin"/>
    </w:r>
    <w:r w:rsidRPr="00170893">
      <w:rPr>
        <w:sz w:val="12"/>
        <w:szCs w:val="12"/>
      </w:rPr>
      <w:instrText xml:space="preserve"> FILENAME \p \* MERGEFORMAT </w:instrText>
    </w:r>
    <w:r w:rsidRPr="00170893">
      <w:rPr>
        <w:sz w:val="12"/>
        <w:szCs w:val="12"/>
      </w:rPr>
      <w:fldChar w:fldCharType="separate"/>
    </w:r>
    <w:r w:rsidR="00530EBB">
      <w:rPr>
        <w:noProof/>
        <w:sz w:val="12"/>
        <w:szCs w:val="12"/>
      </w:rPr>
      <w:t>G:\Sam\Network 1\PRESS RELEASES 2021\2020 Year End Results v3.docx</w:t>
    </w:r>
    <w:r w:rsidRPr="00170893">
      <w:rPr>
        <w:sz w:val="12"/>
        <w:szCs w:val="12"/>
      </w:rPr>
      <w:fldChar w:fldCharType="end"/>
    </w:r>
  </w:p>
  <w:p w14:paraId="1CED2346" w14:textId="77777777" w:rsidR="00170893" w:rsidRDefault="001708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095CF" w14:textId="29FDFD08" w:rsidR="00AE76C9" w:rsidRPr="00170893" w:rsidRDefault="00170893">
    <w:pPr>
      <w:pStyle w:val="Footer"/>
      <w:rPr>
        <w:sz w:val="12"/>
        <w:szCs w:val="12"/>
      </w:rPr>
    </w:pPr>
    <w:r w:rsidRPr="00170893">
      <w:rPr>
        <w:sz w:val="12"/>
        <w:szCs w:val="12"/>
      </w:rPr>
      <w:fldChar w:fldCharType="begin"/>
    </w:r>
    <w:r w:rsidRPr="00170893">
      <w:rPr>
        <w:sz w:val="12"/>
        <w:szCs w:val="12"/>
      </w:rPr>
      <w:instrText xml:space="preserve"> FILENAME \p \* MERGEFORMAT </w:instrText>
    </w:r>
    <w:r w:rsidRPr="00170893">
      <w:rPr>
        <w:sz w:val="12"/>
        <w:szCs w:val="12"/>
      </w:rPr>
      <w:fldChar w:fldCharType="separate"/>
    </w:r>
    <w:r w:rsidR="00530EBB">
      <w:rPr>
        <w:noProof/>
        <w:sz w:val="12"/>
        <w:szCs w:val="12"/>
      </w:rPr>
      <w:t>G:\Sam\Network 1\PRESS RELEASES 2021\2020 Year End Results v3.docx</w:t>
    </w:r>
    <w:r w:rsidRPr="00170893">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BE4F97" w14:textId="77777777" w:rsidR="004D789B" w:rsidRDefault="004D789B">
      <w:pPr>
        <w:spacing w:after="0" w:line="240" w:lineRule="auto"/>
        <w:rPr>
          <w:rFonts w:ascii="Times New Roman" w:eastAsiaTheme="minorEastAsia" w:hAnsi="Times New Roman"/>
          <w:szCs w:val="24"/>
        </w:rPr>
      </w:pPr>
      <w:r>
        <w:rPr>
          <w:rFonts w:ascii="Times New Roman" w:eastAsiaTheme="minorEastAsia" w:hAnsi="Times New Roman"/>
          <w:szCs w:val="24"/>
        </w:rPr>
        <w:separator/>
      </w:r>
    </w:p>
  </w:footnote>
  <w:footnote w:type="continuationSeparator" w:id="0">
    <w:p w14:paraId="003A0D24" w14:textId="77777777" w:rsidR="004D789B" w:rsidRDefault="004D789B">
      <w:pPr>
        <w:spacing w:after="0" w:line="240" w:lineRule="auto"/>
        <w:rPr>
          <w:rFonts w:ascii="Times New Roman" w:eastAsiaTheme="minorEastAsia" w:hAnsi="Times New Roman"/>
          <w:szCs w:val="24"/>
        </w:rPr>
      </w:pPr>
      <w:r>
        <w:rPr>
          <w:rFonts w:ascii="Times New Roman" w:eastAsiaTheme="minorEastAsia" w:hAnsi="Times New Roman"/>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28A2395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hybridMultilevel"/>
    <w:tmpl w:val="7E3EB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5F1875A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00000004"/>
    <w:multiLevelType w:val="hybridMultilevel"/>
    <w:tmpl w:val="1C7AE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BAEEC628"/>
    <w:lvl w:ilvl="0" w:tplc="DBFA8720">
      <w:start w:val="1"/>
      <w:numFmt w:val="decimal"/>
      <w:lvlText w:val="[%1]"/>
      <w:lvlJc w:val="left"/>
      <w:pPr>
        <w:tabs>
          <w:tab w:val="num" w:pos="504"/>
        </w:tabs>
        <w:ind w:left="504" w:hanging="504"/>
      </w:pPr>
      <w:rPr>
        <w:rFonts w:ascii="Arial" w:hAnsi="Arial" w:cs="Times New Roman" w:hint="default"/>
        <w:b/>
        <w:i w:val="0"/>
        <w:sz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00000006"/>
    <w:multiLevelType w:val="hybridMultilevel"/>
    <w:tmpl w:val="AC5E2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5CB7E33"/>
    <w:multiLevelType w:val="hybridMultilevel"/>
    <w:tmpl w:val="80524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590DBB"/>
    <w:multiLevelType w:val="hybridMultilevel"/>
    <w:tmpl w:val="E9FA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351769"/>
    <w:multiLevelType w:val="hybridMultilevel"/>
    <w:tmpl w:val="B80648E4"/>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9" w15:restartNumberingAfterBreak="0">
    <w:nsid w:val="56007963"/>
    <w:multiLevelType w:val="hybridMultilevel"/>
    <w:tmpl w:val="32BA5B5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E52A78"/>
    <w:multiLevelType w:val="hybridMultilevel"/>
    <w:tmpl w:val="B2AE5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8A453D"/>
    <w:multiLevelType w:val="hybridMultilevel"/>
    <w:tmpl w:val="D7742A4C"/>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2"/>
  </w:num>
  <w:num w:numId="6">
    <w:abstractNumId w:val="3"/>
  </w:num>
  <w:num w:numId="7">
    <w:abstractNumId w:val="11"/>
  </w:num>
  <w:num w:numId="8">
    <w:abstractNumId w:val="9"/>
  </w:num>
  <w:num w:numId="9">
    <w:abstractNumId w:val="7"/>
  </w:num>
  <w:num w:numId="10">
    <w:abstractNumId w:val="8"/>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927"/>
    <w:rsid w:val="00005AC8"/>
    <w:rsid w:val="00010250"/>
    <w:rsid w:val="00015FCB"/>
    <w:rsid w:val="000215BA"/>
    <w:rsid w:val="00027701"/>
    <w:rsid w:val="0003083A"/>
    <w:rsid w:val="0003187D"/>
    <w:rsid w:val="000355F2"/>
    <w:rsid w:val="00042E48"/>
    <w:rsid w:val="00043CDD"/>
    <w:rsid w:val="00051AE6"/>
    <w:rsid w:val="0005324D"/>
    <w:rsid w:val="00055A73"/>
    <w:rsid w:val="00057D2D"/>
    <w:rsid w:val="00060325"/>
    <w:rsid w:val="00062ED0"/>
    <w:rsid w:val="00071154"/>
    <w:rsid w:val="00073D84"/>
    <w:rsid w:val="00077370"/>
    <w:rsid w:val="0008789D"/>
    <w:rsid w:val="00091030"/>
    <w:rsid w:val="00091952"/>
    <w:rsid w:val="000A5594"/>
    <w:rsid w:val="000B279E"/>
    <w:rsid w:val="000B65EE"/>
    <w:rsid w:val="000B6AAA"/>
    <w:rsid w:val="000B723F"/>
    <w:rsid w:val="000C2BEF"/>
    <w:rsid w:val="000D3460"/>
    <w:rsid w:val="000D3625"/>
    <w:rsid w:val="000D4F62"/>
    <w:rsid w:val="000D5818"/>
    <w:rsid w:val="000E0A2B"/>
    <w:rsid w:val="000E2BD2"/>
    <w:rsid w:val="000E4D25"/>
    <w:rsid w:val="000E7A66"/>
    <w:rsid w:val="000F11AD"/>
    <w:rsid w:val="000F23E1"/>
    <w:rsid w:val="000F7A0F"/>
    <w:rsid w:val="0010396C"/>
    <w:rsid w:val="00103D1D"/>
    <w:rsid w:val="0011039A"/>
    <w:rsid w:val="00111D05"/>
    <w:rsid w:val="00111F3E"/>
    <w:rsid w:val="001229D6"/>
    <w:rsid w:val="00124C29"/>
    <w:rsid w:val="00132AB2"/>
    <w:rsid w:val="00136DC8"/>
    <w:rsid w:val="001456EE"/>
    <w:rsid w:val="00147C77"/>
    <w:rsid w:val="00151D8A"/>
    <w:rsid w:val="001540B2"/>
    <w:rsid w:val="00155CFC"/>
    <w:rsid w:val="00165666"/>
    <w:rsid w:val="00165B60"/>
    <w:rsid w:val="00166529"/>
    <w:rsid w:val="001671E4"/>
    <w:rsid w:val="00170893"/>
    <w:rsid w:val="001751F2"/>
    <w:rsid w:val="00190231"/>
    <w:rsid w:val="00192DB5"/>
    <w:rsid w:val="001A0860"/>
    <w:rsid w:val="001B0E81"/>
    <w:rsid w:val="001B2BFB"/>
    <w:rsid w:val="001B739E"/>
    <w:rsid w:val="001D2BB9"/>
    <w:rsid w:val="001D7842"/>
    <w:rsid w:val="001E1E0E"/>
    <w:rsid w:val="001E6266"/>
    <w:rsid w:val="001E7034"/>
    <w:rsid w:val="001F2639"/>
    <w:rsid w:val="001F2B15"/>
    <w:rsid w:val="001F530B"/>
    <w:rsid w:val="00202E30"/>
    <w:rsid w:val="002041F5"/>
    <w:rsid w:val="00205C27"/>
    <w:rsid w:val="002103BB"/>
    <w:rsid w:val="00212E20"/>
    <w:rsid w:val="00215E17"/>
    <w:rsid w:val="002207E6"/>
    <w:rsid w:val="00227B6C"/>
    <w:rsid w:val="00232AA6"/>
    <w:rsid w:val="00240EE5"/>
    <w:rsid w:val="00265AAD"/>
    <w:rsid w:val="00266926"/>
    <w:rsid w:val="0027023A"/>
    <w:rsid w:val="00270FA8"/>
    <w:rsid w:val="00274D5F"/>
    <w:rsid w:val="00284DC0"/>
    <w:rsid w:val="00290606"/>
    <w:rsid w:val="00293C3B"/>
    <w:rsid w:val="002A32E8"/>
    <w:rsid w:val="002B3927"/>
    <w:rsid w:val="002B5405"/>
    <w:rsid w:val="002C25F5"/>
    <w:rsid w:val="002D4394"/>
    <w:rsid w:val="002D5ECD"/>
    <w:rsid w:val="002E1D84"/>
    <w:rsid w:val="002E272D"/>
    <w:rsid w:val="002E54B1"/>
    <w:rsid w:val="002E7D51"/>
    <w:rsid w:val="00303F66"/>
    <w:rsid w:val="00323C44"/>
    <w:rsid w:val="003260E6"/>
    <w:rsid w:val="00327F61"/>
    <w:rsid w:val="003358AF"/>
    <w:rsid w:val="003377E7"/>
    <w:rsid w:val="0034710A"/>
    <w:rsid w:val="00352321"/>
    <w:rsid w:val="00354E05"/>
    <w:rsid w:val="00360FC1"/>
    <w:rsid w:val="00361D83"/>
    <w:rsid w:val="0036492F"/>
    <w:rsid w:val="00366AAC"/>
    <w:rsid w:val="00367360"/>
    <w:rsid w:val="003727EE"/>
    <w:rsid w:val="003740E1"/>
    <w:rsid w:val="00376053"/>
    <w:rsid w:val="003861BA"/>
    <w:rsid w:val="00392F46"/>
    <w:rsid w:val="00393066"/>
    <w:rsid w:val="0039632F"/>
    <w:rsid w:val="003B03CE"/>
    <w:rsid w:val="003B0497"/>
    <w:rsid w:val="003B59AE"/>
    <w:rsid w:val="003B7809"/>
    <w:rsid w:val="003C0B11"/>
    <w:rsid w:val="003D0253"/>
    <w:rsid w:val="003F0BAC"/>
    <w:rsid w:val="003F444F"/>
    <w:rsid w:val="00400BA4"/>
    <w:rsid w:val="00403F60"/>
    <w:rsid w:val="00410B0E"/>
    <w:rsid w:val="004248FE"/>
    <w:rsid w:val="00427014"/>
    <w:rsid w:val="00437474"/>
    <w:rsid w:val="00441383"/>
    <w:rsid w:val="0044749B"/>
    <w:rsid w:val="00452393"/>
    <w:rsid w:val="0045256F"/>
    <w:rsid w:val="00455228"/>
    <w:rsid w:val="004559EC"/>
    <w:rsid w:val="00470209"/>
    <w:rsid w:val="00473FF2"/>
    <w:rsid w:val="00476D23"/>
    <w:rsid w:val="004905D4"/>
    <w:rsid w:val="00496EFD"/>
    <w:rsid w:val="00497A16"/>
    <w:rsid w:val="004A1EB9"/>
    <w:rsid w:val="004A466C"/>
    <w:rsid w:val="004B5BAB"/>
    <w:rsid w:val="004C0BBB"/>
    <w:rsid w:val="004C2478"/>
    <w:rsid w:val="004C2644"/>
    <w:rsid w:val="004C6E8D"/>
    <w:rsid w:val="004D789B"/>
    <w:rsid w:val="00500931"/>
    <w:rsid w:val="00506566"/>
    <w:rsid w:val="005107F4"/>
    <w:rsid w:val="005119CB"/>
    <w:rsid w:val="00530EBB"/>
    <w:rsid w:val="00536DC2"/>
    <w:rsid w:val="00540756"/>
    <w:rsid w:val="005427A7"/>
    <w:rsid w:val="005457BF"/>
    <w:rsid w:val="00560809"/>
    <w:rsid w:val="00566898"/>
    <w:rsid w:val="00572238"/>
    <w:rsid w:val="005742F6"/>
    <w:rsid w:val="00585DAD"/>
    <w:rsid w:val="0059278B"/>
    <w:rsid w:val="005A2252"/>
    <w:rsid w:val="005A5A81"/>
    <w:rsid w:val="005B079D"/>
    <w:rsid w:val="005B5CEC"/>
    <w:rsid w:val="005B7DC6"/>
    <w:rsid w:val="005C2C6C"/>
    <w:rsid w:val="005C4B1D"/>
    <w:rsid w:val="005D7A82"/>
    <w:rsid w:val="005E1F11"/>
    <w:rsid w:val="005E2803"/>
    <w:rsid w:val="005E435E"/>
    <w:rsid w:val="005E6C39"/>
    <w:rsid w:val="00600B47"/>
    <w:rsid w:val="0060166D"/>
    <w:rsid w:val="006038EC"/>
    <w:rsid w:val="00606207"/>
    <w:rsid w:val="00634D20"/>
    <w:rsid w:val="00651F6F"/>
    <w:rsid w:val="006525A7"/>
    <w:rsid w:val="006536CD"/>
    <w:rsid w:val="006541C2"/>
    <w:rsid w:val="00655AD7"/>
    <w:rsid w:val="006624BB"/>
    <w:rsid w:val="0066440B"/>
    <w:rsid w:val="00665BCB"/>
    <w:rsid w:val="00673116"/>
    <w:rsid w:val="006770EB"/>
    <w:rsid w:val="00687377"/>
    <w:rsid w:val="00687FA8"/>
    <w:rsid w:val="006950D5"/>
    <w:rsid w:val="00696AFB"/>
    <w:rsid w:val="006B47AA"/>
    <w:rsid w:val="006B60A3"/>
    <w:rsid w:val="006B68A3"/>
    <w:rsid w:val="006C0E2F"/>
    <w:rsid w:val="006C7E1A"/>
    <w:rsid w:val="006E7FE1"/>
    <w:rsid w:val="00703EEB"/>
    <w:rsid w:val="00707CFA"/>
    <w:rsid w:val="0071673B"/>
    <w:rsid w:val="007270E6"/>
    <w:rsid w:val="00747963"/>
    <w:rsid w:val="007509A3"/>
    <w:rsid w:val="00753164"/>
    <w:rsid w:val="00757887"/>
    <w:rsid w:val="00760B38"/>
    <w:rsid w:val="00762466"/>
    <w:rsid w:val="00762885"/>
    <w:rsid w:val="00767EBC"/>
    <w:rsid w:val="00776895"/>
    <w:rsid w:val="0078365E"/>
    <w:rsid w:val="00783DA1"/>
    <w:rsid w:val="0079509D"/>
    <w:rsid w:val="00796204"/>
    <w:rsid w:val="007A16F0"/>
    <w:rsid w:val="007A2FBB"/>
    <w:rsid w:val="007D31F6"/>
    <w:rsid w:val="007E0A82"/>
    <w:rsid w:val="007E35F7"/>
    <w:rsid w:val="007E3C69"/>
    <w:rsid w:val="007F020A"/>
    <w:rsid w:val="007F158B"/>
    <w:rsid w:val="007F30D2"/>
    <w:rsid w:val="007F6365"/>
    <w:rsid w:val="00805518"/>
    <w:rsid w:val="00814A0A"/>
    <w:rsid w:val="008162B1"/>
    <w:rsid w:val="00816556"/>
    <w:rsid w:val="00820487"/>
    <w:rsid w:val="00822E38"/>
    <w:rsid w:val="00826B2E"/>
    <w:rsid w:val="008301E8"/>
    <w:rsid w:val="00830C8B"/>
    <w:rsid w:val="00830E76"/>
    <w:rsid w:val="00833FF4"/>
    <w:rsid w:val="00840A70"/>
    <w:rsid w:val="0084247B"/>
    <w:rsid w:val="00843D0C"/>
    <w:rsid w:val="008457B6"/>
    <w:rsid w:val="0085279F"/>
    <w:rsid w:val="00854EED"/>
    <w:rsid w:val="00855624"/>
    <w:rsid w:val="008574F5"/>
    <w:rsid w:val="00860616"/>
    <w:rsid w:val="008657CE"/>
    <w:rsid w:val="00872336"/>
    <w:rsid w:val="0087543F"/>
    <w:rsid w:val="00882482"/>
    <w:rsid w:val="008A4D70"/>
    <w:rsid w:val="008B00DC"/>
    <w:rsid w:val="008B3509"/>
    <w:rsid w:val="008B672D"/>
    <w:rsid w:val="008C2C89"/>
    <w:rsid w:val="008C68AE"/>
    <w:rsid w:val="008D2835"/>
    <w:rsid w:val="008D2A84"/>
    <w:rsid w:val="008D6B4C"/>
    <w:rsid w:val="008E46C6"/>
    <w:rsid w:val="008E616D"/>
    <w:rsid w:val="008F506A"/>
    <w:rsid w:val="008F553D"/>
    <w:rsid w:val="008F63AC"/>
    <w:rsid w:val="00902464"/>
    <w:rsid w:val="00921517"/>
    <w:rsid w:val="009233C0"/>
    <w:rsid w:val="0092774B"/>
    <w:rsid w:val="00952DD5"/>
    <w:rsid w:val="0095568D"/>
    <w:rsid w:val="00956D21"/>
    <w:rsid w:val="009626A8"/>
    <w:rsid w:val="00966878"/>
    <w:rsid w:val="009724C9"/>
    <w:rsid w:val="009739F6"/>
    <w:rsid w:val="009760A6"/>
    <w:rsid w:val="00985B36"/>
    <w:rsid w:val="00990A2B"/>
    <w:rsid w:val="00991318"/>
    <w:rsid w:val="009A2976"/>
    <w:rsid w:val="009A34A5"/>
    <w:rsid w:val="009A4DC9"/>
    <w:rsid w:val="009B1A11"/>
    <w:rsid w:val="009B722B"/>
    <w:rsid w:val="009C046D"/>
    <w:rsid w:val="009C1141"/>
    <w:rsid w:val="009C5B24"/>
    <w:rsid w:val="009C7D41"/>
    <w:rsid w:val="009E1D54"/>
    <w:rsid w:val="009E1D5B"/>
    <w:rsid w:val="009E2B07"/>
    <w:rsid w:val="009E4A18"/>
    <w:rsid w:val="009E70BE"/>
    <w:rsid w:val="009F0207"/>
    <w:rsid w:val="009F52D2"/>
    <w:rsid w:val="00A05A7A"/>
    <w:rsid w:val="00A16246"/>
    <w:rsid w:val="00A16C71"/>
    <w:rsid w:val="00A16F86"/>
    <w:rsid w:val="00A20123"/>
    <w:rsid w:val="00A24166"/>
    <w:rsid w:val="00A3468B"/>
    <w:rsid w:val="00A34B99"/>
    <w:rsid w:val="00A5065F"/>
    <w:rsid w:val="00A5196F"/>
    <w:rsid w:val="00A54AB0"/>
    <w:rsid w:val="00A5726B"/>
    <w:rsid w:val="00A573B5"/>
    <w:rsid w:val="00A674DC"/>
    <w:rsid w:val="00A70F47"/>
    <w:rsid w:val="00A738EB"/>
    <w:rsid w:val="00A76B54"/>
    <w:rsid w:val="00A7719B"/>
    <w:rsid w:val="00A8057D"/>
    <w:rsid w:val="00A85343"/>
    <w:rsid w:val="00A91367"/>
    <w:rsid w:val="00A914E1"/>
    <w:rsid w:val="00AB1E37"/>
    <w:rsid w:val="00AC47A7"/>
    <w:rsid w:val="00AC6EB0"/>
    <w:rsid w:val="00AE76C9"/>
    <w:rsid w:val="00AF26CA"/>
    <w:rsid w:val="00AF3166"/>
    <w:rsid w:val="00AF592C"/>
    <w:rsid w:val="00B03B31"/>
    <w:rsid w:val="00B05C74"/>
    <w:rsid w:val="00B11065"/>
    <w:rsid w:val="00B145D5"/>
    <w:rsid w:val="00B17271"/>
    <w:rsid w:val="00B207AB"/>
    <w:rsid w:val="00B34406"/>
    <w:rsid w:val="00B4134A"/>
    <w:rsid w:val="00B473D3"/>
    <w:rsid w:val="00B541F1"/>
    <w:rsid w:val="00B67017"/>
    <w:rsid w:val="00B717FF"/>
    <w:rsid w:val="00B77810"/>
    <w:rsid w:val="00B80B30"/>
    <w:rsid w:val="00B86837"/>
    <w:rsid w:val="00B874B8"/>
    <w:rsid w:val="00B92BB2"/>
    <w:rsid w:val="00B9504E"/>
    <w:rsid w:val="00B97EE8"/>
    <w:rsid w:val="00BA16FD"/>
    <w:rsid w:val="00BC0BD9"/>
    <w:rsid w:val="00BC3A17"/>
    <w:rsid w:val="00BC3DAA"/>
    <w:rsid w:val="00BC43A4"/>
    <w:rsid w:val="00BC79E5"/>
    <w:rsid w:val="00BD2E65"/>
    <w:rsid w:val="00BD6B10"/>
    <w:rsid w:val="00BF1FB5"/>
    <w:rsid w:val="00BF30D8"/>
    <w:rsid w:val="00C00D8B"/>
    <w:rsid w:val="00C03D41"/>
    <w:rsid w:val="00C07253"/>
    <w:rsid w:val="00C07F37"/>
    <w:rsid w:val="00C118DB"/>
    <w:rsid w:val="00C11AD3"/>
    <w:rsid w:val="00C14BC9"/>
    <w:rsid w:val="00C16C95"/>
    <w:rsid w:val="00C243B0"/>
    <w:rsid w:val="00C326DA"/>
    <w:rsid w:val="00C3647A"/>
    <w:rsid w:val="00C45B69"/>
    <w:rsid w:val="00C506A0"/>
    <w:rsid w:val="00C54344"/>
    <w:rsid w:val="00C557C2"/>
    <w:rsid w:val="00C62F02"/>
    <w:rsid w:val="00C65D33"/>
    <w:rsid w:val="00C67F94"/>
    <w:rsid w:val="00C72C9A"/>
    <w:rsid w:val="00C813F8"/>
    <w:rsid w:val="00C8677F"/>
    <w:rsid w:val="00C91A47"/>
    <w:rsid w:val="00CA6CC6"/>
    <w:rsid w:val="00CC395E"/>
    <w:rsid w:val="00CC5D58"/>
    <w:rsid w:val="00CC605A"/>
    <w:rsid w:val="00CD0B68"/>
    <w:rsid w:val="00CD5CBC"/>
    <w:rsid w:val="00CE0C0E"/>
    <w:rsid w:val="00CF012B"/>
    <w:rsid w:val="00CF6B13"/>
    <w:rsid w:val="00D00CA2"/>
    <w:rsid w:val="00D01E31"/>
    <w:rsid w:val="00D06ACF"/>
    <w:rsid w:val="00D15657"/>
    <w:rsid w:val="00D1575F"/>
    <w:rsid w:val="00D22073"/>
    <w:rsid w:val="00D261E3"/>
    <w:rsid w:val="00D26D65"/>
    <w:rsid w:val="00D2784D"/>
    <w:rsid w:val="00D3436A"/>
    <w:rsid w:val="00D357CF"/>
    <w:rsid w:val="00D44991"/>
    <w:rsid w:val="00D5345A"/>
    <w:rsid w:val="00D53AAB"/>
    <w:rsid w:val="00D61189"/>
    <w:rsid w:val="00D64FE1"/>
    <w:rsid w:val="00D7220F"/>
    <w:rsid w:val="00D72F9E"/>
    <w:rsid w:val="00D81092"/>
    <w:rsid w:val="00D83AE0"/>
    <w:rsid w:val="00D870C3"/>
    <w:rsid w:val="00D9120C"/>
    <w:rsid w:val="00DA69CF"/>
    <w:rsid w:val="00DB0E80"/>
    <w:rsid w:val="00DC294D"/>
    <w:rsid w:val="00DC740E"/>
    <w:rsid w:val="00DD2E67"/>
    <w:rsid w:val="00DF239D"/>
    <w:rsid w:val="00E0276B"/>
    <w:rsid w:val="00E06CC2"/>
    <w:rsid w:val="00E2294B"/>
    <w:rsid w:val="00E30273"/>
    <w:rsid w:val="00E3514B"/>
    <w:rsid w:val="00E40251"/>
    <w:rsid w:val="00E455A5"/>
    <w:rsid w:val="00E566EF"/>
    <w:rsid w:val="00E73BEB"/>
    <w:rsid w:val="00E73E6D"/>
    <w:rsid w:val="00E7698C"/>
    <w:rsid w:val="00E77867"/>
    <w:rsid w:val="00E81507"/>
    <w:rsid w:val="00E86CD9"/>
    <w:rsid w:val="00E965EE"/>
    <w:rsid w:val="00EA3F48"/>
    <w:rsid w:val="00EA7D6A"/>
    <w:rsid w:val="00EB166E"/>
    <w:rsid w:val="00EB25B7"/>
    <w:rsid w:val="00EB4A22"/>
    <w:rsid w:val="00EC04EB"/>
    <w:rsid w:val="00EC063E"/>
    <w:rsid w:val="00EC2874"/>
    <w:rsid w:val="00EC69EC"/>
    <w:rsid w:val="00ED3E73"/>
    <w:rsid w:val="00ED4BAB"/>
    <w:rsid w:val="00EE1115"/>
    <w:rsid w:val="00EE381D"/>
    <w:rsid w:val="00EF23B2"/>
    <w:rsid w:val="00EF7C1F"/>
    <w:rsid w:val="00F04EFC"/>
    <w:rsid w:val="00F06399"/>
    <w:rsid w:val="00F1237C"/>
    <w:rsid w:val="00F16FAB"/>
    <w:rsid w:val="00F2083E"/>
    <w:rsid w:val="00F2113A"/>
    <w:rsid w:val="00F23016"/>
    <w:rsid w:val="00F242A0"/>
    <w:rsid w:val="00F32C30"/>
    <w:rsid w:val="00F362AD"/>
    <w:rsid w:val="00F3643C"/>
    <w:rsid w:val="00F56819"/>
    <w:rsid w:val="00F6117B"/>
    <w:rsid w:val="00F62263"/>
    <w:rsid w:val="00F62EF6"/>
    <w:rsid w:val="00F6377A"/>
    <w:rsid w:val="00F65DC3"/>
    <w:rsid w:val="00F70C01"/>
    <w:rsid w:val="00F74C44"/>
    <w:rsid w:val="00F77262"/>
    <w:rsid w:val="00F869A0"/>
    <w:rsid w:val="00F86A77"/>
    <w:rsid w:val="00F92FFE"/>
    <w:rsid w:val="00F96F58"/>
    <w:rsid w:val="00F97E2C"/>
    <w:rsid w:val="00FA3619"/>
    <w:rsid w:val="00FC20DE"/>
    <w:rsid w:val="00FC6140"/>
    <w:rsid w:val="00FD1DB6"/>
    <w:rsid w:val="00FD4D36"/>
    <w:rsid w:val="00FD5204"/>
    <w:rsid w:val="00FD6ABA"/>
    <w:rsid w:val="00FE0EFB"/>
    <w:rsid w:val="00FE6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D43473"/>
  <w15:docId w15:val="{AB706510-5879-224C-B976-B7CBD11EA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pPr>
    <w:rPr>
      <w:rFonts w:ascii="Calibri" w:eastAsia="Times New Roman" w:hAnsi="Calibri" w:cs="Times New Roman"/>
    </w:rPr>
  </w:style>
  <w:style w:type="paragraph" w:styleId="Heading1">
    <w:name w:val="heading 1"/>
    <w:basedOn w:val="Normal"/>
    <w:next w:val="Normal"/>
    <w:link w:val="Heading1Char"/>
    <w:uiPriority w:val="99"/>
    <w:qFormat/>
    <w:pPr>
      <w:keepNext/>
      <w:spacing w:after="0" w:line="240" w:lineRule="auto"/>
      <w:outlineLvl w:val="0"/>
    </w:pPr>
    <w:rPr>
      <w:rFonts w:ascii="Times New Roman" w:eastAsiaTheme="minorEastAsia" w:hAnsi="Times New Roman"/>
      <w:i/>
      <w:sz w:val="18"/>
      <w:szCs w:val="24"/>
    </w:rPr>
  </w:style>
  <w:style w:type="paragraph" w:styleId="Heading4">
    <w:name w:val="heading 4"/>
    <w:basedOn w:val="Normal"/>
    <w:next w:val="Normal"/>
    <w:link w:val="Heading4Char"/>
    <w:uiPriority w:val="9"/>
    <w:qFormat/>
    <w:pPr>
      <w:keepNext/>
      <w:widowControl w:val="0"/>
      <w:tabs>
        <w:tab w:val="decimal" w:pos="1099"/>
      </w:tabs>
      <w:spacing w:after="0" w:line="240" w:lineRule="auto"/>
      <w:outlineLvl w:val="3"/>
    </w:pPr>
    <w:rPr>
      <w:rFonts w:ascii="Arial" w:eastAsiaTheme="minorEastAsia" w:hAnsi="Arial"/>
      <w:b/>
      <w:sz w:val="18"/>
      <w:szCs w:val="24"/>
      <w:lang w:bidi="he-IL"/>
    </w:rPr>
  </w:style>
  <w:style w:type="paragraph" w:styleId="Heading7">
    <w:name w:val="heading 7"/>
    <w:basedOn w:val="Normal"/>
    <w:next w:val="Normal"/>
    <w:link w:val="Heading7Char"/>
    <w:uiPriority w:val="99"/>
    <w:qFormat/>
    <w:rsid w:val="009E1D5B"/>
    <w:pPr>
      <w:keepNext/>
      <w:widowControl w:val="0"/>
      <w:tabs>
        <w:tab w:val="left" w:pos="204"/>
      </w:tabs>
      <w:spacing w:after="0" w:line="221" w:lineRule="exact"/>
      <w:jc w:val="both"/>
      <w:outlineLvl w:val="6"/>
    </w:pPr>
    <w:rPr>
      <w:rFonts w:ascii="Arial" w:hAnsi="Arial" w:cs="Arial"/>
      <w:b/>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Pr>
      <w:rFonts w:ascii="Arial" w:hAnsi="Arial"/>
      <w:b/>
      <w:sz w:val="24"/>
    </w:rPr>
  </w:style>
  <w:style w:type="paragraph" w:customStyle="1" w:styleId="MediumGrid1-Accent21">
    <w:name w:val="Medium Grid 1 - Accent 21"/>
    <w:basedOn w:val="Normal"/>
    <w:uiPriority w:val="34"/>
    <w:qFormat/>
    <w:pPr>
      <w:ind w:left="720"/>
      <w:contextualSpacing/>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0"/>
      </w:tabs>
      <w:spacing w:after="0" w:line="240" w:lineRule="auto"/>
    </w:pPr>
    <w:rPr>
      <w:rFonts w:ascii="Arial Unicode MS" w:eastAsia="Arial Unicode MS" w:hAnsi="Arial Unicode MS"/>
      <w:sz w:val="20"/>
      <w:szCs w:val="20"/>
      <w:lang w:bidi="he-IL"/>
    </w:rPr>
  </w:style>
  <w:style w:type="character" w:customStyle="1" w:styleId="HTMLPreformattedChar">
    <w:name w:val="HTML Preformatted Char"/>
    <w:basedOn w:val="DefaultParagraphFont"/>
    <w:link w:val="HTMLPreformatted"/>
    <w:uiPriority w:val="99"/>
    <w:rPr>
      <w:rFonts w:ascii="Arial Unicode MS" w:eastAsia="Arial Unicode MS" w:hAnsi="Arial Unicode MS"/>
      <w:sz w:val="20"/>
    </w:rPr>
  </w:style>
  <w:style w:type="paragraph" w:styleId="BodyText">
    <w:name w:val="Body Text"/>
    <w:basedOn w:val="Normal"/>
    <w:link w:val="BodyTextChar"/>
    <w:uiPriority w:val="99"/>
    <w:pPr>
      <w:spacing w:after="0" w:line="240" w:lineRule="auto"/>
      <w:jc w:val="both"/>
    </w:pPr>
    <w:rPr>
      <w:rFonts w:ascii="Arial" w:eastAsiaTheme="minorEastAsia" w:hAnsi="Arial"/>
      <w:sz w:val="20"/>
      <w:szCs w:val="20"/>
      <w:lang w:bidi="he-IL"/>
    </w:rPr>
  </w:style>
  <w:style w:type="character" w:customStyle="1" w:styleId="BodyTextChar">
    <w:name w:val="Body Text Char"/>
    <w:basedOn w:val="DefaultParagraphFont"/>
    <w:link w:val="BodyText"/>
    <w:uiPriority w:val="99"/>
    <w:rPr>
      <w:rFonts w:ascii="Arial" w:hAnsi="Arial"/>
      <w:sz w:val="20"/>
    </w:rPr>
  </w:style>
  <w:style w:type="paragraph" w:styleId="Footer">
    <w:name w:val="footer"/>
    <w:basedOn w:val="Normal"/>
    <w:link w:val="FooterChar"/>
    <w:uiPriority w:val="99"/>
    <w:pPr>
      <w:tabs>
        <w:tab w:val="center" w:pos="4320"/>
        <w:tab w:val="right" w:pos="8640"/>
      </w:tabs>
      <w:spacing w:after="0" w:line="240" w:lineRule="auto"/>
    </w:pPr>
    <w:rPr>
      <w:rFonts w:ascii="Arial" w:eastAsiaTheme="minorEastAsia" w:hAnsi="Arial"/>
      <w:sz w:val="20"/>
      <w:szCs w:val="20"/>
      <w:lang w:bidi="he-IL"/>
    </w:rPr>
  </w:style>
  <w:style w:type="character" w:customStyle="1" w:styleId="FooterChar">
    <w:name w:val="Footer Char"/>
    <w:basedOn w:val="DefaultParagraphFont"/>
    <w:link w:val="Footer"/>
    <w:uiPriority w:val="99"/>
    <w:rPr>
      <w:rFonts w:ascii="Arial" w:hAnsi="Arial"/>
      <w:sz w:val="20"/>
    </w:rPr>
  </w:style>
  <w:style w:type="paragraph" w:customStyle="1" w:styleId="ColorfulList-Accent11">
    <w:name w:val="Colorful List - Accent 11"/>
    <w:basedOn w:val="Normal"/>
    <w:uiPriority w:val="72"/>
    <w:qFormat/>
    <w:pPr>
      <w:ind w:left="720"/>
    </w:pPr>
  </w:style>
  <w:style w:type="character" w:customStyle="1" w:styleId="BodyTextFirstIndentChar">
    <w:name w:val="Body Text First Indent Char"/>
    <w:uiPriority w:val="99"/>
    <w:rPr>
      <w:sz w:val="24"/>
      <w:lang w:val="en-US"/>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sz w:val="22"/>
    </w:rPr>
  </w:style>
  <w:style w:type="character" w:customStyle="1" w:styleId="DeltaViewInsertion">
    <w:name w:val="DeltaView Insertion"/>
    <w:uiPriority w:val="99"/>
    <w:rPr>
      <w:color w:val="0000FF"/>
      <w:u w:val="double"/>
    </w:rPr>
  </w:style>
  <w:style w:type="paragraph" w:styleId="ListParagraph">
    <w:name w:val="List Paragraph"/>
    <w:basedOn w:val="Normal"/>
    <w:uiPriority w:val="34"/>
    <w:qFormat/>
    <w:pPr>
      <w:ind w:left="720"/>
    </w:pPr>
  </w:style>
  <w:style w:type="paragraph" w:styleId="NormalWeb">
    <w:name w:val="Normal (Web)"/>
    <w:basedOn w:val="Normal"/>
    <w:pPr>
      <w:spacing w:before="100" w:beforeAutospacing="1" w:after="100" w:afterAutospacing="1" w:line="240" w:lineRule="auto"/>
      <w:ind w:left="216" w:right="216"/>
    </w:pPr>
    <w:rPr>
      <w:rFonts w:ascii="Arial" w:eastAsiaTheme="minorEastAsia" w:hAnsi="Arial" w:cs="Arial"/>
      <w:sz w:val="14"/>
      <w:szCs w:val="14"/>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BodyTextIndent3">
    <w:name w:val="Body Text Indent 3"/>
    <w:basedOn w:val="Normal"/>
    <w:link w:val="BodyTextIndent3Char"/>
    <w:uiPriority w:val="99"/>
    <w:pPr>
      <w:spacing w:after="120"/>
      <w:ind w:left="360"/>
    </w:pPr>
    <w:rPr>
      <w:sz w:val="16"/>
      <w:szCs w:val="16"/>
    </w:rPr>
  </w:style>
  <w:style w:type="character" w:customStyle="1" w:styleId="BodyTextIndent3Char">
    <w:name w:val="Body Text Indent 3 Char"/>
    <w:basedOn w:val="DefaultParagraphFont"/>
    <w:link w:val="BodyTextIndent3"/>
    <w:uiPriority w:val="99"/>
    <w:rPr>
      <w:rFonts w:cs="Times New Roman"/>
      <w:sz w:val="16"/>
      <w:szCs w:val="16"/>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pPr>
      <w:spacing w:after="0" w:line="240" w:lineRule="auto"/>
    </w:pPr>
    <w:rPr>
      <w:rFonts w:ascii="Times New Roman" w:eastAsiaTheme="minorEastAsia" w:hAnsi="Times New Roman"/>
      <w:sz w:val="20"/>
      <w:szCs w:val="20"/>
    </w:rPr>
  </w:style>
  <w:style w:type="character" w:customStyle="1" w:styleId="CommentTextChar">
    <w:name w:val="Comment Text Char"/>
    <w:basedOn w:val="DefaultParagraphFont"/>
    <w:link w:val="CommentText"/>
    <w:uiPriority w:val="99"/>
    <w:rPr>
      <w:rFonts w:ascii="Times New Roman" w:hAnsi="Times New Roman" w:cs="Times New Roman"/>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customStyle="1" w:styleId="DeltaViewTableHeading">
    <w:name w:val="DeltaView Table Heading"/>
    <w:basedOn w:val="Normal"/>
    <w:uiPriority w:val="99"/>
    <w:pPr>
      <w:spacing w:after="120" w:line="240" w:lineRule="auto"/>
    </w:pPr>
    <w:rPr>
      <w:rFonts w:ascii="Arial" w:eastAsiaTheme="minorEastAsia" w:hAnsi="Arial"/>
      <w:b/>
      <w:sz w:val="24"/>
      <w:szCs w:val="24"/>
    </w:rPr>
  </w:style>
  <w:style w:type="paragraph" w:customStyle="1" w:styleId="DeltaViewTableBody">
    <w:name w:val="DeltaView Table Body"/>
    <w:basedOn w:val="Normal"/>
    <w:uiPriority w:val="99"/>
    <w:pPr>
      <w:spacing w:after="0" w:line="240" w:lineRule="auto"/>
    </w:pPr>
    <w:rPr>
      <w:rFonts w:ascii="Arial" w:eastAsiaTheme="minorEastAsia" w:hAnsi="Arial"/>
      <w:sz w:val="24"/>
      <w:szCs w:val="24"/>
    </w:rPr>
  </w:style>
  <w:style w:type="paragraph" w:customStyle="1" w:styleId="DeltaViewAnnounce">
    <w:name w:val="DeltaView Announce"/>
    <w:uiPriority w:val="99"/>
    <w:pPr>
      <w:autoSpaceDE w:val="0"/>
      <w:autoSpaceDN w:val="0"/>
      <w:adjustRightInd w:val="0"/>
      <w:spacing w:before="100" w:beforeAutospacing="1" w:after="100" w:afterAutospacing="1" w:line="240" w:lineRule="auto"/>
    </w:pPr>
    <w:rPr>
      <w:rFonts w:ascii="Arial" w:hAnsi="Arial" w:cs="Times New Roman"/>
      <w:sz w:val="24"/>
      <w:szCs w:val="24"/>
      <w:lang w:val="en-GB"/>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FF0000"/>
    </w:rPr>
  </w:style>
  <w:style w:type="character" w:customStyle="1" w:styleId="DeltaViewMoveDestination">
    <w:name w:val="DeltaView Move Destination"/>
    <w:uiPriority w:val="99"/>
    <w:rPr>
      <w:color w:val="0000FF"/>
      <w:u w:val="double"/>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link w:val="DocumentMapChar"/>
    <w:uiPriority w:val="99"/>
    <w:pPr>
      <w:shd w:val="clear" w:color="auto" w:fill="000080"/>
      <w:spacing w:after="0" w:line="240" w:lineRule="auto"/>
    </w:pPr>
    <w:rPr>
      <w:rFonts w:ascii="Tahoma" w:eastAsiaTheme="minorEastAsia" w:hAnsi="Tahoma"/>
      <w:sz w:val="24"/>
      <w:szCs w:val="24"/>
    </w:rPr>
  </w:style>
  <w:style w:type="character" w:customStyle="1" w:styleId="DocumentMapChar">
    <w:name w:val="Document Map Char"/>
    <w:basedOn w:val="DefaultParagraphFont"/>
    <w:link w:val="DocumentMap"/>
    <w:uiPriority w:val="99"/>
    <w:semiHidden/>
    <w:rPr>
      <w:rFonts w:ascii="Tahoma" w:eastAsia="Times New Roman" w:hAnsi="Tahoma" w:cs="Tahoma"/>
      <w:sz w:val="16"/>
      <w:szCs w:val="16"/>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basedOn w:val="DefaultParagraphFo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basedOn w:val="DeltaViewComment"/>
    <w:uiPriority w:val="99"/>
    <w:rPr>
      <w:color w:val="0000FF"/>
      <w:u w:val="double"/>
    </w:rPr>
  </w:style>
  <w:style w:type="character" w:customStyle="1" w:styleId="DeltaViewDeletedComment">
    <w:name w:val="DeltaView Deleted Comment"/>
    <w:basedOn w:val="DeltaViewComment"/>
    <w:uiPriority w:val="99"/>
    <w:rPr>
      <w:strike/>
      <w:color w:val="FF0000"/>
    </w:rPr>
  </w:style>
  <w:style w:type="paragraph" w:styleId="BodyTextFirstIndent">
    <w:name w:val="Body Text First Indent"/>
    <w:basedOn w:val="BodyText"/>
    <w:link w:val="BodyTextFirstIndentChar1"/>
    <w:uiPriority w:val="99"/>
    <w:semiHidden/>
    <w:unhideWhenUsed/>
    <w:rsid w:val="00F869A0"/>
    <w:pPr>
      <w:spacing w:after="200" w:line="276" w:lineRule="auto"/>
      <w:ind w:firstLine="360"/>
      <w:jc w:val="left"/>
    </w:pPr>
    <w:rPr>
      <w:rFonts w:ascii="Calibri" w:eastAsia="Times New Roman" w:hAnsi="Calibri"/>
      <w:sz w:val="22"/>
      <w:szCs w:val="22"/>
      <w:lang w:bidi="ar-SA"/>
    </w:rPr>
  </w:style>
  <w:style w:type="character" w:customStyle="1" w:styleId="BodyTextFirstIndentChar1">
    <w:name w:val="Body Text First Indent Char1"/>
    <w:basedOn w:val="BodyTextChar"/>
    <w:link w:val="BodyTextFirstIndent"/>
    <w:uiPriority w:val="99"/>
    <w:semiHidden/>
    <w:rsid w:val="00F869A0"/>
    <w:rPr>
      <w:rFonts w:ascii="Calibri" w:eastAsia="Times New Roman" w:hAnsi="Calibri" w:cs="Times New Roman"/>
      <w:sz w:val="20"/>
    </w:rPr>
  </w:style>
  <w:style w:type="character" w:customStyle="1" w:styleId="Heading7Char">
    <w:name w:val="Heading 7 Char"/>
    <w:basedOn w:val="DefaultParagraphFont"/>
    <w:link w:val="Heading7"/>
    <w:uiPriority w:val="99"/>
    <w:rsid w:val="009E1D5B"/>
    <w:rPr>
      <w:rFonts w:ascii="Arial" w:eastAsia="Times New Roman" w:hAnsi="Arial" w:cs="Arial"/>
      <w:b/>
      <w:sz w:val="18"/>
      <w:szCs w:val="24"/>
    </w:rPr>
  </w:style>
  <w:style w:type="paragraph" w:styleId="NoSpacing">
    <w:name w:val="No Spacing"/>
    <w:uiPriority w:val="1"/>
    <w:qFormat/>
    <w:rsid w:val="006770EB"/>
    <w:pPr>
      <w:autoSpaceDE w:val="0"/>
      <w:autoSpaceDN w:val="0"/>
      <w:adjustRightInd w:val="0"/>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6F83F0D-9BC3-454B-9505-F74587974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2284</Words>
  <Characters>13021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OEM</Company>
  <LinksUpToDate>false</LinksUpToDate>
  <CharactersWithSpaces>15275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Corey Horowitz</cp:lastModifiedBy>
  <cp:revision>2</cp:revision>
  <cp:lastPrinted>2021-03-31T13:33:00Z</cp:lastPrinted>
  <dcterms:created xsi:type="dcterms:W3CDTF">2021-03-31T14:49:00Z</dcterms:created>
  <dcterms:modified xsi:type="dcterms:W3CDTF">2021-03-31T14:49:00Z</dcterms:modified>
</cp:coreProperties>
</file>