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EB218" w14:textId="02A90641" w:rsidR="00F74559" w:rsidRPr="007F5A61" w:rsidRDefault="008B2C10" w:rsidP="003C6C40">
      <w:pPr>
        <w:autoSpaceDE w:val="0"/>
        <w:autoSpaceDN w:val="0"/>
        <w:adjustRightInd w:val="0"/>
        <w:spacing w:after="240"/>
        <w:jc w:val="center"/>
        <w:rPr>
          <w:rFonts w:ascii="Times" w:hAnsi="Times" w:cs="Times"/>
          <w:b/>
          <w:sz w:val="21"/>
          <w:szCs w:val="21"/>
        </w:rPr>
      </w:pPr>
      <w:r w:rsidRPr="00C74E35">
        <w:rPr>
          <w:noProof/>
          <w:color w:val="1F497D" w:themeColor="text2"/>
        </w:rPr>
        <w:drawing>
          <wp:inline distT="0" distB="0" distL="0" distR="0" wp14:anchorId="29619E1E" wp14:editId="113FD1DE">
            <wp:extent cx="1058400" cy="7848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058400" cy="784800"/>
                    </a:xfrm>
                    <a:prstGeom prst="rect">
                      <a:avLst/>
                    </a:prstGeom>
                  </pic:spPr>
                </pic:pic>
              </a:graphicData>
            </a:graphic>
          </wp:inline>
        </w:drawing>
      </w:r>
    </w:p>
    <w:p w14:paraId="6612E243" w14:textId="46B9AEE4" w:rsidR="00A10CF7" w:rsidRPr="00A77269" w:rsidRDefault="00A10CF7" w:rsidP="00CD6F36">
      <w:pPr>
        <w:autoSpaceDE w:val="0"/>
        <w:autoSpaceDN w:val="0"/>
        <w:adjustRightInd w:val="0"/>
        <w:jc w:val="center"/>
        <w:rPr>
          <w:rFonts w:eastAsia="Arial" w:cs="Times New Roman"/>
          <w:sz w:val="22"/>
          <w:szCs w:val="22"/>
          <w:lang w:val="en-CA"/>
        </w:rPr>
      </w:pPr>
      <w:r w:rsidRPr="00A77269">
        <w:rPr>
          <w:rFonts w:eastAsia="Arial" w:cs="Times New Roman"/>
          <w:sz w:val="22"/>
          <w:szCs w:val="22"/>
          <w:lang w:val="en-CA"/>
        </w:rPr>
        <w:t>NOT FOR DISTRIBUTION TO UNITED STATES NEWS WIRE SERVICES OR FOR DISSEMINATION IN THE UNITED STATES</w:t>
      </w:r>
    </w:p>
    <w:p w14:paraId="2B87645C" w14:textId="77777777" w:rsidR="00CD6F36" w:rsidRPr="00A77269" w:rsidRDefault="00CD6F36" w:rsidP="00AF0EF2">
      <w:pPr>
        <w:autoSpaceDE w:val="0"/>
        <w:autoSpaceDN w:val="0"/>
        <w:adjustRightInd w:val="0"/>
        <w:jc w:val="center"/>
        <w:rPr>
          <w:rFonts w:cs="Times New Roman"/>
          <w:b/>
          <w:sz w:val="22"/>
          <w:szCs w:val="22"/>
        </w:rPr>
      </w:pPr>
    </w:p>
    <w:p w14:paraId="6B2301E2" w14:textId="799EFF20" w:rsidR="00E1779E" w:rsidRPr="00A77269" w:rsidRDefault="000942D6" w:rsidP="00D9627B">
      <w:pPr>
        <w:autoSpaceDE w:val="0"/>
        <w:autoSpaceDN w:val="0"/>
        <w:adjustRightInd w:val="0"/>
        <w:jc w:val="center"/>
        <w:rPr>
          <w:rFonts w:cs="Times New Roman"/>
          <w:b/>
          <w:sz w:val="22"/>
          <w:szCs w:val="22"/>
        </w:rPr>
      </w:pPr>
      <w:r w:rsidRPr="00A77269">
        <w:rPr>
          <w:rFonts w:cs="Times New Roman"/>
          <w:b/>
          <w:sz w:val="22"/>
          <w:szCs w:val="22"/>
        </w:rPr>
        <w:t xml:space="preserve">STERLING METALS ANNOUNCES </w:t>
      </w:r>
      <w:r w:rsidR="006734E4">
        <w:rPr>
          <w:rFonts w:cs="Times New Roman"/>
          <w:b/>
          <w:sz w:val="22"/>
          <w:szCs w:val="22"/>
        </w:rPr>
        <w:t>CLOSING OF</w:t>
      </w:r>
      <w:r w:rsidR="008F0021">
        <w:rPr>
          <w:rFonts w:cs="Times New Roman"/>
          <w:b/>
          <w:sz w:val="22"/>
          <w:szCs w:val="22"/>
        </w:rPr>
        <w:t xml:space="preserve"> </w:t>
      </w:r>
      <w:r w:rsidR="002E269C" w:rsidRPr="00A77269">
        <w:rPr>
          <w:rFonts w:cs="Times New Roman"/>
          <w:b/>
          <w:sz w:val="22"/>
          <w:szCs w:val="22"/>
        </w:rPr>
        <w:t>P</w:t>
      </w:r>
      <w:r w:rsidRPr="00A77269">
        <w:rPr>
          <w:rFonts w:cs="Times New Roman"/>
          <w:b/>
          <w:sz w:val="22"/>
          <w:szCs w:val="22"/>
        </w:rPr>
        <w:t xml:space="preserve">RIVATE PLACEMENT </w:t>
      </w:r>
      <w:r w:rsidR="00AF0EF2" w:rsidRPr="00A77269">
        <w:rPr>
          <w:rFonts w:cs="Times New Roman"/>
          <w:b/>
          <w:sz w:val="22"/>
          <w:szCs w:val="22"/>
        </w:rPr>
        <w:t>OF UNITS</w:t>
      </w:r>
      <w:r w:rsidR="00351194" w:rsidRPr="00A77269">
        <w:rPr>
          <w:rFonts w:cs="Times New Roman"/>
          <w:b/>
          <w:sz w:val="22"/>
          <w:szCs w:val="22"/>
        </w:rPr>
        <w:t xml:space="preserve"> </w:t>
      </w:r>
      <w:r w:rsidR="006734E4">
        <w:rPr>
          <w:rFonts w:cs="Times New Roman"/>
          <w:b/>
          <w:sz w:val="22"/>
          <w:szCs w:val="22"/>
        </w:rPr>
        <w:br/>
      </w:r>
      <w:r w:rsidR="00351194" w:rsidRPr="00A77269">
        <w:rPr>
          <w:rFonts w:cs="Times New Roman"/>
          <w:b/>
          <w:sz w:val="22"/>
          <w:szCs w:val="22"/>
        </w:rPr>
        <w:t>AND</w:t>
      </w:r>
      <w:r w:rsidR="00D9627B" w:rsidRPr="00A77269">
        <w:rPr>
          <w:rFonts w:cs="Times New Roman"/>
          <w:b/>
          <w:sz w:val="22"/>
          <w:szCs w:val="22"/>
        </w:rPr>
        <w:t xml:space="preserve"> </w:t>
      </w:r>
      <w:r w:rsidRPr="00A77269">
        <w:rPr>
          <w:rFonts w:cs="Times New Roman"/>
          <w:b/>
          <w:sz w:val="22"/>
          <w:szCs w:val="22"/>
        </w:rPr>
        <w:t xml:space="preserve">FLOW-THROUGH UNITS </w:t>
      </w:r>
    </w:p>
    <w:p w14:paraId="30A7AB2B" w14:textId="3F1D49E0" w:rsidR="004A0494" w:rsidRPr="00A77269" w:rsidRDefault="008F5E78" w:rsidP="000942D6">
      <w:pPr>
        <w:pStyle w:val="NormalWeb"/>
        <w:spacing w:after="240"/>
        <w:jc w:val="both"/>
        <w:rPr>
          <w:sz w:val="22"/>
          <w:szCs w:val="22"/>
        </w:rPr>
      </w:pPr>
      <w:r>
        <w:rPr>
          <w:b/>
          <w:sz w:val="22"/>
          <w:szCs w:val="22"/>
        </w:rPr>
        <w:t xml:space="preserve">April </w:t>
      </w:r>
      <w:r w:rsidR="006734E4">
        <w:rPr>
          <w:b/>
          <w:sz w:val="22"/>
          <w:szCs w:val="22"/>
        </w:rPr>
        <w:t>1</w:t>
      </w:r>
      <w:r w:rsidR="00351194" w:rsidRPr="00A77269">
        <w:rPr>
          <w:b/>
          <w:sz w:val="22"/>
          <w:szCs w:val="22"/>
        </w:rPr>
        <w:t>, 2021</w:t>
      </w:r>
      <w:r w:rsidR="007213AE" w:rsidRPr="00A77269">
        <w:rPr>
          <w:b/>
          <w:sz w:val="22"/>
          <w:szCs w:val="22"/>
        </w:rPr>
        <w:t xml:space="preserve"> – </w:t>
      </w:r>
      <w:r w:rsidR="0036137D" w:rsidRPr="00A77269">
        <w:rPr>
          <w:b/>
          <w:sz w:val="22"/>
          <w:szCs w:val="22"/>
        </w:rPr>
        <w:t>Toronto, Ontario</w:t>
      </w:r>
      <w:r w:rsidR="007213AE" w:rsidRPr="00A77269">
        <w:rPr>
          <w:b/>
          <w:sz w:val="22"/>
          <w:szCs w:val="22"/>
        </w:rPr>
        <w:t xml:space="preserve"> – </w:t>
      </w:r>
      <w:r w:rsidR="008B2C10" w:rsidRPr="00A77269">
        <w:rPr>
          <w:b/>
          <w:sz w:val="22"/>
          <w:szCs w:val="22"/>
        </w:rPr>
        <w:t>Sterling Metals Corp.</w:t>
      </w:r>
      <w:r w:rsidR="00A572BF" w:rsidRPr="00A77269">
        <w:rPr>
          <w:b/>
          <w:sz w:val="22"/>
          <w:szCs w:val="22"/>
        </w:rPr>
        <w:t xml:space="preserve"> (TSXV: </w:t>
      </w:r>
      <w:r w:rsidR="008B2C10" w:rsidRPr="00A77269">
        <w:rPr>
          <w:b/>
          <w:sz w:val="22"/>
          <w:szCs w:val="22"/>
        </w:rPr>
        <w:t>SAG</w:t>
      </w:r>
      <w:r w:rsidR="00A572BF" w:rsidRPr="00A77269">
        <w:rPr>
          <w:b/>
          <w:sz w:val="22"/>
          <w:szCs w:val="22"/>
        </w:rPr>
        <w:t>)</w:t>
      </w:r>
      <w:r w:rsidR="00A572BF" w:rsidRPr="00A77269">
        <w:rPr>
          <w:sz w:val="22"/>
          <w:szCs w:val="22"/>
        </w:rPr>
        <w:t xml:space="preserve"> (the </w:t>
      </w:r>
      <w:r w:rsidR="008063A9" w:rsidRPr="00A77269">
        <w:rPr>
          <w:sz w:val="22"/>
          <w:szCs w:val="22"/>
        </w:rPr>
        <w:t>“</w:t>
      </w:r>
      <w:r w:rsidR="00A572BF" w:rsidRPr="00A77269">
        <w:rPr>
          <w:b/>
          <w:sz w:val="22"/>
          <w:szCs w:val="22"/>
        </w:rPr>
        <w:t>Company</w:t>
      </w:r>
      <w:r w:rsidR="008063A9" w:rsidRPr="00A77269">
        <w:rPr>
          <w:bCs/>
          <w:sz w:val="22"/>
          <w:szCs w:val="22"/>
        </w:rPr>
        <w:t>”</w:t>
      </w:r>
      <w:r w:rsidR="00A572BF" w:rsidRPr="00A77269">
        <w:rPr>
          <w:sz w:val="22"/>
          <w:szCs w:val="22"/>
        </w:rPr>
        <w:t xml:space="preserve">) </w:t>
      </w:r>
      <w:r w:rsidR="000942D6" w:rsidRPr="00A77269">
        <w:rPr>
          <w:sz w:val="22"/>
          <w:szCs w:val="22"/>
        </w:rPr>
        <w:t xml:space="preserve">is pleased to announce </w:t>
      </w:r>
      <w:r w:rsidR="008F0021">
        <w:rPr>
          <w:sz w:val="22"/>
          <w:szCs w:val="22"/>
        </w:rPr>
        <w:t>that</w:t>
      </w:r>
      <w:r w:rsidR="006734E4">
        <w:rPr>
          <w:sz w:val="22"/>
          <w:szCs w:val="22"/>
        </w:rPr>
        <w:t>,</w:t>
      </w:r>
      <w:r w:rsidR="008F0021">
        <w:rPr>
          <w:sz w:val="22"/>
          <w:szCs w:val="22"/>
        </w:rPr>
        <w:t xml:space="preserve"> further to its press release</w:t>
      </w:r>
      <w:r w:rsidR="006734E4">
        <w:rPr>
          <w:sz w:val="22"/>
          <w:szCs w:val="22"/>
        </w:rPr>
        <w:t>s</w:t>
      </w:r>
      <w:r w:rsidR="008F0021">
        <w:rPr>
          <w:sz w:val="22"/>
          <w:szCs w:val="22"/>
        </w:rPr>
        <w:t xml:space="preserve"> of March 15, 2021</w:t>
      </w:r>
      <w:r w:rsidR="006734E4">
        <w:rPr>
          <w:sz w:val="22"/>
          <w:szCs w:val="22"/>
        </w:rPr>
        <w:t xml:space="preserve"> and March 17, 2021</w:t>
      </w:r>
      <w:r w:rsidR="008F0021">
        <w:rPr>
          <w:sz w:val="22"/>
          <w:szCs w:val="22"/>
        </w:rPr>
        <w:t xml:space="preserve">, the Company has </w:t>
      </w:r>
      <w:r w:rsidR="006734E4">
        <w:rPr>
          <w:sz w:val="22"/>
          <w:szCs w:val="22"/>
        </w:rPr>
        <w:t xml:space="preserve">closed a </w:t>
      </w:r>
      <w:r w:rsidR="00351194" w:rsidRPr="00A77269">
        <w:rPr>
          <w:sz w:val="22"/>
          <w:szCs w:val="22"/>
        </w:rPr>
        <w:t>non-brokered</w:t>
      </w:r>
      <w:r w:rsidR="002E269C" w:rsidRPr="00A77269">
        <w:rPr>
          <w:sz w:val="22"/>
          <w:szCs w:val="22"/>
        </w:rPr>
        <w:t xml:space="preserve"> </w:t>
      </w:r>
      <w:r w:rsidR="000942D6" w:rsidRPr="00A77269">
        <w:rPr>
          <w:sz w:val="22"/>
          <w:szCs w:val="22"/>
        </w:rPr>
        <w:t xml:space="preserve">private placement through </w:t>
      </w:r>
      <w:r w:rsidR="00AF0EF2" w:rsidRPr="00A77269">
        <w:rPr>
          <w:sz w:val="22"/>
          <w:szCs w:val="22"/>
        </w:rPr>
        <w:t xml:space="preserve">the issuance of </w:t>
      </w:r>
      <w:r w:rsidR="00FA0C40">
        <w:rPr>
          <w:sz w:val="22"/>
          <w:szCs w:val="22"/>
        </w:rPr>
        <w:t>2,981,925</w:t>
      </w:r>
      <w:r w:rsidR="006734E4">
        <w:rPr>
          <w:sz w:val="22"/>
          <w:szCs w:val="22"/>
        </w:rPr>
        <w:t xml:space="preserve"> </w:t>
      </w:r>
      <w:r w:rsidR="00AF0EF2" w:rsidRPr="00A77269">
        <w:rPr>
          <w:sz w:val="22"/>
          <w:szCs w:val="22"/>
        </w:rPr>
        <w:t>units (</w:t>
      </w:r>
      <w:r w:rsidR="008F0021">
        <w:rPr>
          <w:sz w:val="22"/>
          <w:szCs w:val="22"/>
        </w:rPr>
        <w:t xml:space="preserve">each, a </w:t>
      </w:r>
      <w:r w:rsidR="008063A9" w:rsidRPr="00A77269">
        <w:rPr>
          <w:sz w:val="22"/>
          <w:szCs w:val="22"/>
        </w:rPr>
        <w:t>“</w:t>
      </w:r>
      <w:r w:rsidR="000942D6" w:rsidRPr="00A77269">
        <w:rPr>
          <w:b/>
          <w:bCs/>
          <w:sz w:val="22"/>
          <w:szCs w:val="22"/>
        </w:rPr>
        <w:t>Unit</w:t>
      </w:r>
      <w:r w:rsidR="008063A9" w:rsidRPr="00A77269">
        <w:rPr>
          <w:sz w:val="22"/>
          <w:szCs w:val="22"/>
        </w:rPr>
        <w:t>”</w:t>
      </w:r>
      <w:r w:rsidR="000942D6" w:rsidRPr="00A77269">
        <w:rPr>
          <w:sz w:val="22"/>
          <w:szCs w:val="22"/>
        </w:rPr>
        <w:t>) at a price of $</w:t>
      </w:r>
      <w:r w:rsidR="00BB33D9" w:rsidRPr="00A77269">
        <w:rPr>
          <w:sz w:val="22"/>
          <w:szCs w:val="22"/>
        </w:rPr>
        <w:t>0.</w:t>
      </w:r>
      <w:r w:rsidR="00351194" w:rsidRPr="00A77269">
        <w:rPr>
          <w:sz w:val="22"/>
          <w:szCs w:val="22"/>
        </w:rPr>
        <w:t>52</w:t>
      </w:r>
      <w:r w:rsidR="000942D6" w:rsidRPr="00A77269">
        <w:rPr>
          <w:sz w:val="22"/>
          <w:szCs w:val="22"/>
        </w:rPr>
        <w:t xml:space="preserve"> </w:t>
      </w:r>
      <w:r w:rsidR="00BB33D9" w:rsidRPr="00A77269">
        <w:rPr>
          <w:sz w:val="22"/>
          <w:szCs w:val="22"/>
        </w:rPr>
        <w:t>per Unit</w:t>
      </w:r>
      <w:r w:rsidR="00351194" w:rsidRPr="00A77269">
        <w:rPr>
          <w:sz w:val="22"/>
          <w:szCs w:val="22"/>
        </w:rPr>
        <w:t xml:space="preserve"> and </w:t>
      </w:r>
      <w:r w:rsidR="00FA0C40">
        <w:rPr>
          <w:sz w:val="22"/>
          <w:szCs w:val="22"/>
        </w:rPr>
        <w:t>2,542,805</w:t>
      </w:r>
      <w:r w:rsidR="006734E4">
        <w:rPr>
          <w:sz w:val="22"/>
          <w:szCs w:val="22"/>
        </w:rPr>
        <w:t xml:space="preserve"> </w:t>
      </w:r>
      <w:r w:rsidR="00AF0EF2" w:rsidRPr="00A77269">
        <w:rPr>
          <w:sz w:val="22"/>
          <w:szCs w:val="22"/>
        </w:rPr>
        <w:t>flow-through units (</w:t>
      </w:r>
      <w:r w:rsidR="008F0021">
        <w:rPr>
          <w:sz w:val="22"/>
          <w:szCs w:val="22"/>
        </w:rPr>
        <w:t xml:space="preserve">each, a </w:t>
      </w:r>
      <w:r w:rsidR="008063A9" w:rsidRPr="00A77269">
        <w:rPr>
          <w:sz w:val="22"/>
          <w:szCs w:val="22"/>
        </w:rPr>
        <w:t>“</w:t>
      </w:r>
      <w:r w:rsidR="000942D6" w:rsidRPr="00A77269">
        <w:rPr>
          <w:b/>
          <w:bCs/>
          <w:sz w:val="22"/>
          <w:szCs w:val="22"/>
        </w:rPr>
        <w:t>FT Unit</w:t>
      </w:r>
      <w:r w:rsidR="008063A9" w:rsidRPr="00A77269">
        <w:rPr>
          <w:sz w:val="22"/>
          <w:szCs w:val="22"/>
        </w:rPr>
        <w:t>”</w:t>
      </w:r>
      <w:r w:rsidR="000942D6" w:rsidRPr="00A77269">
        <w:rPr>
          <w:sz w:val="22"/>
          <w:szCs w:val="22"/>
        </w:rPr>
        <w:t>) at a price of $</w:t>
      </w:r>
      <w:r w:rsidR="00BB33D9" w:rsidRPr="00A77269">
        <w:rPr>
          <w:sz w:val="22"/>
          <w:szCs w:val="22"/>
        </w:rPr>
        <w:t>0.</w:t>
      </w:r>
      <w:r w:rsidR="003945C2">
        <w:rPr>
          <w:sz w:val="22"/>
          <w:szCs w:val="22"/>
        </w:rPr>
        <w:t>57</w:t>
      </w:r>
      <w:r w:rsidR="000942D6" w:rsidRPr="00A77269">
        <w:rPr>
          <w:sz w:val="22"/>
          <w:szCs w:val="22"/>
        </w:rPr>
        <w:t xml:space="preserve"> per FT </w:t>
      </w:r>
      <w:r w:rsidR="006734E4">
        <w:rPr>
          <w:sz w:val="22"/>
          <w:szCs w:val="22"/>
        </w:rPr>
        <w:t>for aggregate gross proceeds of $3,000,000</w:t>
      </w:r>
      <w:r w:rsidR="006734E4" w:rsidRPr="00A77269">
        <w:rPr>
          <w:sz w:val="22"/>
          <w:szCs w:val="22"/>
        </w:rPr>
        <w:t xml:space="preserve"> </w:t>
      </w:r>
      <w:r w:rsidR="00AF0EF2" w:rsidRPr="00A77269">
        <w:rPr>
          <w:sz w:val="22"/>
          <w:szCs w:val="22"/>
        </w:rPr>
        <w:t xml:space="preserve">(the </w:t>
      </w:r>
      <w:r w:rsidR="008063A9" w:rsidRPr="00A77269">
        <w:rPr>
          <w:sz w:val="22"/>
          <w:szCs w:val="22"/>
        </w:rPr>
        <w:t>“</w:t>
      </w:r>
      <w:r w:rsidR="002E269C" w:rsidRPr="00A77269">
        <w:rPr>
          <w:b/>
          <w:bCs/>
          <w:sz w:val="22"/>
          <w:szCs w:val="22"/>
        </w:rPr>
        <w:t>Offering</w:t>
      </w:r>
      <w:r w:rsidR="008063A9" w:rsidRPr="00A77269">
        <w:rPr>
          <w:sz w:val="22"/>
          <w:szCs w:val="22"/>
        </w:rPr>
        <w:t>”</w:t>
      </w:r>
      <w:r w:rsidR="002E269C" w:rsidRPr="00A77269">
        <w:rPr>
          <w:sz w:val="22"/>
          <w:szCs w:val="22"/>
        </w:rPr>
        <w:t>)</w:t>
      </w:r>
      <w:r w:rsidR="00D9627B" w:rsidRPr="00A77269">
        <w:rPr>
          <w:sz w:val="22"/>
          <w:szCs w:val="22"/>
        </w:rPr>
        <w:t xml:space="preserve">. </w:t>
      </w:r>
    </w:p>
    <w:p w14:paraId="6B9A648F" w14:textId="455F15D9" w:rsidR="006232A3" w:rsidRDefault="000942D6" w:rsidP="006232A3">
      <w:pPr>
        <w:pStyle w:val="NormalWeb"/>
        <w:spacing w:after="240"/>
        <w:jc w:val="both"/>
        <w:rPr>
          <w:sz w:val="22"/>
          <w:szCs w:val="22"/>
        </w:rPr>
      </w:pPr>
      <w:r w:rsidRPr="00A77269">
        <w:rPr>
          <w:sz w:val="22"/>
          <w:szCs w:val="22"/>
        </w:rPr>
        <w:t xml:space="preserve">Each Unit </w:t>
      </w:r>
      <w:r w:rsidR="006734E4">
        <w:rPr>
          <w:sz w:val="22"/>
          <w:szCs w:val="22"/>
        </w:rPr>
        <w:t>is</w:t>
      </w:r>
      <w:r w:rsidRPr="00A77269">
        <w:rPr>
          <w:sz w:val="22"/>
          <w:szCs w:val="22"/>
        </w:rPr>
        <w:t xml:space="preserve"> comprised of </w:t>
      </w:r>
      <w:r w:rsidR="00AF0EF2" w:rsidRPr="00A77269">
        <w:rPr>
          <w:sz w:val="22"/>
          <w:szCs w:val="22"/>
        </w:rPr>
        <w:t>one common share (</w:t>
      </w:r>
      <w:r w:rsidR="006734E4">
        <w:rPr>
          <w:sz w:val="22"/>
          <w:szCs w:val="22"/>
        </w:rPr>
        <w:t xml:space="preserve">each, a </w:t>
      </w:r>
      <w:r w:rsidR="008063A9" w:rsidRPr="00A77269">
        <w:rPr>
          <w:sz w:val="22"/>
          <w:szCs w:val="22"/>
        </w:rPr>
        <w:t>“</w:t>
      </w:r>
      <w:r w:rsidRPr="00A77269">
        <w:rPr>
          <w:b/>
          <w:bCs/>
          <w:sz w:val="22"/>
          <w:szCs w:val="22"/>
        </w:rPr>
        <w:t>Common Share</w:t>
      </w:r>
      <w:r w:rsidR="008063A9" w:rsidRPr="00A77269">
        <w:rPr>
          <w:bCs/>
          <w:sz w:val="22"/>
          <w:szCs w:val="22"/>
        </w:rPr>
        <w:t>”</w:t>
      </w:r>
      <w:r w:rsidRPr="00A77269">
        <w:rPr>
          <w:sz w:val="22"/>
          <w:szCs w:val="22"/>
        </w:rPr>
        <w:t>) in the capital of the Company and one Common Share purchase warrant (</w:t>
      </w:r>
      <w:r w:rsidR="006734E4">
        <w:rPr>
          <w:sz w:val="22"/>
          <w:szCs w:val="22"/>
        </w:rPr>
        <w:t xml:space="preserve">each, a </w:t>
      </w:r>
      <w:r w:rsidR="008063A9" w:rsidRPr="00A77269">
        <w:rPr>
          <w:sz w:val="22"/>
          <w:szCs w:val="22"/>
        </w:rPr>
        <w:t>“</w:t>
      </w:r>
      <w:r w:rsidRPr="00A77269">
        <w:rPr>
          <w:b/>
          <w:bCs/>
          <w:sz w:val="22"/>
          <w:szCs w:val="22"/>
        </w:rPr>
        <w:t>Warrant</w:t>
      </w:r>
      <w:r w:rsidR="008063A9" w:rsidRPr="00A77269">
        <w:rPr>
          <w:sz w:val="22"/>
          <w:szCs w:val="22"/>
        </w:rPr>
        <w:t>”</w:t>
      </w:r>
      <w:r w:rsidRPr="00A77269">
        <w:rPr>
          <w:sz w:val="22"/>
          <w:szCs w:val="22"/>
        </w:rPr>
        <w:t>)</w:t>
      </w:r>
      <w:r w:rsidR="002D2A64" w:rsidRPr="00A77269">
        <w:rPr>
          <w:sz w:val="22"/>
          <w:szCs w:val="22"/>
        </w:rPr>
        <w:t xml:space="preserve"> of the Company</w:t>
      </w:r>
      <w:r w:rsidRPr="00A77269">
        <w:rPr>
          <w:sz w:val="22"/>
          <w:szCs w:val="22"/>
        </w:rPr>
        <w:t>. Each Warrant entitle</w:t>
      </w:r>
      <w:r w:rsidR="006734E4">
        <w:rPr>
          <w:sz w:val="22"/>
          <w:szCs w:val="22"/>
        </w:rPr>
        <w:t>s</w:t>
      </w:r>
      <w:r w:rsidRPr="00A77269">
        <w:rPr>
          <w:sz w:val="22"/>
          <w:szCs w:val="22"/>
        </w:rPr>
        <w:t xml:space="preserve"> the holder thereof to acquire one Common Share at a price of $</w:t>
      </w:r>
      <w:r w:rsidR="00BB33D9" w:rsidRPr="00A77269">
        <w:rPr>
          <w:sz w:val="22"/>
          <w:szCs w:val="22"/>
        </w:rPr>
        <w:t>0.</w:t>
      </w:r>
      <w:r w:rsidR="00351194" w:rsidRPr="00A77269">
        <w:rPr>
          <w:sz w:val="22"/>
          <w:szCs w:val="22"/>
        </w:rPr>
        <w:t>78</w:t>
      </w:r>
      <w:r w:rsidRPr="00A77269">
        <w:rPr>
          <w:sz w:val="22"/>
          <w:szCs w:val="22"/>
        </w:rPr>
        <w:t xml:space="preserve"> </w:t>
      </w:r>
      <w:r w:rsidR="00882E93">
        <w:rPr>
          <w:sz w:val="22"/>
          <w:szCs w:val="22"/>
        </w:rPr>
        <w:t xml:space="preserve">per Common Share </w:t>
      </w:r>
      <w:r w:rsidRPr="00A77269">
        <w:rPr>
          <w:sz w:val="22"/>
          <w:szCs w:val="22"/>
        </w:rPr>
        <w:t xml:space="preserve">for a period of </w:t>
      </w:r>
      <w:r w:rsidR="00BB33D9" w:rsidRPr="00A77269">
        <w:rPr>
          <w:sz w:val="22"/>
          <w:szCs w:val="22"/>
        </w:rPr>
        <w:t>two</w:t>
      </w:r>
      <w:r w:rsidRPr="00A77269">
        <w:rPr>
          <w:sz w:val="22"/>
          <w:szCs w:val="22"/>
        </w:rPr>
        <w:t xml:space="preserve"> (</w:t>
      </w:r>
      <w:r w:rsidR="00BB33D9" w:rsidRPr="00A77269">
        <w:rPr>
          <w:sz w:val="22"/>
          <w:szCs w:val="22"/>
        </w:rPr>
        <w:t>2</w:t>
      </w:r>
      <w:r w:rsidRPr="00A77269">
        <w:rPr>
          <w:sz w:val="22"/>
          <w:szCs w:val="22"/>
        </w:rPr>
        <w:t>) years from the closing date of the Offering</w:t>
      </w:r>
      <w:r w:rsidR="006232A3">
        <w:rPr>
          <w:sz w:val="22"/>
          <w:szCs w:val="22"/>
        </w:rPr>
        <w:t xml:space="preserve"> </w:t>
      </w:r>
      <w:r w:rsidR="006232A3" w:rsidRPr="00A77269">
        <w:rPr>
          <w:sz w:val="22"/>
          <w:szCs w:val="22"/>
        </w:rPr>
        <w:t>(the “</w:t>
      </w:r>
      <w:r w:rsidR="006232A3" w:rsidRPr="00A77269">
        <w:rPr>
          <w:b/>
          <w:bCs/>
          <w:sz w:val="22"/>
          <w:szCs w:val="22"/>
        </w:rPr>
        <w:t>Closing Date</w:t>
      </w:r>
      <w:r w:rsidR="006232A3" w:rsidRPr="00A77269">
        <w:rPr>
          <w:sz w:val="22"/>
          <w:szCs w:val="22"/>
        </w:rPr>
        <w:t>”)</w:t>
      </w:r>
      <w:r w:rsidRPr="00A77269">
        <w:rPr>
          <w:sz w:val="22"/>
          <w:szCs w:val="22"/>
        </w:rPr>
        <w:t>.</w:t>
      </w:r>
      <w:r w:rsidR="0057372F" w:rsidRPr="00A77269">
        <w:rPr>
          <w:sz w:val="22"/>
          <w:szCs w:val="22"/>
        </w:rPr>
        <w:t xml:space="preserve"> </w:t>
      </w:r>
      <w:r w:rsidRPr="00A77269">
        <w:rPr>
          <w:sz w:val="22"/>
          <w:szCs w:val="22"/>
        </w:rPr>
        <w:t xml:space="preserve">Each FT Unit </w:t>
      </w:r>
      <w:r w:rsidR="006734E4">
        <w:rPr>
          <w:sz w:val="22"/>
          <w:szCs w:val="22"/>
        </w:rPr>
        <w:t>is</w:t>
      </w:r>
      <w:r w:rsidRPr="00A77269">
        <w:rPr>
          <w:sz w:val="22"/>
          <w:szCs w:val="22"/>
        </w:rPr>
        <w:t xml:space="preserve"> comprised of one Common Share</w:t>
      </w:r>
      <w:r w:rsidR="00FA0C40">
        <w:rPr>
          <w:sz w:val="22"/>
          <w:szCs w:val="22"/>
        </w:rPr>
        <w:t xml:space="preserve"> </w:t>
      </w:r>
      <w:r w:rsidR="00FA0C40" w:rsidRPr="00A77269">
        <w:rPr>
          <w:sz w:val="22"/>
          <w:szCs w:val="22"/>
        </w:rPr>
        <w:t>(</w:t>
      </w:r>
      <w:r w:rsidR="00FA0C40">
        <w:rPr>
          <w:sz w:val="22"/>
          <w:szCs w:val="22"/>
        </w:rPr>
        <w:t xml:space="preserve">each, a </w:t>
      </w:r>
      <w:r w:rsidR="00FA0C40" w:rsidRPr="00A77269">
        <w:rPr>
          <w:sz w:val="22"/>
          <w:szCs w:val="22"/>
        </w:rPr>
        <w:t>“</w:t>
      </w:r>
      <w:r w:rsidR="00FA0C40" w:rsidRPr="00A77269">
        <w:rPr>
          <w:b/>
          <w:bCs/>
          <w:sz w:val="22"/>
          <w:szCs w:val="22"/>
        </w:rPr>
        <w:t>FT Share</w:t>
      </w:r>
      <w:r w:rsidR="00FA0C40" w:rsidRPr="00A77269">
        <w:rPr>
          <w:sz w:val="22"/>
          <w:szCs w:val="22"/>
        </w:rPr>
        <w:t>”)</w:t>
      </w:r>
      <w:r w:rsidRPr="00A77269">
        <w:rPr>
          <w:sz w:val="22"/>
          <w:szCs w:val="22"/>
        </w:rPr>
        <w:t>, issued on a flow-through basis</w:t>
      </w:r>
      <w:r w:rsidR="006232A3">
        <w:rPr>
          <w:sz w:val="22"/>
          <w:szCs w:val="22"/>
        </w:rPr>
        <w:t>,</w:t>
      </w:r>
      <w:r w:rsidRPr="00A77269">
        <w:rPr>
          <w:sz w:val="22"/>
          <w:szCs w:val="22"/>
        </w:rPr>
        <w:t xml:space="preserve"> and one Warrant, issued on a non-flow-through basis, having the same terms as </w:t>
      </w:r>
      <w:r w:rsidR="00BB33D9" w:rsidRPr="00A77269">
        <w:rPr>
          <w:sz w:val="22"/>
          <w:szCs w:val="22"/>
        </w:rPr>
        <w:t>Warrant</w:t>
      </w:r>
      <w:r w:rsidR="006734E4">
        <w:rPr>
          <w:sz w:val="22"/>
          <w:szCs w:val="22"/>
        </w:rPr>
        <w:t>s partially comprising the Units</w:t>
      </w:r>
      <w:r w:rsidR="00BB33D9" w:rsidRPr="00A77269">
        <w:rPr>
          <w:sz w:val="22"/>
          <w:szCs w:val="22"/>
        </w:rPr>
        <w:t xml:space="preserve">. </w:t>
      </w:r>
      <w:r w:rsidR="00D9627B" w:rsidRPr="00A77269">
        <w:rPr>
          <w:sz w:val="22"/>
          <w:szCs w:val="22"/>
        </w:rPr>
        <w:t xml:space="preserve">The FT Shares will qualify as “flow-through shares” within the meaning of subsection 66(15) of the </w:t>
      </w:r>
      <w:r w:rsidR="00D9627B" w:rsidRPr="00A77269">
        <w:rPr>
          <w:i/>
          <w:iCs/>
          <w:sz w:val="22"/>
          <w:szCs w:val="22"/>
        </w:rPr>
        <w:t>Income Tax Act</w:t>
      </w:r>
      <w:r w:rsidR="00D9627B" w:rsidRPr="00A77269">
        <w:rPr>
          <w:sz w:val="22"/>
          <w:szCs w:val="22"/>
        </w:rPr>
        <w:t xml:space="preserve"> (Canada).</w:t>
      </w:r>
    </w:p>
    <w:p w14:paraId="1D3C95DA" w14:textId="6D3FEA9E" w:rsidR="004A0494" w:rsidRPr="004A0494" w:rsidRDefault="00F730C5" w:rsidP="00D02639">
      <w:pPr>
        <w:pStyle w:val="NormalWeb"/>
        <w:spacing w:after="240"/>
        <w:jc w:val="both"/>
        <w:rPr>
          <w:sz w:val="22"/>
          <w:szCs w:val="22"/>
        </w:rPr>
      </w:pPr>
      <w:r w:rsidRPr="00F730C5">
        <w:rPr>
          <w:sz w:val="22"/>
          <w:szCs w:val="22"/>
        </w:rPr>
        <w:t xml:space="preserve">Mathew Wilson, CEO, states: “We are </w:t>
      </w:r>
      <w:r>
        <w:rPr>
          <w:sz w:val="22"/>
          <w:szCs w:val="22"/>
        </w:rPr>
        <w:t xml:space="preserve">fortunate </w:t>
      </w:r>
      <w:r w:rsidRPr="00F730C5">
        <w:rPr>
          <w:sz w:val="22"/>
          <w:szCs w:val="22"/>
        </w:rPr>
        <w:t>to have excellent current and new shareholders who share our level of excitement for this potential high-grade district scale silver and base metal asset.  With now over $6,000,000 in the bank and the potential for an additional nearly $10,000,000 in cash from</w:t>
      </w:r>
      <w:r>
        <w:rPr>
          <w:sz w:val="22"/>
          <w:szCs w:val="22"/>
        </w:rPr>
        <w:t xml:space="preserve"> future</w:t>
      </w:r>
      <w:r w:rsidRPr="00F730C5">
        <w:rPr>
          <w:sz w:val="22"/>
          <w:szCs w:val="22"/>
        </w:rPr>
        <w:t xml:space="preserve"> warrant exercises, the company is well positioned to drill ou</w:t>
      </w:r>
      <w:r>
        <w:rPr>
          <w:sz w:val="22"/>
          <w:szCs w:val="22"/>
        </w:rPr>
        <w:t>t</w:t>
      </w:r>
      <w:r w:rsidRPr="00F730C5">
        <w:rPr>
          <w:sz w:val="22"/>
          <w:szCs w:val="22"/>
        </w:rPr>
        <w:t xml:space="preserve"> </w:t>
      </w:r>
      <w:r>
        <w:rPr>
          <w:sz w:val="22"/>
          <w:szCs w:val="22"/>
        </w:rPr>
        <w:t xml:space="preserve">our numerous </w:t>
      </w:r>
      <w:r w:rsidRPr="00F730C5">
        <w:rPr>
          <w:sz w:val="22"/>
          <w:szCs w:val="22"/>
        </w:rPr>
        <w:t>priority targets. The company has signed drill contractors and project geologists and is set to begin drilling as the weather warms. We are thankful for the support and look forward to continuing down the path of discovering Canada’s next high grade silver district.”</w:t>
      </w:r>
    </w:p>
    <w:p w14:paraId="35591287" w14:textId="3FEDB4C4" w:rsidR="006D3F80" w:rsidRPr="00A77269" w:rsidRDefault="006D3F80" w:rsidP="006D3F80">
      <w:pPr>
        <w:pStyle w:val="NormalWeb"/>
        <w:spacing w:after="240"/>
        <w:jc w:val="both"/>
        <w:rPr>
          <w:sz w:val="22"/>
          <w:szCs w:val="22"/>
        </w:rPr>
      </w:pPr>
      <w:r>
        <w:rPr>
          <w:sz w:val="22"/>
          <w:szCs w:val="22"/>
        </w:rPr>
        <w:t xml:space="preserve">The net proceeds of the Offering from the sale of the Units will be used by the Company for general working capital purposes. </w:t>
      </w:r>
      <w:r w:rsidRPr="00A77269">
        <w:rPr>
          <w:sz w:val="22"/>
          <w:szCs w:val="22"/>
        </w:rPr>
        <w:t xml:space="preserve">The gross proceeds from the sale of the FT Units will be used by the Company to incur eligible “Canadian exploration expenses” that will qualify as “flow-through expenditures” as such terms are defined in the </w:t>
      </w:r>
      <w:r w:rsidRPr="00A77269">
        <w:rPr>
          <w:i/>
          <w:sz w:val="22"/>
          <w:szCs w:val="22"/>
        </w:rPr>
        <w:t xml:space="preserve">Income Tax Act </w:t>
      </w:r>
      <w:r w:rsidRPr="00A77269">
        <w:rPr>
          <w:sz w:val="22"/>
          <w:szCs w:val="22"/>
        </w:rPr>
        <w:t>(Canada).</w:t>
      </w:r>
    </w:p>
    <w:p w14:paraId="00DB94A5" w14:textId="39E40FF8" w:rsidR="000942D6" w:rsidRDefault="006734E4" w:rsidP="006232A3">
      <w:pPr>
        <w:pStyle w:val="NormalWeb"/>
        <w:spacing w:after="240"/>
        <w:jc w:val="both"/>
        <w:rPr>
          <w:sz w:val="22"/>
          <w:szCs w:val="22"/>
        </w:rPr>
      </w:pPr>
      <w:r>
        <w:rPr>
          <w:sz w:val="22"/>
          <w:szCs w:val="22"/>
        </w:rPr>
        <w:t>In connection with the Offering, t</w:t>
      </w:r>
      <w:r w:rsidR="00D80A66" w:rsidRPr="00A77269">
        <w:rPr>
          <w:sz w:val="22"/>
          <w:szCs w:val="22"/>
        </w:rPr>
        <w:t xml:space="preserve">he Company </w:t>
      </w:r>
      <w:r w:rsidR="0057372F" w:rsidRPr="00A77269">
        <w:rPr>
          <w:sz w:val="22"/>
          <w:szCs w:val="22"/>
        </w:rPr>
        <w:t>pa</w:t>
      </w:r>
      <w:r w:rsidR="004A394C">
        <w:rPr>
          <w:sz w:val="22"/>
          <w:szCs w:val="22"/>
        </w:rPr>
        <w:t>id</w:t>
      </w:r>
      <w:r w:rsidR="00053D9B" w:rsidRPr="00A77269">
        <w:rPr>
          <w:sz w:val="22"/>
          <w:szCs w:val="22"/>
        </w:rPr>
        <w:t xml:space="preserve"> </w:t>
      </w:r>
      <w:r w:rsidR="00D80A66" w:rsidRPr="00A77269">
        <w:rPr>
          <w:sz w:val="22"/>
          <w:szCs w:val="22"/>
        </w:rPr>
        <w:t>certain eligible persons</w:t>
      </w:r>
      <w:r w:rsidR="00882E93">
        <w:rPr>
          <w:sz w:val="22"/>
          <w:szCs w:val="22"/>
        </w:rPr>
        <w:t xml:space="preserve"> </w:t>
      </w:r>
      <w:r w:rsidR="00C166D9">
        <w:rPr>
          <w:sz w:val="22"/>
          <w:szCs w:val="22"/>
        </w:rPr>
        <w:t>(the “</w:t>
      </w:r>
      <w:r w:rsidR="00C166D9" w:rsidRPr="00C166D9">
        <w:rPr>
          <w:b/>
          <w:bCs/>
          <w:sz w:val="22"/>
          <w:szCs w:val="22"/>
        </w:rPr>
        <w:t>Finder</w:t>
      </w:r>
      <w:r w:rsidR="002C5315">
        <w:rPr>
          <w:b/>
          <w:bCs/>
          <w:sz w:val="22"/>
          <w:szCs w:val="22"/>
        </w:rPr>
        <w:t>s</w:t>
      </w:r>
      <w:r w:rsidR="00C166D9" w:rsidRPr="002C5315">
        <w:rPr>
          <w:sz w:val="22"/>
          <w:szCs w:val="22"/>
        </w:rPr>
        <w:t>”</w:t>
      </w:r>
      <w:r w:rsidR="00C166D9">
        <w:rPr>
          <w:sz w:val="22"/>
          <w:szCs w:val="22"/>
        </w:rPr>
        <w:t xml:space="preserve">) </w:t>
      </w:r>
      <w:r w:rsidR="0057372F" w:rsidRPr="00A77269">
        <w:rPr>
          <w:sz w:val="22"/>
          <w:szCs w:val="22"/>
        </w:rPr>
        <w:t xml:space="preserve">a cash commission </w:t>
      </w:r>
      <w:r w:rsidR="004A394C">
        <w:rPr>
          <w:sz w:val="22"/>
          <w:szCs w:val="22"/>
        </w:rPr>
        <w:t>of $</w:t>
      </w:r>
      <w:r w:rsidR="00057CC2" w:rsidRPr="00057CC2">
        <w:rPr>
          <w:sz w:val="22"/>
          <w:szCs w:val="22"/>
        </w:rPr>
        <w:t>38,155.23</w:t>
      </w:r>
      <w:r w:rsidR="004A394C">
        <w:rPr>
          <w:sz w:val="22"/>
          <w:szCs w:val="22"/>
        </w:rPr>
        <w:t xml:space="preserve">, </w:t>
      </w:r>
      <w:r w:rsidR="00D80A66" w:rsidRPr="00A77269">
        <w:rPr>
          <w:sz w:val="22"/>
          <w:szCs w:val="22"/>
        </w:rPr>
        <w:t xml:space="preserve">equal to </w:t>
      </w:r>
      <w:r w:rsidR="00351194" w:rsidRPr="00A77269">
        <w:rPr>
          <w:sz w:val="22"/>
          <w:szCs w:val="22"/>
        </w:rPr>
        <w:t>7</w:t>
      </w:r>
      <w:r w:rsidR="0057372F" w:rsidRPr="00A77269">
        <w:rPr>
          <w:sz w:val="22"/>
          <w:szCs w:val="22"/>
        </w:rPr>
        <w:t>% of the gross proceeds of the Offering</w:t>
      </w:r>
      <w:r w:rsidR="00D80A66" w:rsidRPr="00A77269">
        <w:rPr>
          <w:sz w:val="22"/>
          <w:szCs w:val="22"/>
        </w:rPr>
        <w:t xml:space="preserve"> </w:t>
      </w:r>
      <w:r w:rsidR="004A394C">
        <w:rPr>
          <w:sz w:val="22"/>
          <w:szCs w:val="22"/>
        </w:rPr>
        <w:t xml:space="preserve">delivered by the Finders </w:t>
      </w:r>
      <w:r w:rsidR="0057372F" w:rsidRPr="00A77269">
        <w:rPr>
          <w:sz w:val="22"/>
          <w:szCs w:val="22"/>
        </w:rPr>
        <w:t xml:space="preserve">and </w:t>
      </w:r>
      <w:r w:rsidR="004A394C">
        <w:rPr>
          <w:sz w:val="22"/>
          <w:szCs w:val="22"/>
        </w:rPr>
        <w:t xml:space="preserve">issued </w:t>
      </w:r>
      <w:r w:rsidR="00057CC2">
        <w:rPr>
          <w:sz w:val="22"/>
          <w:szCs w:val="22"/>
        </w:rPr>
        <w:t>60,525</w:t>
      </w:r>
      <w:r w:rsidR="00B45F15">
        <w:rPr>
          <w:sz w:val="22"/>
          <w:szCs w:val="22"/>
        </w:rPr>
        <w:t xml:space="preserve"> </w:t>
      </w:r>
      <w:r w:rsidR="0057372F" w:rsidRPr="00A77269">
        <w:rPr>
          <w:sz w:val="22"/>
          <w:szCs w:val="22"/>
        </w:rPr>
        <w:t>broker warrants (</w:t>
      </w:r>
      <w:r w:rsidR="008063A9" w:rsidRPr="00A77269">
        <w:rPr>
          <w:sz w:val="22"/>
          <w:szCs w:val="22"/>
        </w:rPr>
        <w:t>“</w:t>
      </w:r>
      <w:r w:rsidR="0057372F" w:rsidRPr="00A77269">
        <w:rPr>
          <w:b/>
          <w:bCs/>
          <w:sz w:val="22"/>
          <w:szCs w:val="22"/>
        </w:rPr>
        <w:t>Broker Warrants</w:t>
      </w:r>
      <w:r w:rsidR="008063A9" w:rsidRPr="00A77269">
        <w:rPr>
          <w:sz w:val="22"/>
          <w:szCs w:val="22"/>
        </w:rPr>
        <w:t>”</w:t>
      </w:r>
      <w:r w:rsidR="0057372F" w:rsidRPr="00A77269">
        <w:rPr>
          <w:sz w:val="22"/>
          <w:szCs w:val="22"/>
        </w:rPr>
        <w:t>)</w:t>
      </w:r>
      <w:r w:rsidR="004A394C">
        <w:rPr>
          <w:sz w:val="22"/>
          <w:szCs w:val="22"/>
        </w:rPr>
        <w:t>,</w:t>
      </w:r>
      <w:r w:rsidR="00053D9B" w:rsidRPr="00A77269">
        <w:rPr>
          <w:sz w:val="22"/>
          <w:szCs w:val="22"/>
        </w:rPr>
        <w:t xml:space="preserve"> </w:t>
      </w:r>
      <w:r w:rsidR="0057372F" w:rsidRPr="00A77269">
        <w:rPr>
          <w:sz w:val="22"/>
          <w:szCs w:val="22"/>
        </w:rPr>
        <w:t xml:space="preserve">equal to </w:t>
      </w:r>
      <w:r w:rsidR="00351194" w:rsidRPr="00A77269">
        <w:rPr>
          <w:sz w:val="22"/>
          <w:szCs w:val="22"/>
        </w:rPr>
        <w:t>7</w:t>
      </w:r>
      <w:r w:rsidR="0057372F" w:rsidRPr="00A77269">
        <w:rPr>
          <w:sz w:val="22"/>
          <w:szCs w:val="22"/>
        </w:rPr>
        <w:t xml:space="preserve">% of the number of </w:t>
      </w:r>
      <w:r w:rsidR="000100FB" w:rsidRPr="00A77269">
        <w:rPr>
          <w:sz w:val="22"/>
          <w:szCs w:val="22"/>
        </w:rPr>
        <w:t>Units</w:t>
      </w:r>
      <w:r w:rsidR="00351194" w:rsidRPr="00A77269">
        <w:rPr>
          <w:sz w:val="22"/>
          <w:szCs w:val="22"/>
        </w:rPr>
        <w:t xml:space="preserve"> and</w:t>
      </w:r>
      <w:r w:rsidR="00D9627B" w:rsidRPr="00A77269">
        <w:rPr>
          <w:sz w:val="22"/>
          <w:szCs w:val="22"/>
        </w:rPr>
        <w:t xml:space="preserve"> </w:t>
      </w:r>
      <w:r w:rsidR="00053D9B" w:rsidRPr="00A77269">
        <w:rPr>
          <w:sz w:val="22"/>
          <w:szCs w:val="22"/>
        </w:rPr>
        <w:t>FT Units</w:t>
      </w:r>
      <w:r w:rsidR="00D9627B" w:rsidRPr="00A77269">
        <w:rPr>
          <w:sz w:val="22"/>
          <w:szCs w:val="22"/>
        </w:rPr>
        <w:t xml:space="preserve"> </w:t>
      </w:r>
      <w:r w:rsidR="004A394C">
        <w:rPr>
          <w:sz w:val="22"/>
          <w:szCs w:val="22"/>
        </w:rPr>
        <w:t xml:space="preserve">delivered by the Finders </w:t>
      </w:r>
      <w:r w:rsidR="0057372F" w:rsidRPr="00A77269">
        <w:rPr>
          <w:sz w:val="22"/>
          <w:szCs w:val="22"/>
        </w:rPr>
        <w:t>pursuant to the Offering</w:t>
      </w:r>
      <w:r w:rsidR="00A77269" w:rsidRPr="00A77269">
        <w:rPr>
          <w:sz w:val="22"/>
          <w:szCs w:val="22"/>
        </w:rPr>
        <w:t>. Each Broker Warrant entitle</w:t>
      </w:r>
      <w:r w:rsidR="004A394C">
        <w:rPr>
          <w:sz w:val="22"/>
          <w:szCs w:val="22"/>
        </w:rPr>
        <w:t>s</w:t>
      </w:r>
      <w:r w:rsidR="00A77269" w:rsidRPr="00A77269">
        <w:rPr>
          <w:sz w:val="22"/>
          <w:szCs w:val="22"/>
        </w:rPr>
        <w:t xml:space="preserve"> the holder thereof to acquire one Common Share at a </w:t>
      </w:r>
      <w:r w:rsidR="0057372F" w:rsidRPr="00A77269">
        <w:rPr>
          <w:sz w:val="22"/>
          <w:szCs w:val="22"/>
        </w:rPr>
        <w:t>price of $</w:t>
      </w:r>
      <w:r w:rsidR="00A10CF7" w:rsidRPr="00A77269">
        <w:rPr>
          <w:sz w:val="22"/>
          <w:szCs w:val="22"/>
        </w:rPr>
        <w:t>0.</w:t>
      </w:r>
      <w:r w:rsidR="003945C2">
        <w:rPr>
          <w:sz w:val="22"/>
          <w:szCs w:val="22"/>
        </w:rPr>
        <w:t>6</w:t>
      </w:r>
      <w:r w:rsidR="008F0021">
        <w:rPr>
          <w:sz w:val="22"/>
          <w:szCs w:val="22"/>
        </w:rPr>
        <w:t>5</w:t>
      </w:r>
      <w:r w:rsidR="00053D9B" w:rsidRPr="00A77269">
        <w:rPr>
          <w:sz w:val="22"/>
          <w:szCs w:val="22"/>
        </w:rPr>
        <w:t xml:space="preserve"> </w:t>
      </w:r>
      <w:r w:rsidR="00882E93">
        <w:rPr>
          <w:sz w:val="22"/>
          <w:szCs w:val="22"/>
        </w:rPr>
        <w:t xml:space="preserve">per Common Share </w:t>
      </w:r>
      <w:r w:rsidR="0057372F" w:rsidRPr="00A77269">
        <w:rPr>
          <w:sz w:val="22"/>
          <w:szCs w:val="22"/>
        </w:rPr>
        <w:t xml:space="preserve">for a period of </w:t>
      </w:r>
      <w:r w:rsidR="008063A9" w:rsidRPr="00A77269">
        <w:rPr>
          <w:sz w:val="22"/>
          <w:szCs w:val="22"/>
        </w:rPr>
        <w:t xml:space="preserve">two (2) years </w:t>
      </w:r>
      <w:r w:rsidR="00A77269" w:rsidRPr="00A77269">
        <w:rPr>
          <w:sz w:val="22"/>
          <w:szCs w:val="22"/>
        </w:rPr>
        <w:t>from</w:t>
      </w:r>
      <w:r w:rsidR="0057372F" w:rsidRPr="00A77269">
        <w:rPr>
          <w:sz w:val="22"/>
          <w:szCs w:val="22"/>
        </w:rPr>
        <w:t xml:space="preserve"> the Closing Date. </w:t>
      </w:r>
    </w:p>
    <w:p w14:paraId="49D0556C" w14:textId="3683FA7B" w:rsidR="006D005A" w:rsidRPr="00A77269" w:rsidRDefault="006D005A" w:rsidP="006232A3">
      <w:pPr>
        <w:pStyle w:val="NormalWeb"/>
        <w:spacing w:after="240"/>
        <w:jc w:val="both"/>
        <w:rPr>
          <w:sz w:val="22"/>
          <w:szCs w:val="22"/>
        </w:rPr>
      </w:pPr>
      <w:r>
        <w:rPr>
          <w:sz w:val="22"/>
          <w:szCs w:val="22"/>
        </w:rPr>
        <w:t xml:space="preserve">The Company engaged </w:t>
      </w:r>
      <w:r w:rsidRPr="00A77269">
        <w:rPr>
          <w:sz w:val="22"/>
          <w:szCs w:val="22"/>
        </w:rPr>
        <w:t>Canaccord Genuity Corp. (“</w:t>
      </w:r>
      <w:r w:rsidRPr="00A77269">
        <w:rPr>
          <w:b/>
          <w:bCs/>
          <w:sz w:val="22"/>
          <w:szCs w:val="22"/>
        </w:rPr>
        <w:t>Canaccord</w:t>
      </w:r>
      <w:r>
        <w:rPr>
          <w:b/>
          <w:bCs/>
          <w:sz w:val="22"/>
          <w:szCs w:val="22"/>
        </w:rPr>
        <w:t xml:space="preserve"> Genuity</w:t>
      </w:r>
      <w:r w:rsidRPr="00A77269">
        <w:rPr>
          <w:sz w:val="22"/>
          <w:szCs w:val="22"/>
        </w:rPr>
        <w:t xml:space="preserve">”) </w:t>
      </w:r>
      <w:r>
        <w:rPr>
          <w:sz w:val="22"/>
          <w:szCs w:val="22"/>
        </w:rPr>
        <w:t>to act as fin</w:t>
      </w:r>
      <w:r w:rsidRPr="00A77269">
        <w:rPr>
          <w:sz w:val="22"/>
          <w:szCs w:val="22"/>
        </w:rPr>
        <w:t>ancial advisor for the Offering</w:t>
      </w:r>
      <w:r>
        <w:rPr>
          <w:sz w:val="22"/>
          <w:szCs w:val="22"/>
        </w:rPr>
        <w:t xml:space="preserve">. The </w:t>
      </w:r>
      <w:r w:rsidRPr="00A77269">
        <w:rPr>
          <w:sz w:val="22"/>
          <w:szCs w:val="22"/>
        </w:rPr>
        <w:t xml:space="preserve">Company </w:t>
      </w:r>
      <w:r>
        <w:rPr>
          <w:sz w:val="22"/>
          <w:szCs w:val="22"/>
        </w:rPr>
        <w:t xml:space="preserve">paid Canaccord Genuity: (i) </w:t>
      </w:r>
      <w:r w:rsidRPr="00A77269">
        <w:rPr>
          <w:sz w:val="22"/>
          <w:szCs w:val="22"/>
        </w:rPr>
        <w:t xml:space="preserve">an advisory fee </w:t>
      </w:r>
      <w:r>
        <w:rPr>
          <w:sz w:val="22"/>
          <w:szCs w:val="22"/>
        </w:rPr>
        <w:t xml:space="preserve">of $65,000 </w:t>
      </w:r>
      <w:r w:rsidR="00057CC2">
        <w:rPr>
          <w:sz w:val="22"/>
          <w:szCs w:val="22"/>
        </w:rPr>
        <w:t xml:space="preserve">satisfied </w:t>
      </w:r>
      <w:r>
        <w:rPr>
          <w:sz w:val="22"/>
          <w:szCs w:val="22"/>
        </w:rPr>
        <w:t>through</w:t>
      </w:r>
      <w:r w:rsidRPr="00A77269">
        <w:rPr>
          <w:sz w:val="22"/>
          <w:szCs w:val="22"/>
        </w:rPr>
        <w:t xml:space="preserve"> the issuance of 125,000 Units</w:t>
      </w:r>
      <w:r>
        <w:rPr>
          <w:sz w:val="22"/>
          <w:szCs w:val="22"/>
        </w:rPr>
        <w:t>; (ii) a cash commission of $142,117.45; and (iii) issued 208,320 Broker Warrants</w:t>
      </w:r>
      <w:r w:rsidRPr="00A77269">
        <w:rPr>
          <w:sz w:val="22"/>
          <w:szCs w:val="22"/>
        </w:rPr>
        <w:t>.</w:t>
      </w:r>
    </w:p>
    <w:p w14:paraId="03EFB9F4" w14:textId="7D456C4A" w:rsidR="00AF1CBB" w:rsidRDefault="00053D9B" w:rsidP="008F5E78">
      <w:pPr>
        <w:pStyle w:val="NormalWeb"/>
        <w:keepNext/>
        <w:keepLines/>
        <w:jc w:val="both"/>
        <w:rPr>
          <w:sz w:val="22"/>
          <w:szCs w:val="22"/>
        </w:rPr>
      </w:pPr>
      <w:r w:rsidRPr="00A77269">
        <w:rPr>
          <w:sz w:val="22"/>
          <w:szCs w:val="22"/>
        </w:rPr>
        <w:lastRenderedPageBreak/>
        <w:t xml:space="preserve">All securities issued pursuant to the Offering </w:t>
      </w:r>
      <w:r w:rsidR="004E5095" w:rsidRPr="00A77269">
        <w:rPr>
          <w:color w:val="000000"/>
          <w:sz w:val="22"/>
          <w:szCs w:val="22"/>
        </w:rPr>
        <w:t>will be subject to a hold period of four months plus a day from the date of issuance and the resale rules of applicable securities legislation</w:t>
      </w:r>
      <w:r w:rsidRPr="00A77269">
        <w:rPr>
          <w:sz w:val="22"/>
          <w:szCs w:val="22"/>
        </w:rPr>
        <w:t xml:space="preserve">. </w:t>
      </w:r>
      <w:r w:rsidR="000942D6" w:rsidRPr="00A77269">
        <w:rPr>
          <w:sz w:val="22"/>
          <w:szCs w:val="22"/>
        </w:rPr>
        <w:t xml:space="preserve">The closing </w:t>
      </w:r>
      <w:r w:rsidR="001A7E9A" w:rsidRPr="00A77269">
        <w:rPr>
          <w:sz w:val="22"/>
          <w:szCs w:val="22"/>
        </w:rPr>
        <w:t xml:space="preserve">of the Offering </w:t>
      </w:r>
      <w:r w:rsidR="000942D6" w:rsidRPr="00A77269">
        <w:rPr>
          <w:sz w:val="22"/>
          <w:szCs w:val="22"/>
        </w:rPr>
        <w:t>is subject to certain conditions including, but not limited to, the receipt of all necessary</w:t>
      </w:r>
      <w:r w:rsidR="002D2A64" w:rsidRPr="00A77269">
        <w:rPr>
          <w:sz w:val="22"/>
          <w:szCs w:val="22"/>
        </w:rPr>
        <w:t xml:space="preserve"> regulatory and other</w:t>
      </w:r>
      <w:r w:rsidR="000942D6" w:rsidRPr="00A77269">
        <w:rPr>
          <w:sz w:val="22"/>
          <w:szCs w:val="22"/>
        </w:rPr>
        <w:t xml:space="preserve"> approvals</w:t>
      </w:r>
      <w:r w:rsidR="002D2A64" w:rsidRPr="00A77269">
        <w:rPr>
          <w:sz w:val="22"/>
          <w:szCs w:val="22"/>
        </w:rPr>
        <w:t>,</w:t>
      </w:r>
      <w:r w:rsidR="000942D6" w:rsidRPr="00A77269">
        <w:rPr>
          <w:sz w:val="22"/>
          <w:szCs w:val="22"/>
        </w:rPr>
        <w:t xml:space="preserve"> including </w:t>
      </w:r>
      <w:r w:rsidR="0064068C">
        <w:rPr>
          <w:sz w:val="22"/>
          <w:szCs w:val="22"/>
        </w:rPr>
        <w:t>final</w:t>
      </w:r>
      <w:r w:rsidR="000942D6" w:rsidRPr="00A77269">
        <w:rPr>
          <w:sz w:val="22"/>
          <w:szCs w:val="22"/>
        </w:rPr>
        <w:t xml:space="preserve"> approval of the TSX Venture Exchange.</w:t>
      </w:r>
    </w:p>
    <w:p w14:paraId="08A4040D" w14:textId="6BD5FC99" w:rsidR="004A394C" w:rsidRPr="00A77269" w:rsidRDefault="004A394C" w:rsidP="009A653F">
      <w:pPr>
        <w:pStyle w:val="NormalWeb"/>
        <w:spacing w:after="240"/>
        <w:jc w:val="both"/>
        <w:rPr>
          <w:sz w:val="22"/>
          <w:szCs w:val="22"/>
        </w:rPr>
      </w:pPr>
      <w:r w:rsidRPr="004A394C">
        <w:rPr>
          <w:sz w:val="22"/>
          <w:szCs w:val="22"/>
        </w:rPr>
        <w:t>The Offering constituted a related party transaction within the meaning of TSX Venture Exchange Policy 5.9 and</w:t>
      </w:r>
      <w:r>
        <w:rPr>
          <w:sz w:val="22"/>
          <w:szCs w:val="22"/>
        </w:rPr>
        <w:t xml:space="preserve"> </w:t>
      </w:r>
      <w:r w:rsidRPr="004A394C">
        <w:rPr>
          <w:sz w:val="22"/>
          <w:szCs w:val="22"/>
        </w:rPr>
        <w:t>Multilateral Instrument 61-101</w:t>
      </w:r>
      <w:r w:rsidR="00057CC2">
        <w:rPr>
          <w:sz w:val="22"/>
          <w:szCs w:val="22"/>
        </w:rPr>
        <w:t xml:space="preserve"> </w:t>
      </w:r>
      <w:r w:rsidR="00057CC2" w:rsidRPr="00057CC2">
        <w:rPr>
          <w:sz w:val="22"/>
          <w:szCs w:val="22"/>
        </w:rPr>
        <w:t xml:space="preserve">– </w:t>
      </w:r>
      <w:r w:rsidR="00057CC2" w:rsidRPr="00057CC2">
        <w:rPr>
          <w:i/>
          <w:iCs/>
          <w:sz w:val="22"/>
          <w:szCs w:val="22"/>
        </w:rPr>
        <w:t>Protection of Minority Security Holders in Special Transactions</w:t>
      </w:r>
      <w:r w:rsidRPr="004A394C">
        <w:rPr>
          <w:sz w:val="22"/>
          <w:szCs w:val="22"/>
        </w:rPr>
        <w:t xml:space="preserve"> (“</w:t>
      </w:r>
      <w:r w:rsidRPr="004A394C">
        <w:rPr>
          <w:b/>
          <w:bCs/>
          <w:sz w:val="22"/>
          <w:szCs w:val="22"/>
        </w:rPr>
        <w:t>MI 61-101</w:t>
      </w:r>
      <w:r w:rsidRPr="004A394C">
        <w:rPr>
          <w:sz w:val="22"/>
          <w:szCs w:val="22"/>
        </w:rPr>
        <w:t xml:space="preserve">”) as </w:t>
      </w:r>
      <w:r>
        <w:rPr>
          <w:sz w:val="22"/>
          <w:szCs w:val="22"/>
        </w:rPr>
        <w:t>an</w:t>
      </w:r>
      <w:r w:rsidRPr="004A394C">
        <w:rPr>
          <w:sz w:val="22"/>
          <w:szCs w:val="22"/>
        </w:rPr>
        <w:t xml:space="preserve"> insider of the Company subscribed for </w:t>
      </w:r>
      <w:r w:rsidR="00057CC2">
        <w:rPr>
          <w:sz w:val="22"/>
          <w:szCs w:val="22"/>
        </w:rPr>
        <w:t>70,175</w:t>
      </w:r>
      <w:r>
        <w:rPr>
          <w:sz w:val="22"/>
          <w:szCs w:val="22"/>
        </w:rPr>
        <w:t xml:space="preserve"> FT </w:t>
      </w:r>
      <w:r w:rsidRPr="004A394C">
        <w:rPr>
          <w:sz w:val="22"/>
          <w:szCs w:val="22"/>
        </w:rPr>
        <w:t>Units pursuant to the Offering. The Company is relying on the exemptions from the valuation and</w:t>
      </w:r>
      <w:r>
        <w:rPr>
          <w:sz w:val="22"/>
          <w:szCs w:val="22"/>
        </w:rPr>
        <w:t xml:space="preserve"> </w:t>
      </w:r>
      <w:r w:rsidRPr="004A394C">
        <w:rPr>
          <w:sz w:val="22"/>
          <w:szCs w:val="22"/>
        </w:rPr>
        <w:t xml:space="preserve">minority shareholder approval requirements of MI 61-101 contained in sections 5.5(b) and 5.7(1)(a) of MI 61-101, </w:t>
      </w:r>
      <w:r w:rsidR="009A653F" w:rsidRPr="008C7F30">
        <w:rPr>
          <w:color w:val="000000"/>
          <w:sz w:val="22"/>
          <w:szCs w:val="22"/>
        </w:rPr>
        <w:t>as the Company is not listed on a specified market and the fair market value of the participation in the Offering by the insider does not exceed 25% of the market capitalization of the Company in accordance with MI 61-101</w:t>
      </w:r>
      <w:r w:rsidRPr="004A394C">
        <w:rPr>
          <w:sz w:val="22"/>
          <w:szCs w:val="22"/>
        </w:rPr>
        <w:t>. The Company did not file a material</w:t>
      </w:r>
      <w:r>
        <w:rPr>
          <w:sz w:val="22"/>
          <w:szCs w:val="22"/>
        </w:rPr>
        <w:t xml:space="preserve"> </w:t>
      </w:r>
      <w:r w:rsidRPr="004A394C">
        <w:rPr>
          <w:sz w:val="22"/>
          <w:szCs w:val="22"/>
        </w:rPr>
        <w:t>change report in respect of the related party transaction at least 21 days before the closing of the of the Offering, which the Company deems reasonable in the circumstances in order to complete the Offering</w:t>
      </w:r>
      <w:r>
        <w:rPr>
          <w:sz w:val="22"/>
          <w:szCs w:val="22"/>
        </w:rPr>
        <w:t xml:space="preserve"> </w:t>
      </w:r>
      <w:r w:rsidRPr="004A394C">
        <w:rPr>
          <w:sz w:val="22"/>
          <w:szCs w:val="22"/>
        </w:rPr>
        <w:t>in an expeditious manner.</w:t>
      </w:r>
    </w:p>
    <w:p w14:paraId="4568EF5C" w14:textId="77777777" w:rsidR="008B2C10" w:rsidRPr="00A77269" w:rsidRDefault="008B2C10" w:rsidP="008063A9">
      <w:pPr>
        <w:pStyle w:val="NormalWeb"/>
        <w:keepNext/>
        <w:keepLines/>
        <w:shd w:val="clear" w:color="auto" w:fill="FFFFFF"/>
        <w:spacing w:after="240"/>
        <w:jc w:val="both"/>
        <w:textAlignment w:val="baseline"/>
        <w:rPr>
          <w:rStyle w:val="Strong"/>
          <w:b w:val="0"/>
          <w:bCs w:val="0"/>
          <w:color w:val="000000" w:themeColor="text1"/>
          <w:sz w:val="22"/>
          <w:szCs w:val="22"/>
        </w:rPr>
      </w:pPr>
      <w:r w:rsidRPr="00A77269">
        <w:rPr>
          <w:rStyle w:val="Strong"/>
          <w:color w:val="000000" w:themeColor="text1"/>
          <w:sz w:val="22"/>
          <w:szCs w:val="22"/>
          <w:bdr w:val="none" w:sz="0" w:space="0" w:color="auto" w:frame="1"/>
        </w:rPr>
        <w:t>For more information, please contact:</w:t>
      </w:r>
    </w:p>
    <w:p w14:paraId="27AEB604" w14:textId="5D3731ED" w:rsidR="008063A9" w:rsidRPr="00A77269" w:rsidRDefault="008063A9" w:rsidP="008063A9">
      <w:pPr>
        <w:pStyle w:val="NormalWeb"/>
        <w:keepNext/>
        <w:keepLines/>
        <w:shd w:val="clear" w:color="auto" w:fill="FFFFFF"/>
        <w:spacing w:before="0" w:beforeAutospacing="0" w:after="0" w:afterAutospacing="0"/>
        <w:jc w:val="both"/>
        <w:textAlignment w:val="baseline"/>
        <w:rPr>
          <w:b/>
          <w:bCs/>
          <w:color w:val="000000" w:themeColor="text1"/>
          <w:sz w:val="22"/>
          <w:szCs w:val="22"/>
        </w:rPr>
      </w:pPr>
      <w:r w:rsidRPr="00A77269">
        <w:rPr>
          <w:b/>
          <w:bCs/>
          <w:color w:val="000000" w:themeColor="text1"/>
          <w:sz w:val="22"/>
          <w:szCs w:val="22"/>
        </w:rPr>
        <w:t>Sterling Metals Corp.</w:t>
      </w:r>
    </w:p>
    <w:p w14:paraId="65B3712A" w14:textId="31AF286D" w:rsidR="008B2C10" w:rsidRPr="00A77269" w:rsidRDefault="008B2C10" w:rsidP="008063A9">
      <w:pPr>
        <w:pStyle w:val="NormalWeb"/>
        <w:keepNext/>
        <w:keepLines/>
        <w:shd w:val="clear" w:color="auto" w:fill="FFFFFF"/>
        <w:spacing w:before="0" w:beforeAutospacing="0" w:after="0" w:afterAutospacing="0"/>
        <w:jc w:val="both"/>
        <w:textAlignment w:val="baseline"/>
        <w:rPr>
          <w:color w:val="000000" w:themeColor="text1"/>
          <w:sz w:val="22"/>
          <w:szCs w:val="22"/>
        </w:rPr>
      </w:pPr>
      <w:r w:rsidRPr="00A77269">
        <w:rPr>
          <w:color w:val="000000" w:themeColor="text1"/>
          <w:sz w:val="22"/>
          <w:szCs w:val="22"/>
        </w:rPr>
        <w:t xml:space="preserve">Mathew Wilson, President &amp; CEO </w:t>
      </w:r>
    </w:p>
    <w:p w14:paraId="300942CF" w14:textId="5D1617FE" w:rsidR="008B2C10" w:rsidRPr="00A77269" w:rsidRDefault="008B2C10" w:rsidP="008063A9">
      <w:pPr>
        <w:pStyle w:val="NormalWeb"/>
        <w:keepNext/>
        <w:keepLines/>
        <w:shd w:val="clear" w:color="auto" w:fill="FFFFFF"/>
        <w:spacing w:before="0" w:beforeAutospacing="0" w:after="0" w:afterAutospacing="0"/>
        <w:jc w:val="both"/>
        <w:textAlignment w:val="baseline"/>
        <w:rPr>
          <w:color w:val="000000" w:themeColor="text1"/>
          <w:sz w:val="22"/>
          <w:szCs w:val="22"/>
        </w:rPr>
      </w:pPr>
      <w:r w:rsidRPr="00A77269">
        <w:rPr>
          <w:color w:val="000000" w:themeColor="text1"/>
          <w:sz w:val="22"/>
          <w:szCs w:val="22"/>
        </w:rPr>
        <w:t>Tel:</w:t>
      </w:r>
      <w:r w:rsidRPr="00A77269">
        <w:rPr>
          <w:color w:val="000000" w:themeColor="text1"/>
          <w:sz w:val="22"/>
          <w:szCs w:val="22"/>
        </w:rPr>
        <w:tab/>
      </w:r>
      <w:r w:rsidRPr="00A77269">
        <w:rPr>
          <w:color w:val="000000" w:themeColor="text1"/>
          <w:sz w:val="22"/>
          <w:szCs w:val="22"/>
        </w:rPr>
        <w:tab/>
        <w:t>(416) 643-</w:t>
      </w:r>
      <w:r w:rsidR="00C3140C">
        <w:rPr>
          <w:color w:val="000000" w:themeColor="text1"/>
          <w:sz w:val="22"/>
          <w:szCs w:val="22"/>
        </w:rPr>
        <w:t>3887</w:t>
      </w:r>
    </w:p>
    <w:p w14:paraId="6E54BDE9" w14:textId="77777777" w:rsidR="008B2C10" w:rsidRPr="00A77269" w:rsidRDefault="008B2C10" w:rsidP="008B2C10">
      <w:pPr>
        <w:pStyle w:val="NormalWeb"/>
        <w:shd w:val="clear" w:color="auto" w:fill="FFFFFF"/>
        <w:spacing w:before="0" w:beforeAutospacing="0" w:after="0" w:afterAutospacing="0"/>
        <w:jc w:val="both"/>
        <w:textAlignment w:val="baseline"/>
        <w:rPr>
          <w:color w:val="000000" w:themeColor="text1"/>
          <w:sz w:val="22"/>
          <w:szCs w:val="22"/>
        </w:rPr>
      </w:pPr>
      <w:r w:rsidRPr="00A77269">
        <w:rPr>
          <w:color w:val="000000" w:themeColor="text1"/>
          <w:sz w:val="22"/>
          <w:szCs w:val="22"/>
        </w:rPr>
        <w:t>Email:</w:t>
      </w:r>
      <w:r w:rsidRPr="00A77269">
        <w:rPr>
          <w:color w:val="000000" w:themeColor="text1"/>
          <w:sz w:val="22"/>
          <w:szCs w:val="22"/>
        </w:rPr>
        <w:tab/>
      </w:r>
      <w:r w:rsidRPr="00A77269">
        <w:rPr>
          <w:color w:val="000000" w:themeColor="text1"/>
          <w:sz w:val="22"/>
          <w:szCs w:val="22"/>
        </w:rPr>
        <w:tab/>
      </w:r>
      <w:hyperlink r:id="rId9" w:history="1">
        <w:r w:rsidRPr="00A77269">
          <w:rPr>
            <w:rStyle w:val="Hyperlink"/>
            <w:sz w:val="22"/>
            <w:szCs w:val="22"/>
          </w:rPr>
          <w:t>info@sterlingmetals.ca</w:t>
        </w:r>
      </w:hyperlink>
    </w:p>
    <w:p w14:paraId="4406951F" w14:textId="30FA45CC" w:rsidR="008B2C10" w:rsidRPr="00A77269" w:rsidRDefault="008B2C10" w:rsidP="008B2C10">
      <w:pPr>
        <w:pStyle w:val="NormalWeb"/>
        <w:shd w:val="clear" w:color="auto" w:fill="FFFFFF"/>
        <w:spacing w:before="0" w:beforeAutospacing="0" w:after="0" w:afterAutospacing="0"/>
        <w:jc w:val="both"/>
        <w:textAlignment w:val="baseline"/>
        <w:rPr>
          <w:color w:val="000000" w:themeColor="text1"/>
          <w:sz w:val="22"/>
          <w:szCs w:val="22"/>
        </w:rPr>
      </w:pPr>
      <w:r w:rsidRPr="00A77269">
        <w:rPr>
          <w:color w:val="000000" w:themeColor="text1"/>
          <w:sz w:val="22"/>
          <w:szCs w:val="22"/>
        </w:rPr>
        <w:t>Website:</w:t>
      </w:r>
      <w:r w:rsidRPr="00A77269">
        <w:rPr>
          <w:color w:val="000000" w:themeColor="text1"/>
          <w:sz w:val="22"/>
          <w:szCs w:val="22"/>
        </w:rPr>
        <w:tab/>
      </w:r>
      <w:hyperlink r:id="rId10" w:history="1">
        <w:r w:rsidRPr="00A77269">
          <w:rPr>
            <w:rStyle w:val="Hyperlink"/>
            <w:sz w:val="22"/>
            <w:szCs w:val="22"/>
          </w:rPr>
          <w:t>www.sterlingmetals.ca</w:t>
        </w:r>
      </w:hyperlink>
      <w:r w:rsidRPr="00A77269">
        <w:rPr>
          <w:color w:val="000000" w:themeColor="text1"/>
          <w:sz w:val="22"/>
          <w:szCs w:val="22"/>
        </w:rPr>
        <w:t xml:space="preserve"> </w:t>
      </w:r>
    </w:p>
    <w:p w14:paraId="0C548259" w14:textId="21193EA4" w:rsidR="008063A9" w:rsidRPr="00A77269" w:rsidRDefault="008063A9" w:rsidP="008B2C10">
      <w:pPr>
        <w:pStyle w:val="NormalWeb"/>
        <w:shd w:val="clear" w:color="auto" w:fill="FFFFFF"/>
        <w:spacing w:before="0" w:beforeAutospacing="0" w:after="0" w:afterAutospacing="0"/>
        <w:jc w:val="both"/>
        <w:textAlignment w:val="baseline"/>
        <w:rPr>
          <w:color w:val="000000" w:themeColor="text1"/>
          <w:sz w:val="22"/>
          <w:szCs w:val="22"/>
        </w:rPr>
      </w:pPr>
    </w:p>
    <w:p w14:paraId="78B9DF64" w14:textId="77777777" w:rsidR="008B2C10" w:rsidRPr="00A77269" w:rsidRDefault="008B2C10" w:rsidP="008B2C10">
      <w:pPr>
        <w:pStyle w:val="NormalWeb"/>
        <w:shd w:val="clear" w:color="auto" w:fill="FFFFFF"/>
        <w:spacing w:before="0" w:beforeAutospacing="0" w:after="0" w:afterAutospacing="0"/>
        <w:jc w:val="both"/>
        <w:textAlignment w:val="baseline"/>
        <w:rPr>
          <w:rStyle w:val="Emphasis"/>
          <w:color w:val="000000" w:themeColor="text1"/>
          <w:sz w:val="22"/>
          <w:szCs w:val="22"/>
          <w:bdr w:val="none" w:sz="0" w:space="0" w:color="auto" w:frame="1"/>
        </w:rPr>
      </w:pPr>
      <w:r w:rsidRPr="00A77269">
        <w:rPr>
          <w:rStyle w:val="Emphasis"/>
          <w:color w:val="000000" w:themeColor="text1"/>
          <w:sz w:val="22"/>
          <w:szCs w:val="22"/>
          <w:bdr w:val="none" w:sz="0" w:space="0" w:color="auto" w:frame="1"/>
        </w:rPr>
        <w:t>Neither the TSX Venture Exchange nor its Regulation Services Provider (as that term is defined in the policies of the TSX Venture Exchange) accepts responsibility for the adequacy or accuracy of this release.</w:t>
      </w:r>
    </w:p>
    <w:p w14:paraId="0DBBFA4A" w14:textId="77777777" w:rsidR="008B2C10" w:rsidRPr="00A77269" w:rsidRDefault="008B2C10" w:rsidP="008B2C10">
      <w:pPr>
        <w:pStyle w:val="NormalWeb"/>
        <w:shd w:val="clear" w:color="auto" w:fill="FFFFFF"/>
        <w:spacing w:before="0" w:beforeAutospacing="0" w:after="0" w:afterAutospacing="0"/>
        <w:jc w:val="both"/>
        <w:textAlignment w:val="baseline"/>
        <w:rPr>
          <w:rStyle w:val="Emphasis"/>
          <w:color w:val="000000" w:themeColor="text1"/>
          <w:sz w:val="22"/>
          <w:szCs w:val="22"/>
          <w:bdr w:val="none" w:sz="0" w:space="0" w:color="auto" w:frame="1"/>
        </w:rPr>
      </w:pPr>
    </w:p>
    <w:p w14:paraId="7F7D9F34" w14:textId="7386E9FB" w:rsidR="008B2C10" w:rsidRPr="00A77269" w:rsidRDefault="008B2C10" w:rsidP="008B2C10">
      <w:pPr>
        <w:pStyle w:val="NormalWeb"/>
        <w:shd w:val="clear" w:color="auto" w:fill="FFFFFF"/>
        <w:spacing w:before="0" w:beforeAutospacing="0" w:after="0" w:afterAutospacing="0"/>
        <w:jc w:val="both"/>
        <w:textAlignment w:val="baseline"/>
        <w:rPr>
          <w:i/>
          <w:color w:val="000000" w:themeColor="text1"/>
          <w:sz w:val="22"/>
          <w:szCs w:val="22"/>
        </w:rPr>
      </w:pPr>
      <w:r w:rsidRPr="00A77269">
        <w:rPr>
          <w:rStyle w:val="Emphasis"/>
          <w:color w:val="000000" w:themeColor="text1"/>
          <w:sz w:val="22"/>
          <w:szCs w:val="22"/>
          <w:bdr w:val="none" w:sz="0" w:space="0" w:color="auto" w:frame="1"/>
        </w:rPr>
        <w:t xml:space="preserve">This news release contains certain </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forward-looking information</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 xml:space="preserve"> within the meaning of applicable securities laws. Forward looking information is frequently characterized by words such as </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plan</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 xml:space="preserve">, </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expect</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 xml:space="preserve">, </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project</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 xml:space="preserve">, </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intend</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 xml:space="preserve">, </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believe</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 xml:space="preserve">, </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anticipate</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 xml:space="preserve">, </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estimate</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 xml:space="preserve">, </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may</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 xml:space="preserve">, </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will</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 xml:space="preserve">, </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would</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 xml:space="preserve">, </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potential</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 xml:space="preserve">, </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proposed</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 xml:space="preserve"> and other similar words, or statements that certain events or conditions </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may</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 xml:space="preserve"> or </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will</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 xml:space="preserve"> occur. These statements are only predictions. Forward-looking information is based on the opinions and estimates of management at the date the information is provided, and is subject to a variety of risks and uncertainties and other factors that could cause actual events or results to differ materially from those projected in the forward-looking information. For a description of the risks and uncertainties facing the Company and its business and affairs, readers should refer to the Company</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s Management</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s Discussion and Analysis. The Company undertakes no obligation to update forward-looking information if circumstances or management</w:t>
      </w:r>
      <w:r w:rsidR="008063A9" w:rsidRPr="00A77269">
        <w:rPr>
          <w:rStyle w:val="Emphasis"/>
          <w:color w:val="000000" w:themeColor="text1"/>
          <w:sz w:val="22"/>
          <w:szCs w:val="22"/>
          <w:bdr w:val="none" w:sz="0" w:space="0" w:color="auto" w:frame="1"/>
        </w:rPr>
        <w:t>’</w:t>
      </w:r>
      <w:r w:rsidRPr="00A77269">
        <w:rPr>
          <w:rStyle w:val="Emphasis"/>
          <w:color w:val="000000" w:themeColor="text1"/>
          <w:sz w:val="22"/>
          <w:szCs w:val="22"/>
          <w:bdr w:val="none" w:sz="0" w:space="0" w:color="auto" w:frame="1"/>
        </w:rPr>
        <w:t>s estimates or opinions should change, unless required by law. The reader is cautioned not to place undue reliance on forward-looking information.</w:t>
      </w:r>
      <w:r w:rsidRPr="00A77269">
        <w:rPr>
          <w:i/>
          <w:color w:val="000000" w:themeColor="text1"/>
          <w:sz w:val="22"/>
          <w:szCs w:val="22"/>
        </w:rPr>
        <w:t xml:space="preserve"> </w:t>
      </w:r>
    </w:p>
    <w:p w14:paraId="439CA368" w14:textId="3350FF8F" w:rsidR="008F7C55" w:rsidRPr="007F5A61" w:rsidRDefault="008F7C55" w:rsidP="008B2C10">
      <w:pPr>
        <w:pStyle w:val="NormalWeb"/>
        <w:shd w:val="clear" w:color="auto" w:fill="FFFFFF"/>
        <w:spacing w:after="240"/>
        <w:jc w:val="both"/>
        <w:textAlignment w:val="baseline"/>
        <w:rPr>
          <w:bCs/>
          <w:i/>
          <w:sz w:val="21"/>
          <w:szCs w:val="21"/>
        </w:rPr>
      </w:pPr>
    </w:p>
    <w:sectPr w:rsidR="008F7C55" w:rsidRPr="007F5A61" w:rsidSect="001A7E9A">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937B3" w14:textId="77777777" w:rsidR="004500BB" w:rsidRDefault="004500BB" w:rsidP="006D3B0D">
      <w:r>
        <w:separator/>
      </w:r>
    </w:p>
  </w:endnote>
  <w:endnote w:type="continuationSeparator" w:id="0">
    <w:p w14:paraId="39D8B2D6" w14:textId="77777777" w:rsidR="004500BB" w:rsidRDefault="004500BB" w:rsidP="006D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52EF6" w14:textId="77777777" w:rsidR="006D3B0D" w:rsidRDefault="006D3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3127A" w14:textId="77777777" w:rsidR="006D3B0D" w:rsidRDefault="006D3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7729D" w14:textId="77777777" w:rsidR="006D3B0D" w:rsidRDefault="006D3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7C5EA" w14:textId="77777777" w:rsidR="004500BB" w:rsidRDefault="004500BB" w:rsidP="006D3B0D">
      <w:r>
        <w:separator/>
      </w:r>
    </w:p>
  </w:footnote>
  <w:footnote w:type="continuationSeparator" w:id="0">
    <w:p w14:paraId="12DE3E96" w14:textId="77777777" w:rsidR="004500BB" w:rsidRDefault="004500BB" w:rsidP="006D3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F3C26" w14:textId="77777777" w:rsidR="006D3B0D" w:rsidRDefault="006D3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0B37E" w14:textId="77777777" w:rsidR="006D3B0D" w:rsidRDefault="006D3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73CB5" w14:textId="77777777" w:rsidR="006D3B0D" w:rsidRDefault="006D3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345EE9"/>
    <w:multiLevelType w:val="hybridMultilevel"/>
    <w:tmpl w:val="CB7E23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15F2195"/>
    <w:multiLevelType w:val="hybridMultilevel"/>
    <w:tmpl w:val="2B6412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OfficeIni" w:val="Toronto - Baker &amp; McKenzie LLP.ini"/>
    <w:docVar w:name="ReferenceFieldsConverted" w:val="True"/>
  </w:docVars>
  <w:rsids>
    <w:rsidRoot w:val="000B70C3"/>
    <w:rsid w:val="00006DBB"/>
    <w:rsid w:val="000100FB"/>
    <w:rsid w:val="000205B9"/>
    <w:rsid w:val="00032EEC"/>
    <w:rsid w:val="00033843"/>
    <w:rsid w:val="00053D9B"/>
    <w:rsid w:val="00056ED4"/>
    <w:rsid w:val="00057CC2"/>
    <w:rsid w:val="00072343"/>
    <w:rsid w:val="00075A16"/>
    <w:rsid w:val="000942D6"/>
    <w:rsid w:val="00095DDD"/>
    <w:rsid w:val="000A56CA"/>
    <w:rsid w:val="000B70C3"/>
    <w:rsid w:val="000C65F1"/>
    <w:rsid w:val="000D2E04"/>
    <w:rsid w:val="000E009D"/>
    <w:rsid w:val="000E2069"/>
    <w:rsid w:val="000F3769"/>
    <w:rsid w:val="000F3E3A"/>
    <w:rsid w:val="001034CF"/>
    <w:rsid w:val="001051A7"/>
    <w:rsid w:val="0011526F"/>
    <w:rsid w:val="00115AFD"/>
    <w:rsid w:val="0012626D"/>
    <w:rsid w:val="0015391B"/>
    <w:rsid w:val="00157E7F"/>
    <w:rsid w:val="00167856"/>
    <w:rsid w:val="00167CDB"/>
    <w:rsid w:val="00177571"/>
    <w:rsid w:val="001A1E9A"/>
    <w:rsid w:val="001A4E79"/>
    <w:rsid w:val="001A7E9A"/>
    <w:rsid w:val="001B0F04"/>
    <w:rsid w:val="001B1894"/>
    <w:rsid w:val="001E6711"/>
    <w:rsid w:val="001F35CA"/>
    <w:rsid w:val="001F568A"/>
    <w:rsid w:val="001F6DFB"/>
    <w:rsid w:val="0020307C"/>
    <w:rsid w:val="00214E5E"/>
    <w:rsid w:val="00225D47"/>
    <w:rsid w:val="00233AB7"/>
    <w:rsid w:val="002371B4"/>
    <w:rsid w:val="00240915"/>
    <w:rsid w:val="00254C93"/>
    <w:rsid w:val="00256C41"/>
    <w:rsid w:val="00292A48"/>
    <w:rsid w:val="002A7A80"/>
    <w:rsid w:val="002B7AEB"/>
    <w:rsid w:val="002C5315"/>
    <w:rsid w:val="002D2A64"/>
    <w:rsid w:val="002D443D"/>
    <w:rsid w:val="002E269C"/>
    <w:rsid w:val="002E500D"/>
    <w:rsid w:val="002E77F1"/>
    <w:rsid w:val="00304EDD"/>
    <w:rsid w:val="003206E2"/>
    <w:rsid w:val="00351194"/>
    <w:rsid w:val="003578D7"/>
    <w:rsid w:val="003602C2"/>
    <w:rsid w:val="0036137D"/>
    <w:rsid w:val="00375A1F"/>
    <w:rsid w:val="00380A5A"/>
    <w:rsid w:val="003945C2"/>
    <w:rsid w:val="003C422A"/>
    <w:rsid w:val="003C6C40"/>
    <w:rsid w:val="003D59C6"/>
    <w:rsid w:val="003F00EC"/>
    <w:rsid w:val="003F13E6"/>
    <w:rsid w:val="003F6072"/>
    <w:rsid w:val="0040160D"/>
    <w:rsid w:val="00407A06"/>
    <w:rsid w:val="0042198A"/>
    <w:rsid w:val="0042726B"/>
    <w:rsid w:val="00431C5E"/>
    <w:rsid w:val="00434357"/>
    <w:rsid w:val="004500BB"/>
    <w:rsid w:val="004652EB"/>
    <w:rsid w:val="00472FF9"/>
    <w:rsid w:val="00477E5D"/>
    <w:rsid w:val="004A0494"/>
    <w:rsid w:val="004A394C"/>
    <w:rsid w:val="004D338C"/>
    <w:rsid w:val="004E5095"/>
    <w:rsid w:val="004F1D96"/>
    <w:rsid w:val="005067D4"/>
    <w:rsid w:val="005257C6"/>
    <w:rsid w:val="005446D1"/>
    <w:rsid w:val="00573120"/>
    <w:rsid w:val="0057372F"/>
    <w:rsid w:val="00597BBA"/>
    <w:rsid w:val="005B0384"/>
    <w:rsid w:val="005B524F"/>
    <w:rsid w:val="005C105B"/>
    <w:rsid w:val="005D4622"/>
    <w:rsid w:val="005E1A80"/>
    <w:rsid w:val="005E79F5"/>
    <w:rsid w:val="005F21F2"/>
    <w:rsid w:val="005F6653"/>
    <w:rsid w:val="006232A3"/>
    <w:rsid w:val="0064068C"/>
    <w:rsid w:val="0065587A"/>
    <w:rsid w:val="0067060E"/>
    <w:rsid w:val="00672B2F"/>
    <w:rsid w:val="006734E4"/>
    <w:rsid w:val="0067782C"/>
    <w:rsid w:val="00683460"/>
    <w:rsid w:val="006913FA"/>
    <w:rsid w:val="006C3041"/>
    <w:rsid w:val="006D005A"/>
    <w:rsid w:val="006D3B0D"/>
    <w:rsid w:val="006D3F80"/>
    <w:rsid w:val="006D51D0"/>
    <w:rsid w:val="006F3AF9"/>
    <w:rsid w:val="00701419"/>
    <w:rsid w:val="007213AE"/>
    <w:rsid w:val="007356E4"/>
    <w:rsid w:val="00743AE8"/>
    <w:rsid w:val="007458B2"/>
    <w:rsid w:val="007728CD"/>
    <w:rsid w:val="00782B75"/>
    <w:rsid w:val="00792F8E"/>
    <w:rsid w:val="00795A57"/>
    <w:rsid w:val="007A0D10"/>
    <w:rsid w:val="007A121F"/>
    <w:rsid w:val="007A14F0"/>
    <w:rsid w:val="007A3349"/>
    <w:rsid w:val="007A68E9"/>
    <w:rsid w:val="007C3075"/>
    <w:rsid w:val="007E350A"/>
    <w:rsid w:val="007E4BA2"/>
    <w:rsid w:val="007F2CF4"/>
    <w:rsid w:val="007F5A61"/>
    <w:rsid w:val="008063A9"/>
    <w:rsid w:val="00842C03"/>
    <w:rsid w:val="00842D0D"/>
    <w:rsid w:val="00865D18"/>
    <w:rsid w:val="00866FD2"/>
    <w:rsid w:val="00882E93"/>
    <w:rsid w:val="00887775"/>
    <w:rsid w:val="008940D1"/>
    <w:rsid w:val="008A2237"/>
    <w:rsid w:val="008B2AD5"/>
    <w:rsid w:val="008B2C10"/>
    <w:rsid w:val="008E122E"/>
    <w:rsid w:val="008F0021"/>
    <w:rsid w:val="008F07B3"/>
    <w:rsid w:val="008F5E78"/>
    <w:rsid w:val="008F7C55"/>
    <w:rsid w:val="00912790"/>
    <w:rsid w:val="00914FF0"/>
    <w:rsid w:val="00926195"/>
    <w:rsid w:val="00932D61"/>
    <w:rsid w:val="00952D77"/>
    <w:rsid w:val="00981BAA"/>
    <w:rsid w:val="009A653F"/>
    <w:rsid w:val="009A69CB"/>
    <w:rsid w:val="009C5241"/>
    <w:rsid w:val="009C603E"/>
    <w:rsid w:val="009C6E80"/>
    <w:rsid w:val="009F11A1"/>
    <w:rsid w:val="00A10CF7"/>
    <w:rsid w:val="00A236E3"/>
    <w:rsid w:val="00A23E13"/>
    <w:rsid w:val="00A27FC7"/>
    <w:rsid w:val="00A528EA"/>
    <w:rsid w:val="00A572BF"/>
    <w:rsid w:val="00A74994"/>
    <w:rsid w:val="00A77269"/>
    <w:rsid w:val="00AA5B72"/>
    <w:rsid w:val="00AB1FCA"/>
    <w:rsid w:val="00AF0EF2"/>
    <w:rsid w:val="00AF1CBB"/>
    <w:rsid w:val="00AF68FB"/>
    <w:rsid w:val="00B103AD"/>
    <w:rsid w:val="00B20DB5"/>
    <w:rsid w:val="00B44BE2"/>
    <w:rsid w:val="00B45F15"/>
    <w:rsid w:val="00B54AFE"/>
    <w:rsid w:val="00B54CF8"/>
    <w:rsid w:val="00B54E8B"/>
    <w:rsid w:val="00B82B59"/>
    <w:rsid w:val="00B9156B"/>
    <w:rsid w:val="00B942B7"/>
    <w:rsid w:val="00BA2150"/>
    <w:rsid w:val="00BB33D9"/>
    <w:rsid w:val="00BC05D3"/>
    <w:rsid w:val="00BC6CFB"/>
    <w:rsid w:val="00C05452"/>
    <w:rsid w:val="00C166D9"/>
    <w:rsid w:val="00C3140C"/>
    <w:rsid w:val="00C43DD7"/>
    <w:rsid w:val="00C525EC"/>
    <w:rsid w:val="00C54E25"/>
    <w:rsid w:val="00C84A8E"/>
    <w:rsid w:val="00CA5714"/>
    <w:rsid w:val="00CB597B"/>
    <w:rsid w:val="00CB783A"/>
    <w:rsid w:val="00CD468F"/>
    <w:rsid w:val="00CD5075"/>
    <w:rsid w:val="00CD6F36"/>
    <w:rsid w:val="00D0043F"/>
    <w:rsid w:val="00D02639"/>
    <w:rsid w:val="00D05C47"/>
    <w:rsid w:val="00D228CA"/>
    <w:rsid w:val="00D46564"/>
    <w:rsid w:val="00D51A37"/>
    <w:rsid w:val="00D80A66"/>
    <w:rsid w:val="00D93133"/>
    <w:rsid w:val="00D9627B"/>
    <w:rsid w:val="00D9679E"/>
    <w:rsid w:val="00D96AE9"/>
    <w:rsid w:val="00DD2B1D"/>
    <w:rsid w:val="00DE1EE3"/>
    <w:rsid w:val="00E05512"/>
    <w:rsid w:val="00E0585B"/>
    <w:rsid w:val="00E16D63"/>
    <w:rsid w:val="00E76D65"/>
    <w:rsid w:val="00E85A76"/>
    <w:rsid w:val="00E91706"/>
    <w:rsid w:val="00EA2EFA"/>
    <w:rsid w:val="00EB0BC7"/>
    <w:rsid w:val="00EB5725"/>
    <w:rsid w:val="00EC4800"/>
    <w:rsid w:val="00EC5DC4"/>
    <w:rsid w:val="00EC7A70"/>
    <w:rsid w:val="00EE753A"/>
    <w:rsid w:val="00F001A8"/>
    <w:rsid w:val="00F21908"/>
    <w:rsid w:val="00F30B94"/>
    <w:rsid w:val="00F730C5"/>
    <w:rsid w:val="00F735D2"/>
    <w:rsid w:val="00F91A01"/>
    <w:rsid w:val="00FA0C40"/>
    <w:rsid w:val="00FB2621"/>
    <w:rsid w:val="00FC2E25"/>
    <w:rsid w:val="00FD52FE"/>
    <w:rsid w:val="00FF2788"/>
    <w:rsid w:val="00FF49D3"/>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DA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E10"/>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6803"/>
    <w:pPr>
      <w:spacing w:before="100" w:beforeAutospacing="1" w:after="100" w:afterAutospacing="1"/>
    </w:pPr>
    <w:rPr>
      <w:rFonts w:eastAsia="Times New Roman" w:cs="Times New Roman"/>
      <w:lang w:val="en-CA" w:eastAsia="en-CA"/>
    </w:rPr>
  </w:style>
  <w:style w:type="character" w:styleId="Hyperlink">
    <w:name w:val="Hyperlink"/>
    <w:basedOn w:val="DefaultParagraphFont"/>
    <w:uiPriority w:val="99"/>
    <w:unhideWhenUsed/>
    <w:rsid w:val="003B4B2E"/>
    <w:rPr>
      <w:color w:val="0000FF"/>
      <w:u w:val="single"/>
    </w:rPr>
  </w:style>
  <w:style w:type="character" w:styleId="Strong">
    <w:name w:val="Strong"/>
    <w:basedOn w:val="DefaultParagraphFont"/>
    <w:uiPriority w:val="22"/>
    <w:qFormat/>
    <w:rsid w:val="003B4B2E"/>
    <w:rPr>
      <w:b/>
      <w:bCs/>
    </w:rPr>
  </w:style>
  <w:style w:type="character" w:styleId="Emphasis">
    <w:name w:val="Emphasis"/>
    <w:basedOn w:val="DefaultParagraphFont"/>
    <w:uiPriority w:val="20"/>
    <w:qFormat/>
    <w:rsid w:val="003B4B2E"/>
    <w:rPr>
      <w:i/>
      <w:iCs/>
    </w:rPr>
  </w:style>
  <w:style w:type="paragraph" w:styleId="ListParagraph">
    <w:name w:val="List Paragraph"/>
    <w:basedOn w:val="Normal"/>
    <w:uiPriority w:val="34"/>
    <w:qFormat/>
    <w:rsid w:val="003C3C1B"/>
    <w:pPr>
      <w:ind w:left="720"/>
      <w:contextualSpacing/>
    </w:pPr>
  </w:style>
  <w:style w:type="paragraph" w:styleId="BalloonText">
    <w:name w:val="Balloon Text"/>
    <w:basedOn w:val="Normal"/>
    <w:link w:val="BalloonTextChar"/>
    <w:uiPriority w:val="99"/>
    <w:semiHidden/>
    <w:unhideWhenUsed/>
    <w:rsid w:val="00F74559"/>
    <w:rPr>
      <w:rFonts w:ascii="Tahoma" w:hAnsi="Tahoma" w:cs="Tahoma"/>
      <w:sz w:val="16"/>
      <w:szCs w:val="16"/>
    </w:rPr>
  </w:style>
  <w:style w:type="character" w:customStyle="1" w:styleId="BalloonTextChar">
    <w:name w:val="Balloon Text Char"/>
    <w:basedOn w:val="DefaultParagraphFont"/>
    <w:link w:val="BalloonText"/>
    <w:uiPriority w:val="99"/>
    <w:semiHidden/>
    <w:rsid w:val="00F74559"/>
    <w:rPr>
      <w:rFonts w:ascii="Tahoma" w:hAnsi="Tahoma" w:cs="Tahoma"/>
      <w:sz w:val="16"/>
      <w:szCs w:val="16"/>
    </w:rPr>
  </w:style>
  <w:style w:type="paragraph" w:styleId="Header">
    <w:name w:val="header"/>
    <w:basedOn w:val="Normal"/>
    <w:link w:val="HeaderChar"/>
    <w:uiPriority w:val="99"/>
    <w:unhideWhenUsed/>
    <w:rsid w:val="006D3B0D"/>
    <w:pPr>
      <w:tabs>
        <w:tab w:val="center" w:pos="4680"/>
        <w:tab w:val="right" w:pos="9360"/>
      </w:tabs>
    </w:pPr>
  </w:style>
  <w:style w:type="character" w:customStyle="1" w:styleId="HeaderChar">
    <w:name w:val="Header Char"/>
    <w:basedOn w:val="DefaultParagraphFont"/>
    <w:link w:val="Header"/>
    <w:uiPriority w:val="99"/>
    <w:rsid w:val="006D3B0D"/>
    <w:rPr>
      <w:rFonts w:ascii="Times New Roman" w:hAnsi="Times New Roman"/>
    </w:rPr>
  </w:style>
  <w:style w:type="paragraph" w:styleId="Footer">
    <w:name w:val="footer"/>
    <w:basedOn w:val="Normal"/>
    <w:link w:val="FooterChar"/>
    <w:uiPriority w:val="99"/>
    <w:unhideWhenUsed/>
    <w:rsid w:val="006D3B0D"/>
    <w:pPr>
      <w:tabs>
        <w:tab w:val="center" w:pos="4680"/>
        <w:tab w:val="right" w:pos="9360"/>
      </w:tabs>
    </w:pPr>
  </w:style>
  <w:style w:type="character" w:customStyle="1" w:styleId="FooterChar">
    <w:name w:val="Footer Char"/>
    <w:basedOn w:val="DefaultParagraphFont"/>
    <w:link w:val="Footer"/>
    <w:uiPriority w:val="99"/>
    <w:rsid w:val="006D3B0D"/>
    <w:rPr>
      <w:rFonts w:ascii="Times New Roman" w:hAnsi="Times New Roman"/>
    </w:rPr>
  </w:style>
  <w:style w:type="character" w:customStyle="1" w:styleId="UnresolvedMention1">
    <w:name w:val="Unresolved Mention1"/>
    <w:basedOn w:val="DefaultParagraphFont"/>
    <w:uiPriority w:val="99"/>
    <w:semiHidden/>
    <w:unhideWhenUsed/>
    <w:rsid w:val="007F5A61"/>
    <w:rPr>
      <w:color w:val="605E5C"/>
      <w:shd w:val="clear" w:color="auto" w:fill="E1DFDD"/>
    </w:rPr>
  </w:style>
  <w:style w:type="character" w:styleId="UnresolvedMention">
    <w:name w:val="Unresolved Mention"/>
    <w:basedOn w:val="DefaultParagraphFont"/>
    <w:uiPriority w:val="99"/>
    <w:semiHidden/>
    <w:unhideWhenUsed/>
    <w:rsid w:val="00806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652383">
      <w:bodyDiv w:val="1"/>
      <w:marLeft w:val="0"/>
      <w:marRight w:val="0"/>
      <w:marTop w:val="0"/>
      <w:marBottom w:val="0"/>
      <w:divBdr>
        <w:top w:val="none" w:sz="0" w:space="0" w:color="auto"/>
        <w:left w:val="none" w:sz="0" w:space="0" w:color="auto"/>
        <w:bottom w:val="none" w:sz="0" w:space="0" w:color="auto"/>
        <w:right w:val="none" w:sz="0" w:space="0" w:color="auto"/>
      </w:divBdr>
    </w:div>
    <w:div w:id="1786803526">
      <w:bodyDiv w:val="1"/>
      <w:marLeft w:val="0"/>
      <w:marRight w:val="0"/>
      <w:marTop w:val="0"/>
      <w:marBottom w:val="0"/>
      <w:divBdr>
        <w:top w:val="none" w:sz="0" w:space="0" w:color="auto"/>
        <w:left w:val="none" w:sz="0" w:space="0" w:color="auto"/>
        <w:bottom w:val="none" w:sz="0" w:space="0" w:color="auto"/>
        <w:right w:val="none" w:sz="0" w:space="0" w:color="auto"/>
      </w:divBdr>
      <w:divsChild>
        <w:div w:id="664287042">
          <w:marLeft w:val="0"/>
          <w:marRight w:val="0"/>
          <w:marTop w:val="0"/>
          <w:marBottom w:val="0"/>
          <w:divBdr>
            <w:top w:val="none" w:sz="0" w:space="0" w:color="auto"/>
            <w:left w:val="none" w:sz="0" w:space="0" w:color="auto"/>
            <w:bottom w:val="none" w:sz="0" w:space="0" w:color="auto"/>
            <w:right w:val="none" w:sz="0" w:space="0" w:color="auto"/>
          </w:divBdr>
          <w:divsChild>
            <w:div w:id="1508212542">
              <w:marLeft w:val="0"/>
              <w:marRight w:val="0"/>
              <w:marTop w:val="0"/>
              <w:marBottom w:val="0"/>
              <w:divBdr>
                <w:top w:val="none" w:sz="0" w:space="0" w:color="auto"/>
                <w:left w:val="none" w:sz="0" w:space="0" w:color="auto"/>
                <w:bottom w:val="none" w:sz="0" w:space="0" w:color="auto"/>
                <w:right w:val="none" w:sz="0" w:space="0" w:color="auto"/>
              </w:divBdr>
              <w:divsChild>
                <w:div w:id="18026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erlingmetals.ca" TargetMode="External"/><Relationship Id="rId4" Type="http://schemas.openxmlformats.org/officeDocument/2006/relationships/settings" Target="settings.xml"/><Relationship Id="rId9" Type="http://schemas.openxmlformats.org/officeDocument/2006/relationships/hyperlink" Target="mailto:info@sterlingmetals.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44469-6EF8-4C0C-9699-01C9E3A5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5273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2021-03-31T22:20:00Z</dcterms:created>
  <dcterms:modified xsi:type="dcterms:W3CDTF">2021-03-31T22:21:00Z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ABAAVOAfoSrQoywoFGNG7WcrW2nTIt2IavHENFM5APUWieSlAgkYFdLtcfrXy88IJfpi</vt:lpwstr>
  </property>
  <property fmtid="{D5CDD505-2E9C-101B-9397-08002B2CF9AE}" pid="3" name="MAIL_MSG_ID2">
    <vt:lpwstr>fQxXvjlEwumX9iFnOeHPae1yIysWzMoJblxIEa6w/6pHtc619YFmv8luEGo
iLXN4P/pGINIi/QinLBN9cFfV0c=</vt:lpwstr>
  </property>
  <property fmtid="{D5CDD505-2E9C-101B-9397-08002B2CF9AE}" pid="4" name="RESPONSE_SENDER_NAME">
    <vt:lpwstr>gAAAdya76B99d4hLGUR1rQ+8TxTv0GGEPdix</vt:lpwstr>
  </property>
  <property fmtid="{D5CDD505-2E9C-101B-9397-08002B2CF9AE}" pid="5" name="EMAIL_OWNER_ADDRESS">
    <vt:lpwstr>ABAAmylTnWthiz+PRRp1qraYT9GRYd84chkz4uRiLZS1jYcZ0IkW4tGTkoAL7WT3O01K</vt:lpwstr>
  </property>
  <property fmtid="{D5CDD505-2E9C-101B-9397-08002B2CF9AE}" pid="6" name="MSIP_Label_d714bed8-1d92-46d0-83ba-5d38f47538a0_Enabled">
    <vt:lpwstr>true</vt:lpwstr>
  </property>
  <property fmtid="{D5CDD505-2E9C-101B-9397-08002B2CF9AE}" pid="7" name="MSIP_Label_d714bed8-1d92-46d0-83ba-5d38f47538a0_SetDate">
    <vt:lpwstr>2021-03-14T16:57:04Z</vt:lpwstr>
  </property>
  <property fmtid="{D5CDD505-2E9C-101B-9397-08002B2CF9AE}" pid="8" name="MSIP_Label_d714bed8-1d92-46d0-83ba-5d38f47538a0_Method">
    <vt:lpwstr>Standard</vt:lpwstr>
  </property>
  <property fmtid="{D5CDD505-2E9C-101B-9397-08002B2CF9AE}" pid="9" name="MSIP_Label_d714bed8-1d92-46d0-83ba-5d38f47538a0_Name">
    <vt:lpwstr>Public</vt:lpwstr>
  </property>
  <property fmtid="{D5CDD505-2E9C-101B-9397-08002B2CF9AE}" pid="10" name="MSIP_Label_d714bed8-1d92-46d0-83ba-5d38f47538a0_SiteId">
    <vt:lpwstr>55a8d9e9-da72-4987-ac28-51b3b5add15f</vt:lpwstr>
  </property>
  <property fmtid="{D5CDD505-2E9C-101B-9397-08002B2CF9AE}" pid="11" name="MSIP_Label_d714bed8-1d92-46d0-83ba-5d38f47538a0_ActionId">
    <vt:lpwstr>4c6f18d1-b626-47dc-b677-98240581fe7d</vt:lpwstr>
  </property>
  <property fmtid="{D5CDD505-2E9C-101B-9397-08002B2CF9AE}" pid="12" name="MSIP_Label_d714bed8-1d92-46d0-83ba-5d38f47538a0_ContentBits">
    <vt:lpwstr>0</vt:lpwstr>
  </property>
</Properties>
</file>