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8A" w:rsidRDefault="0072748A" w:rsidP="00FC4F30">
      <w:pPr>
        <w:pStyle w:val="NoSpacing"/>
        <w:spacing w:line="276" w:lineRule="auto"/>
        <w:jc w:val="both"/>
      </w:pPr>
    </w:p>
    <w:p w:rsidR="0072748A" w:rsidRDefault="00B128AE" w:rsidP="00FC4F30">
      <w:pPr>
        <w:pStyle w:val="NoSpacing"/>
        <w:spacing w:line="276" w:lineRule="auto"/>
        <w:jc w:val="center"/>
        <w:rPr>
          <w:b/>
          <w:bCs/>
        </w:rPr>
      </w:pPr>
      <w:bookmarkStart w:id="0" w:name="OLE_LINK11"/>
      <w:r>
        <w:rPr>
          <w:b/>
          <w:bCs/>
        </w:rPr>
        <w:t>K</w:t>
      </w:r>
      <w:bookmarkStart w:id="1" w:name="OLE_LINK12"/>
      <w:bookmarkEnd w:id="0"/>
      <w:r>
        <w:rPr>
          <w:b/>
          <w:bCs/>
        </w:rPr>
        <w:t xml:space="preserve">admon Announces </w:t>
      </w:r>
      <w:r w:rsidR="00E07388">
        <w:rPr>
          <w:b/>
          <w:bCs/>
        </w:rPr>
        <w:t xml:space="preserve">Publication of </w:t>
      </w:r>
      <w:r w:rsidR="00CF67FF">
        <w:rPr>
          <w:b/>
          <w:bCs/>
        </w:rPr>
        <w:t xml:space="preserve">Phase 2a </w:t>
      </w:r>
      <w:r w:rsidR="00E07388">
        <w:rPr>
          <w:b/>
          <w:bCs/>
        </w:rPr>
        <w:t xml:space="preserve">Clinical </w:t>
      </w:r>
      <w:r w:rsidR="00CF67FF">
        <w:rPr>
          <w:b/>
          <w:bCs/>
        </w:rPr>
        <w:t xml:space="preserve">Trial Results </w:t>
      </w:r>
      <w:r w:rsidR="003E0DE4">
        <w:rPr>
          <w:b/>
          <w:bCs/>
        </w:rPr>
        <w:t>of</w:t>
      </w:r>
      <w:r>
        <w:rPr>
          <w:b/>
          <w:bCs/>
        </w:rPr>
        <w:t xml:space="preserve"> </w:t>
      </w:r>
      <w:r w:rsidR="003E0DE4">
        <w:rPr>
          <w:b/>
          <w:bCs/>
        </w:rPr>
        <w:t>B</w:t>
      </w:r>
      <w:r w:rsidR="004E09B3">
        <w:rPr>
          <w:b/>
          <w:bCs/>
        </w:rPr>
        <w:t xml:space="preserve">elumosudil </w:t>
      </w:r>
      <w:r w:rsidR="002C6C50">
        <w:rPr>
          <w:b/>
          <w:bCs/>
        </w:rPr>
        <w:t xml:space="preserve">for </w:t>
      </w:r>
      <w:r w:rsidR="004E09B3">
        <w:rPr>
          <w:b/>
          <w:bCs/>
        </w:rPr>
        <w:t xml:space="preserve">cGVHD in </w:t>
      </w:r>
      <w:r w:rsidR="004E09B3" w:rsidRPr="004E09B3">
        <w:rPr>
          <w:b/>
          <w:bCs/>
        </w:rPr>
        <w:t>the Journal of Clinical Oncology</w:t>
      </w:r>
    </w:p>
    <w:p w:rsidR="0072748A" w:rsidRDefault="0072748A" w:rsidP="00FC4F30">
      <w:pPr>
        <w:pStyle w:val="NoSpacing"/>
        <w:spacing w:line="276" w:lineRule="auto"/>
        <w:jc w:val="center"/>
      </w:pPr>
    </w:p>
    <w:p w:rsidR="00854F3D" w:rsidRDefault="00A9448B" w:rsidP="000C7FF3">
      <w:pPr>
        <w:pStyle w:val="Body"/>
        <w:jc w:val="both"/>
        <w:rPr>
          <w:rFonts w:eastAsia="Calibri" w:cs="Times New Roman"/>
        </w:rPr>
      </w:pPr>
      <w:r>
        <w:rPr>
          <w:b/>
          <w:bCs/>
        </w:rPr>
        <w:t xml:space="preserve">NEW YORK, </w:t>
      </w:r>
      <w:r w:rsidR="00CF67FF">
        <w:rPr>
          <w:b/>
          <w:bCs/>
        </w:rPr>
        <w:t xml:space="preserve">April </w:t>
      </w:r>
      <w:r w:rsidR="00FA7BC9">
        <w:rPr>
          <w:b/>
          <w:bCs/>
        </w:rPr>
        <w:t>21</w:t>
      </w:r>
      <w:r w:rsidR="00B128AE">
        <w:rPr>
          <w:b/>
          <w:bCs/>
        </w:rPr>
        <w:t xml:space="preserve">, 2021 – </w:t>
      </w:r>
      <w:r w:rsidR="00B128AE">
        <w:t>Kadmon Holdings, Inc. (</w:t>
      </w:r>
      <w:proofErr w:type="gramStart"/>
      <w:r w:rsidR="00B128AE">
        <w:t>Nasdaq</w:t>
      </w:r>
      <w:proofErr w:type="gramEnd"/>
      <w:r w:rsidR="00B128AE">
        <w:t xml:space="preserve">: KDMN) today announced </w:t>
      </w:r>
      <w:r w:rsidR="00854F3D">
        <w:rPr>
          <w:rFonts w:eastAsia="Calibri" w:cs="Times New Roman"/>
        </w:rPr>
        <w:t xml:space="preserve">the publication of </w:t>
      </w:r>
      <w:r w:rsidR="00E14744">
        <w:rPr>
          <w:rFonts w:eastAsia="Calibri" w:cs="Times New Roman"/>
        </w:rPr>
        <w:t>results</w:t>
      </w:r>
      <w:r w:rsidR="00854F3D">
        <w:rPr>
          <w:rFonts w:eastAsia="Calibri" w:cs="Times New Roman"/>
        </w:rPr>
        <w:t xml:space="preserve"> from </w:t>
      </w:r>
      <w:r w:rsidR="00510CF3">
        <w:rPr>
          <w:rFonts w:eastAsia="Calibri" w:cs="Times New Roman"/>
        </w:rPr>
        <w:t>KD025-208, the</w:t>
      </w:r>
      <w:r w:rsidR="00854F3D">
        <w:rPr>
          <w:rFonts w:eastAsia="Calibri" w:cs="Times New Roman"/>
        </w:rPr>
        <w:t xml:space="preserve"> </w:t>
      </w:r>
      <w:r w:rsidR="00854F3D" w:rsidRPr="00854F3D">
        <w:rPr>
          <w:rFonts w:eastAsia="Calibri" w:cs="Times New Roman"/>
        </w:rPr>
        <w:t xml:space="preserve">Phase 2a clinical trial of belumosudil </w:t>
      </w:r>
      <w:r w:rsidR="00540372">
        <w:rPr>
          <w:rFonts w:eastAsia="Calibri" w:cs="Times New Roman"/>
        </w:rPr>
        <w:t xml:space="preserve">(KD025) </w:t>
      </w:r>
      <w:r w:rsidR="00D0393F">
        <w:rPr>
          <w:rFonts w:eastAsia="Calibri" w:cs="Times New Roman"/>
        </w:rPr>
        <w:t xml:space="preserve">for </w:t>
      </w:r>
      <w:r w:rsidR="001C0143">
        <w:rPr>
          <w:rFonts w:eastAsia="Calibri" w:cs="Times New Roman"/>
        </w:rPr>
        <w:t>chronic graft-versus-host disease</w:t>
      </w:r>
      <w:r w:rsidR="00854F3D" w:rsidRPr="00854F3D">
        <w:rPr>
          <w:rFonts w:eastAsia="Calibri" w:cs="Times New Roman"/>
        </w:rPr>
        <w:t xml:space="preserve"> </w:t>
      </w:r>
      <w:r w:rsidR="001C0143">
        <w:rPr>
          <w:rFonts w:eastAsia="Calibri" w:cs="Times New Roman"/>
        </w:rPr>
        <w:t>(</w:t>
      </w:r>
      <w:r w:rsidR="00854F3D" w:rsidRPr="00854F3D">
        <w:rPr>
          <w:rFonts w:eastAsia="Calibri" w:cs="Times New Roman"/>
        </w:rPr>
        <w:t>cGVHD</w:t>
      </w:r>
      <w:r w:rsidR="001C0143">
        <w:rPr>
          <w:rFonts w:eastAsia="Calibri" w:cs="Times New Roman"/>
        </w:rPr>
        <w:t>)</w:t>
      </w:r>
      <w:r w:rsidR="00854F3D" w:rsidRPr="00854F3D">
        <w:rPr>
          <w:rFonts w:eastAsia="Calibri" w:cs="Times New Roman"/>
        </w:rPr>
        <w:t xml:space="preserve">. The </w:t>
      </w:r>
      <w:r w:rsidR="00503754">
        <w:rPr>
          <w:rFonts w:eastAsia="Calibri" w:cs="Times New Roman"/>
        </w:rPr>
        <w:t>results</w:t>
      </w:r>
      <w:r w:rsidR="00503754" w:rsidRPr="00854F3D">
        <w:rPr>
          <w:rFonts w:eastAsia="Calibri" w:cs="Times New Roman"/>
        </w:rPr>
        <w:t xml:space="preserve"> </w:t>
      </w:r>
      <w:proofErr w:type="gramStart"/>
      <w:r w:rsidR="00854F3D" w:rsidRPr="00854F3D">
        <w:rPr>
          <w:rFonts w:eastAsia="Calibri" w:cs="Times New Roman"/>
        </w:rPr>
        <w:t>were published</w:t>
      </w:r>
      <w:proofErr w:type="gramEnd"/>
      <w:r w:rsidR="00854F3D" w:rsidRPr="00854F3D">
        <w:rPr>
          <w:rFonts w:eastAsia="Calibri" w:cs="Times New Roman"/>
        </w:rPr>
        <w:t xml:space="preserve"> in </w:t>
      </w:r>
      <w:r w:rsidR="00854F3D">
        <w:rPr>
          <w:rFonts w:eastAsia="Calibri" w:cs="Times New Roman"/>
        </w:rPr>
        <w:t xml:space="preserve">the </w:t>
      </w:r>
      <w:r w:rsidR="00854F3D" w:rsidRPr="00854F3D">
        <w:rPr>
          <w:rFonts w:eastAsia="Calibri" w:cs="Times New Roman"/>
          <w:i/>
        </w:rPr>
        <w:t>Journal of Clinical Oncology</w:t>
      </w:r>
      <w:r w:rsidR="00854F3D">
        <w:rPr>
          <w:rFonts w:eastAsia="Calibri" w:cs="Times New Roman"/>
        </w:rPr>
        <w:t xml:space="preserve">. </w:t>
      </w:r>
      <w:r w:rsidR="00CF67FF">
        <w:rPr>
          <w:rFonts w:eastAsia="Calibri" w:cs="Times New Roman"/>
        </w:rPr>
        <w:t>A New Drug Application (NDA) for b</w:t>
      </w:r>
      <w:r w:rsidR="00854F3D" w:rsidRPr="00854F3D">
        <w:rPr>
          <w:rFonts w:eastAsia="Calibri" w:cs="Times New Roman"/>
        </w:rPr>
        <w:t xml:space="preserve">elumosudil is currently under </w:t>
      </w:r>
      <w:r w:rsidR="00CF67FF">
        <w:rPr>
          <w:rFonts w:eastAsia="Calibri" w:cs="Times New Roman"/>
        </w:rPr>
        <w:t>Priority Review</w:t>
      </w:r>
      <w:r w:rsidR="00854F3D" w:rsidRPr="00854F3D">
        <w:rPr>
          <w:rFonts w:eastAsia="Calibri" w:cs="Times New Roman"/>
        </w:rPr>
        <w:t xml:space="preserve"> by the </w:t>
      </w:r>
      <w:r w:rsidR="00E06ECB">
        <w:rPr>
          <w:rFonts w:eastAsia="Calibri" w:cs="Times New Roman"/>
        </w:rPr>
        <w:t>U.S Food and Drug Administration (</w:t>
      </w:r>
      <w:r w:rsidR="00854F3D" w:rsidRPr="00854F3D">
        <w:rPr>
          <w:rFonts w:eastAsia="Calibri" w:cs="Times New Roman"/>
        </w:rPr>
        <w:t>FDA</w:t>
      </w:r>
      <w:r w:rsidR="00E06ECB">
        <w:rPr>
          <w:rFonts w:eastAsia="Calibri" w:cs="Times New Roman"/>
        </w:rPr>
        <w:t>)</w:t>
      </w:r>
      <w:r w:rsidR="00854F3D">
        <w:rPr>
          <w:rFonts w:eastAsia="Calibri" w:cs="Times New Roman"/>
        </w:rPr>
        <w:t xml:space="preserve"> </w:t>
      </w:r>
      <w:r w:rsidR="00854F3D" w:rsidRPr="00854F3D">
        <w:rPr>
          <w:rFonts w:eastAsia="Calibri" w:cs="Times New Roman"/>
        </w:rPr>
        <w:t>for the treatment of patients with cGVHD</w:t>
      </w:r>
      <w:r w:rsidR="00CF67FF">
        <w:rPr>
          <w:rFonts w:eastAsia="Calibri" w:cs="Times New Roman"/>
        </w:rPr>
        <w:t>, with a</w:t>
      </w:r>
      <w:r w:rsidR="00854F3D" w:rsidRPr="00854F3D">
        <w:rPr>
          <w:rFonts w:eastAsia="Calibri" w:cs="Times New Roman"/>
        </w:rPr>
        <w:t xml:space="preserve"> Prescription Drug User Fee Act (PDUFA) </w:t>
      </w:r>
      <w:r w:rsidR="000C4947">
        <w:rPr>
          <w:rFonts w:eastAsia="Calibri" w:cs="Times New Roman"/>
        </w:rPr>
        <w:t>goal</w:t>
      </w:r>
      <w:r w:rsidR="00323CBB" w:rsidRPr="00854F3D">
        <w:rPr>
          <w:rFonts w:eastAsia="Calibri" w:cs="Times New Roman"/>
        </w:rPr>
        <w:t xml:space="preserve"> </w:t>
      </w:r>
      <w:r w:rsidR="00854F3D" w:rsidRPr="00854F3D">
        <w:rPr>
          <w:rFonts w:eastAsia="Calibri" w:cs="Times New Roman"/>
        </w:rPr>
        <w:t xml:space="preserve">date </w:t>
      </w:r>
      <w:r w:rsidR="00CF67FF">
        <w:rPr>
          <w:rFonts w:eastAsia="Calibri" w:cs="Times New Roman"/>
        </w:rPr>
        <w:t>of</w:t>
      </w:r>
      <w:r w:rsidR="00854F3D" w:rsidRPr="00854F3D">
        <w:rPr>
          <w:rFonts w:eastAsia="Calibri" w:cs="Times New Roman"/>
        </w:rPr>
        <w:t xml:space="preserve"> August 30, 2021.</w:t>
      </w:r>
    </w:p>
    <w:p w:rsidR="00CE15C1" w:rsidRDefault="00CE15C1" w:rsidP="000C7FF3">
      <w:pPr>
        <w:pStyle w:val="Body"/>
        <w:jc w:val="both"/>
        <w:rPr>
          <w:rFonts w:eastAsia="Calibri" w:cs="Times New Roman"/>
        </w:rPr>
      </w:pPr>
      <w:r>
        <w:rPr>
          <w:rFonts w:eastAsia="Calibri" w:cs="Times New Roman"/>
        </w:rPr>
        <w:t xml:space="preserve">“The results </w:t>
      </w:r>
      <w:r w:rsidRPr="00CE15C1">
        <w:rPr>
          <w:rFonts w:eastAsia="Calibri" w:cs="Times New Roman"/>
        </w:rPr>
        <w:t xml:space="preserve">from our </w:t>
      </w:r>
      <w:r w:rsidR="00F7563C">
        <w:rPr>
          <w:rFonts w:eastAsia="Calibri" w:cs="Times New Roman"/>
        </w:rPr>
        <w:t>first</w:t>
      </w:r>
      <w:r w:rsidR="00B135FA">
        <w:rPr>
          <w:rFonts w:eastAsia="Calibri" w:cs="Times New Roman"/>
        </w:rPr>
        <w:t xml:space="preserve"> </w:t>
      </w:r>
      <w:r w:rsidRPr="00CE15C1">
        <w:rPr>
          <w:rFonts w:eastAsia="Calibri" w:cs="Times New Roman"/>
        </w:rPr>
        <w:t xml:space="preserve">clinical </w:t>
      </w:r>
      <w:r w:rsidR="00CF67FF">
        <w:rPr>
          <w:rFonts w:eastAsia="Calibri" w:cs="Times New Roman"/>
        </w:rPr>
        <w:t xml:space="preserve">study in cGVHD </w:t>
      </w:r>
      <w:r w:rsidRPr="00CE15C1">
        <w:rPr>
          <w:rFonts w:eastAsia="Calibri" w:cs="Times New Roman"/>
        </w:rPr>
        <w:t>demonstrate</w:t>
      </w:r>
      <w:r w:rsidR="000C4947">
        <w:rPr>
          <w:rFonts w:eastAsia="Calibri" w:cs="Times New Roman"/>
        </w:rPr>
        <w:t>d</w:t>
      </w:r>
      <w:r w:rsidRPr="00CE15C1">
        <w:rPr>
          <w:rFonts w:eastAsia="Calibri" w:cs="Times New Roman"/>
        </w:rPr>
        <w:t xml:space="preserve"> </w:t>
      </w:r>
      <w:r w:rsidR="00503754">
        <w:rPr>
          <w:rFonts w:eastAsia="Calibri" w:cs="Times New Roman"/>
        </w:rPr>
        <w:t>that</w:t>
      </w:r>
      <w:r w:rsidR="0043686A">
        <w:rPr>
          <w:rFonts w:eastAsia="Calibri" w:cs="Times New Roman"/>
        </w:rPr>
        <w:t xml:space="preserve"> belumosudil </w:t>
      </w:r>
      <w:r w:rsidRPr="00CE15C1">
        <w:rPr>
          <w:rFonts w:eastAsia="Calibri" w:cs="Times New Roman"/>
        </w:rPr>
        <w:t>achieve</w:t>
      </w:r>
      <w:r w:rsidR="00503754">
        <w:rPr>
          <w:rFonts w:eastAsia="Calibri" w:cs="Times New Roman"/>
        </w:rPr>
        <w:t>s</w:t>
      </w:r>
      <w:r w:rsidRPr="00CE15C1">
        <w:rPr>
          <w:rFonts w:eastAsia="Calibri" w:cs="Times New Roman"/>
        </w:rPr>
        <w:t xml:space="preserve"> meaningful, long-lasting responses </w:t>
      </w:r>
      <w:r w:rsidR="00503754">
        <w:rPr>
          <w:rFonts w:eastAsia="Calibri" w:cs="Times New Roman"/>
        </w:rPr>
        <w:t xml:space="preserve">and is very well tolerated </w:t>
      </w:r>
      <w:r w:rsidRPr="00CE15C1">
        <w:rPr>
          <w:rFonts w:eastAsia="Calibri" w:cs="Times New Roman"/>
        </w:rPr>
        <w:t xml:space="preserve">in </w:t>
      </w:r>
      <w:r w:rsidR="00034610">
        <w:rPr>
          <w:rFonts w:eastAsia="Calibri" w:cs="Times New Roman"/>
        </w:rPr>
        <w:t xml:space="preserve">refractory cGVHD </w:t>
      </w:r>
      <w:r w:rsidRPr="00CE15C1">
        <w:rPr>
          <w:rFonts w:eastAsia="Calibri" w:cs="Times New Roman"/>
        </w:rPr>
        <w:t xml:space="preserve">patients,” said Harlan W. Waksal, M.D., President and CEO </w:t>
      </w:r>
      <w:r w:rsidR="0043686A">
        <w:rPr>
          <w:rFonts w:eastAsia="Calibri" w:cs="Times New Roman"/>
        </w:rPr>
        <w:t>of</w:t>
      </w:r>
      <w:r w:rsidR="0043686A" w:rsidRPr="00CE15C1">
        <w:rPr>
          <w:rFonts w:eastAsia="Calibri" w:cs="Times New Roman"/>
        </w:rPr>
        <w:t xml:space="preserve"> </w:t>
      </w:r>
      <w:r w:rsidRPr="00CE15C1">
        <w:rPr>
          <w:rFonts w:eastAsia="Calibri" w:cs="Times New Roman"/>
        </w:rPr>
        <w:t>Kadmon.</w:t>
      </w:r>
      <w:r w:rsidR="00A91ED8">
        <w:rPr>
          <w:rFonts w:eastAsia="Calibri" w:cs="Times New Roman"/>
        </w:rPr>
        <w:t xml:space="preserve"> “The</w:t>
      </w:r>
      <w:r w:rsidR="0043686A">
        <w:rPr>
          <w:rFonts w:eastAsia="Calibri" w:cs="Times New Roman"/>
        </w:rPr>
        <w:t>se</w:t>
      </w:r>
      <w:r w:rsidR="00A91ED8">
        <w:rPr>
          <w:rFonts w:eastAsia="Calibri" w:cs="Times New Roman"/>
        </w:rPr>
        <w:t xml:space="preserve"> </w:t>
      </w:r>
      <w:r w:rsidR="00E06ECB">
        <w:rPr>
          <w:rFonts w:eastAsia="Calibri" w:cs="Times New Roman"/>
        </w:rPr>
        <w:t xml:space="preserve">positive </w:t>
      </w:r>
      <w:r w:rsidR="00A91ED8">
        <w:rPr>
          <w:rFonts w:eastAsia="Calibri" w:cs="Times New Roman"/>
        </w:rPr>
        <w:t>results</w:t>
      </w:r>
      <w:r w:rsidR="00CF67FF">
        <w:rPr>
          <w:rFonts w:eastAsia="Calibri" w:cs="Times New Roman"/>
        </w:rPr>
        <w:t xml:space="preserve"> </w:t>
      </w:r>
      <w:r w:rsidR="009C5B25">
        <w:rPr>
          <w:rFonts w:eastAsia="Calibri" w:cs="Times New Roman"/>
        </w:rPr>
        <w:t xml:space="preserve">were replicated </w:t>
      </w:r>
      <w:r w:rsidR="00CF67FF">
        <w:rPr>
          <w:rFonts w:eastAsia="Calibri" w:cs="Times New Roman"/>
        </w:rPr>
        <w:t xml:space="preserve">in the </w:t>
      </w:r>
      <w:proofErr w:type="spellStart"/>
      <w:r w:rsidR="00CF67FF">
        <w:rPr>
          <w:rFonts w:eastAsia="Calibri" w:cs="Times New Roman"/>
        </w:rPr>
        <w:t>ROCKstar</w:t>
      </w:r>
      <w:proofErr w:type="spellEnd"/>
      <w:r w:rsidR="00CF67FF">
        <w:rPr>
          <w:rFonts w:eastAsia="Calibri" w:cs="Times New Roman"/>
        </w:rPr>
        <w:t xml:space="preserve"> pivotal trial and</w:t>
      </w:r>
      <w:r w:rsidR="00A91ED8">
        <w:rPr>
          <w:rFonts w:eastAsia="Calibri" w:cs="Times New Roman"/>
        </w:rPr>
        <w:t xml:space="preserve"> support belumosudil’s ability to </w:t>
      </w:r>
      <w:r w:rsidR="00D0393F">
        <w:rPr>
          <w:rFonts w:eastAsia="Calibri" w:cs="Times New Roman"/>
        </w:rPr>
        <w:t>offer meaningful clinical benefit</w:t>
      </w:r>
      <w:r w:rsidR="00634432">
        <w:rPr>
          <w:rFonts w:eastAsia="Calibri" w:cs="Times New Roman"/>
        </w:rPr>
        <w:t>, if approved,</w:t>
      </w:r>
      <w:r w:rsidR="00D0393F">
        <w:rPr>
          <w:rFonts w:eastAsia="Calibri" w:cs="Times New Roman"/>
        </w:rPr>
        <w:t xml:space="preserve"> </w:t>
      </w:r>
      <w:r w:rsidR="00507C22">
        <w:rPr>
          <w:rFonts w:eastAsia="Calibri" w:cs="Times New Roman"/>
        </w:rPr>
        <w:t xml:space="preserve">to </w:t>
      </w:r>
      <w:r w:rsidR="00A91ED8">
        <w:rPr>
          <w:rFonts w:eastAsia="Calibri" w:cs="Times New Roman"/>
        </w:rPr>
        <w:t xml:space="preserve">patients </w:t>
      </w:r>
      <w:r w:rsidR="0043686A">
        <w:rPr>
          <w:rFonts w:eastAsia="Calibri" w:cs="Times New Roman"/>
        </w:rPr>
        <w:t xml:space="preserve">with cGVHD, </w:t>
      </w:r>
      <w:r w:rsidR="00CF67FF">
        <w:rPr>
          <w:rFonts w:eastAsia="Calibri" w:cs="Times New Roman"/>
        </w:rPr>
        <w:t>for which new therapies are urgently needed</w:t>
      </w:r>
      <w:r w:rsidR="00F5728E">
        <w:rPr>
          <w:rFonts w:eastAsia="Calibri" w:cs="Times New Roman"/>
        </w:rPr>
        <w:t>.”</w:t>
      </w:r>
    </w:p>
    <w:p w:rsidR="00F5728E" w:rsidRDefault="00F5728E" w:rsidP="000C7FF3">
      <w:pPr>
        <w:pStyle w:val="Body"/>
        <w:jc w:val="both"/>
        <w:rPr>
          <w:rFonts w:eastAsia="Calibri" w:cs="Times New Roman"/>
        </w:rPr>
      </w:pPr>
      <w:bookmarkStart w:id="2" w:name="_Hlk68187730"/>
      <w:r w:rsidRPr="00F5728E">
        <w:rPr>
          <w:rFonts w:eastAsia="Calibri" w:cs="Times New Roman"/>
        </w:rPr>
        <w:t xml:space="preserve">Results from </w:t>
      </w:r>
      <w:r w:rsidR="00CF714B">
        <w:rPr>
          <w:rFonts w:eastAsia="Calibri" w:cs="Times New Roman"/>
        </w:rPr>
        <w:t xml:space="preserve">KD025-208, </w:t>
      </w:r>
      <w:r w:rsidRPr="00F5728E">
        <w:rPr>
          <w:rFonts w:eastAsia="Calibri" w:cs="Times New Roman"/>
        </w:rPr>
        <w:t xml:space="preserve">the </w:t>
      </w:r>
      <w:r w:rsidR="00323CBB">
        <w:rPr>
          <w:rFonts w:eastAsia="Calibri" w:cs="Times New Roman"/>
        </w:rPr>
        <w:t xml:space="preserve">open-label, Phase 2a </w:t>
      </w:r>
      <w:r w:rsidRPr="00F5728E">
        <w:rPr>
          <w:rFonts w:eastAsia="Calibri" w:cs="Times New Roman"/>
        </w:rPr>
        <w:t>clinical trial</w:t>
      </w:r>
      <w:r w:rsidR="00834291">
        <w:rPr>
          <w:rFonts w:eastAsia="Calibri" w:cs="Times New Roman"/>
        </w:rPr>
        <w:t xml:space="preserve"> of belumosudil</w:t>
      </w:r>
      <w:r w:rsidR="005A5255">
        <w:rPr>
          <w:rFonts w:eastAsia="Calibri" w:cs="Times New Roman"/>
        </w:rPr>
        <w:t xml:space="preserve">, </w:t>
      </w:r>
      <w:r w:rsidR="00B135FA">
        <w:rPr>
          <w:rFonts w:eastAsia="Calibri" w:cs="Times New Roman"/>
        </w:rPr>
        <w:t xml:space="preserve">which enrolled </w:t>
      </w:r>
      <w:r w:rsidR="005A5255">
        <w:rPr>
          <w:rFonts w:eastAsia="Calibri" w:cs="Times New Roman"/>
        </w:rPr>
        <w:t xml:space="preserve">54 </w:t>
      </w:r>
      <w:r w:rsidR="00510CF3">
        <w:rPr>
          <w:rFonts w:eastAsia="Calibri" w:cs="Times New Roman"/>
        </w:rPr>
        <w:t xml:space="preserve">cGVHD </w:t>
      </w:r>
      <w:r w:rsidR="007F3EE9">
        <w:rPr>
          <w:rFonts w:eastAsia="Calibri" w:cs="Times New Roman"/>
        </w:rPr>
        <w:t>patients</w:t>
      </w:r>
      <w:r w:rsidR="00510CF3">
        <w:rPr>
          <w:rFonts w:eastAsia="Calibri" w:cs="Times New Roman"/>
        </w:rPr>
        <w:t xml:space="preserve"> who had received one to three prior lines of therapy</w:t>
      </w:r>
      <w:r w:rsidR="005A5255">
        <w:rPr>
          <w:rFonts w:eastAsia="Calibri" w:cs="Times New Roman"/>
        </w:rPr>
        <w:t>,</w:t>
      </w:r>
      <w:r w:rsidRPr="00F5728E">
        <w:rPr>
          <w:rFonts w:eastAsia="Calibri" w:cs="Times New Roman"/>
        </w:rPr>
        <w:t xml:space="preserve"> </w:t>
      </w:r>
      <w:bookmarkStart w:id="3" w:name="_Hlk68187803"/>
      <w:bookmarkEnd w:id="2"/>
      <w:r w:rsidR="004D38BD">
        <w:rPr>
          <w:rFonts w:eastAsia="Calibri" w:cs="Times New Roman"/>
        </w:rPr>
        <w:t>demonstrated a pooled</w:t>
      </w:r>
      <w:r w:rsidR="00323CBB" w:rsidRPr="00F5728E">
        <w:rPr>
          <w:rFonts w:eastAsia="Calibri" w:cs="Times New Roman"/>
        </w:rPr>
        <w:t xml:space="preserve"> </w:t>
      </w:r>
      <w:r w:rsidRPr="00F5728E">
        <w:rPr>
          <w:rFonts w:eastAsia="Calibri" w:cs="Times New Roman"/>
        </w:rPr>
        <w:t>Overall Response Rate (ORR) of 65% across the three patient cohorts</w:t>
      </w:r>
      <w:r>
        <w:rPr>
          <w:rFonts w:eastAsia="Calibri" w:cs="Times New Roman"/>
        </w:rPr>
        <w:t>.</w:t>
      </w:r>
      <w:r w:rsidRPr="00F5728E">
        <w:rPr>
          <w:rFonts w:eastAsia="Calibri" w:cs="Times New Roman"/>
        </w:rPr>
        <w:t xml:space="preserve"> </w:t>
      </w:r>
      <w:bookmarkEnd w:id="3"/>
      <w:r w:rsidRPr="00F5728E">
        <w:rPr>
          <w:rFonts w:eastAsia="Calibri" w:cs="Times New Roman"/>
        </w:rPr>
        <w:t xml:space="preserve">Responses </w:t>
      </w:r>
      <w:proofErr w:type="gramStart"/>
      <w:r w:rsidRPr="00F5728E">
        <w:rPr>
          <w:rFonts w:eastAsia="Calibri" w:cs="Times New Roman"/>
        </w:rPr>
        <w:t>were achieved</w:t>
      </w:r>
      <w:proofErr w:type="gramEnd"/>
      <w:r w:rsidRPr="00F5728E">
        <w:rPr>
          <w:rFonts w:eastAsia="Calibri" w:cs="Times New Roman"/>
        </w:rPr>
        <w:t xml:space="preserve"> across patient subgroups, </w:t>
      </w:r>
      <w:r w:rsidR="00766E6B">
        <w:rPr>
          <w:rFonts w:eastAsia="Calibri" w:cs="Times New Roman"/>
        </w:rPr>
        <w:t xml:space="preserve">including </w:t>
      </w:r>
      <w:r w:rsidRPr="00F5728E">
        <w:rPr>
          <w:rFonts w:eastAsia="Calibri" w:cs="Times New Roman"/>
        </w:rPr>
        <w:t xml:space="preserve">in patients with four or more organs involved. Responses were durable, with a median duration of </w:t>
      </w:r>
      <w:r w:rsidR="004D38BD">
        <w:rPr>
          <w:rFonts w:eastAsia="Calibri" w:cs="Times New Roman"/>
        </w:rPr>
        <w:t>35 weeks in responders</w:t>
      </w:r>
      <w:r w:rsidRPr="00F5728E">
        <w:rPr>
          <w:rFonts w:eastAsia="Calibri" w:cs="Times New Roman"/>
        </w:rPr>
        <w:t xml:space="preserve">. In addition, </w:t>
      </w:r>
      <w:r w:rsidR="00895F86">
        <w:rPr>
          <w:rFonts w:eastAsia="Calibri" w:cs="Times New Roman"/>
        </w:rPr>
        <w:t>50</w:t>
      </w:r>
      <w:r w:rsidRPr="00F5728E">
        <w:rPr>
          <w:rFonts w:eastAsia="Calibri" w:cs="Times New Roman"/>
        </w:rPr>
        <w:t>% of responders experienced a clinically meaningful improvement in symptoms, as measured by at least a 7-point decrease in</w:t>
      </w:r>
      <w:r w:rsidR="006B7A84">
        <w:rPr>
          <w:rFonts w:eastAsia="Calibri" w:cs="Times New Roman"/>
        </w:rPr>
        <w:t xml:space="preserve"> the</w:t>
      </w:r>
      <w:r w:rsidRPr="00F5728E">
        <w:rPr>
          <w:rFonts w:eastAsia="Calibri" w:cs="Times New Roman"/>
        </w:rPr>
        <w:t xml:space="preserve"> Lee cGVHD Symptom Scale score. Belumosudil </w:t>
      </w:r>
      <w:proofErr w:type="gramStart"/>
      <w:r w:rsidRPr="00F5728E">
        <w:rPr>
          <w:rFonts w:eastAsia="Calibri" w:cs="Times New Roman"/>
        </w:rPr>
        <w:t>was also shown</w:t>
      </w:r>
      <w:proofErr w:type="gramEnd"/>
      <w:r w:rsidRPr="00F5728E">
        <w:rPr>
          <w:rFonts w:eastAsia="Calibri" w:cs="Times New Roman"/>
        </w:rPr>
        <w:t xml:space="preserve"> to be steroid sparing: </w:t>
      </w:r>
      <w:r w:rsidR="00895F86">
        <w:rPr>
          <w:rFonts w:eastAsia="Calibri" w:cs="Times New Roman"/>
        </w:rPr>
        <w:t>67</w:t>
      </w:r>
      <w:r w:rsidRPr="00F5728E">
        <w:rPr>
          <w:rFonts w:eastAsia="Calibri" w:cs="Times New Roman"/>
        </w:rPr>
        <w:t>% of all patients were ab</w:t>
      </w:r>
      <w:r w:rsidR="00895F86">
        <w:rPr>
          <w:rFonts w:eastAsia="Calibri" w:cs="Times New Roman"/>
        </w:rPr>
        <w:t>le to reduce steroid dose</w:t>
      </w:r>
      <w:r w:rsidR="00CF714B">
        <w:rPr>
          <w:rFonts w:eastAsia="Calibri" w:cs="Times New Roman"/>
        </w:rPr>
        <w:t>s</w:t>
      </w:r>
      <w:r w:rsidR="00895F86">
        <w:rPr>
          <w:rFonts w:eastAsia="Calibri" w:cs="Times New Roman"/>
        </w:rPr>
        <w:t xml:space="preserve"> and 19</w:t>
      </w:r>
      <w:r w:rsidRPr="00F5728E">
        <w:rPr>
          <w:rFonts w:eastAsia="Calibri" w:cs="Times New Roman"/>
        </w:rPr>
        <w:t xml:space="preserve">% of patients completely discontinued steroids. </w:t>
      </w:r>
      <w:r w:rsidR="00895F86">
        <w:rPr>
          <w:rFonts w:eastAsia="Calibri" w:cs="Times New Roman"/>
        </w:rPr>
        <w:t>Belumosudil</w:t>
      </w:r>
      <w:r w:rsidRPr="00F5728E">
        <w:rPr>
          <w:rFonts w:eastAsia="Calibri" w:cs="Times New Roman"/>
        </w:rPr>
        <w:t xml:space="preserve"> </w:t>
      </w:r>
      <w:proofErr w:type="gramStart"/>
      <w:r w:rsidRPr="00F5728E">
        <w:rPr>
          <w:rFonts w:eastAsia="Calibri" w:cs="Times New Roman"/>
        </w:rPr>
        <w:t>was well tolerated</w:t>
      </w:r>
      <w:proofErr w:type="gramEnd"/>
      <w:r w:rsidRPr="00F5728E">
        <w:rPr>
          <w:rFonts w:eastAsia="Calibri" w:cs="Times New Roman"/>
        </w:rPr>
        <w:t xml:space="preserve"> across all cohorts, with no drug-related </w:t>
      </w:r>
      <w:r w:rsidR="00323CBB">
        <w:rPr>
          <w:rFonts w:eastAsia="Calibri" w:cs="Times New Roman"/>
        </w:rPr>
        <w:t>serious adverse events</w:t>
      </w:r>
      <w:r w:rsidR="00323CBB" w:rsidRPr="00F5728E">
        <w:rPr>
          <w:rFonts w:eastAsia="Calibri" w:cs="Times New Roman"/>
        </w:rPr>
        <w:t xml:space="preserve"> </w:t>
      </w:r>
      <w:r w:rsidRPr="00F5728E">
        <w:rPr>
          <w:rFonts w:eastAsia="Calibri" w:cs="Times New Roman"/>
        </w:rPr>
        <w:t>and no increased risk of infection</w:t>
      </w:r>
      <w:r w:rsidR="00766E6B">
        <w:rPr>
          <w:rFonts w:eastAsia="Calibri" w:cs="Times New Roman"/>
        </w:rPr>
        <w:t xml:space="preserve"> observed</w:t>
      </w:r>
      <w:r w:rsidRPr="00F5728E">
        <w:rPr>
          <w:rFonts w:eastAsia="Calibri" w:cs="Times New Roman"/>
        </w:rPr>
        <w:t xml:space="preserve">. </w:t>
      </w:r>
    </w:p>
    <w:p w:rsidR="00E14744" w:rsidRDefault="00E14744" w:rsidP="003E678B">
      <w:pPr>
        <w:pStyle w:val="Body"/>
        <w:jc w:val="both"/>
        <w:rPr>
          <w:rFonts w:eastAsia="Calibri" w:cs="Times New Roman"/>
        </w:rPr>
      </w:pPr>
      <w:r>
        <w:rPr>
          <w:rFonts w:eastAsia="Calibri" w:cs="Times New Roman"/>
        </w:rPr>
        <w:t>The p</w:t>
      </w:r>
      <w:bookmarkStart w:id="4" w:name="_GoBack"/>
      <w:bookmarkEnd w:id="4"/>
      <w:r>
        <w:rPr>
          <w:rFonts w:eastAsia="Calibri" w:cs="Times New Roman"/>
        </w:rPr>
        <w:t>ublication, titled “</w:t>
      </w:r>
      <w:r w:rsidR="003E678B" w:rsidRPr="003E678B">
        <w:rPr>
          <w:rFonts w:eastAsia="Calibri" w:cs="Times New Roman"/>
        </w:rPr>
        <w:t xml:space="preserve">ROCK2 Inhibition </w:t>
      </w:r>
      <w:r w:rsidR="00AA3AE6">
        <w:rPr>
          <w:rFonts w:eastAsia="Calibri" w:cs="Times New Roman"/>
        </w:rPr>
        <w:t>w</w:t>
      </w:r>
      <w:r w:rsidR="003E678B" w:rsidRPr="003E678B">
        <w:rPr>
          <w:rFonts w:eastAsia="Calibri" w:cs="Times New Roman"/>
        </w:rPr>
        <w:t>ith Belumosudil (KD025)</w:t>
      </w:r>
      <w:r w:rsidR="003E678B">
        <w:rPr>
          <w:rFonts w:eastAsia="Calibri" w:cs="Times New Roman"/>
        </w:rPr>
        <w:t xml:space="preserve"> </w:t>
      </w:r>
      <w:r w:rsidR="003E678B" w:rsidRPr="003E678B">
        <w:rPr>
          <w:rFonts w:eastAsia="Calibri" w:cs="Times New Roman"/>
        </w:rPr>
        <w:t>for the Treatment of Chronic</w:t>
      </w:r>
      <w:r w:rsidR="003E678B">
        <w:rPr>
          <w:rFonts w:eastAsia="Calibri" w:cs="Times New Roman"/>
        </w:rPr>
        <w:t xml:space="preserve"> </w:t>
      </w:r>
      <w:r w:rsidR="003E678B" w:rsidRPr="003E678B">
        <w:rPr>
          <w:rFonts w:eastAsia="Calibri" w:cs="Times New Roman"/>
        </w:rPr>
        <w:t>Graft-Versus-Host Disease</w:t>
      </w:r>
      <w:r>
        <w:rPr>
          <w:rFonts w:eastAsia="Calibri" w:cs="Times New Roman"/>
        </w:rPr>
        <w:t xml:space="preserve">,” is available online </w:t>
      </w:r>
      <w:hyperlink r:id="rId8" w:history="1">
        <w:r w:rsidR="00FA7BC9" w:rsidRPr="00FA7BC9">
          <w:rPr>
            <w:rStyle w:val="Hyperlink"/>
            <w:rFonts w:eastAsia="Calibri" w:cs="Times New Roman"/>
          </w:rPr>
          <w:t>here</w:t>
        </w:r>
      </w:hyperlink>
      <w:r w:rsidR="00FA7BC9">
        <w:rPr>
          <w:rFonts w:eastAsia="Calibri" w:cs="Times New Roman"/>
        </w:rPr>
        <w:t xml:space="preserve"> </w:t>
      </w:r>
      <w:r w:rsidR="003E678B">
        <w:rPr>
          <w:rFonts w:eastAsia="Calibri" w:cs="Times New Roman"/>
        </w:rPr>
        <w:t xml:space="preserve">as well as on the Kadmon website. </w:t>
      </w:r>
    </w:p>
    <w:p w:rsidR="0024271B" w:rsidRDefault="0024271B" w:rsidP="0024271B">
      <w:pPr>
        <w:pStyle w:val="Body"/>
        <w:jc w:val="both"/>
        <w:rPr>
          <w:rFonts w:eastAsia="Calibri" w:cs="Times New Roman"/>
          <w:b/>
        </w:rPr>
      </w:pPr>
      <w:r w:rsidRPr="0024271B">
        <w:rPr>
          <w:rFonts w:eastAsia="Calibri" w:cs="Times New Roman"/>
          <w:b/>
        </w:rPr>
        <w:t>About Belumosudil</w:t>
      </w:r>
    </w:p>
    <w:p w:rsidR="001C0143" w:rsidRPr="001C0143" w:rsidRDefault="001C0143" w:rsidP="0024271B">
      <w:pPr>
        <w:pStyle w:val="Body"/>
        <w:jc w:val="both"/>
        <w:rPr>
          <w:rFonts w:eastAsia="Calibri" w:cs="Times New Roman"/>
        </w:rPr>
      </w:pPr>
      <w:r w:rsidRPr="001C0143">
        <w:rPr>
          <w:rFonts w:eastAsia="Calibri" w:cs="Times New Roman"/>
        </w:rPr>
        <w:t xml:space="preserve">Belumosudil (KD025) is a selective oral inhibitor of Rho-associated coiled-coil kinase 2 (ROCK2), a signaling pathway that modulates inflammatory response and pro-fibrotic processes. The FDA granted Priority Review for the NDA for belumosudil for the treatment of cGVHD and assigned a PDUFA target action date of August 30, 2021. The NDA </w:t>
      </w:r>
      <w:proofErr w:type="gramStart"/>
      <w:r w:rsidRPr="001C0143">
        <w:rPr>
          <w:rFonts w:eastAsia="Calibri" w:cs="Times New Roman"/>
        </w:rPr>
        <w:t>is being reviewed</w:t>
      </w:r>
      <w:proofErr w:type="gramEnd"/>
      <w:r w:rsidRPr="001C0143">
        <w:rPr>
          <w:rFonts w:eastAsia="Calibri" w:cs="Times New Roman"/>
        </w:rPr>
        <w:t xml:space="preserve"> under the FDA's Real-Time Oncology Review (RTOR) and Project </w:t>
      </w:r>
      <w:proofErr w:type="spellStart"/>
      <w:r w:rsidRPr="001C0143">
        <w:rPr>
          <w:rFonts w:eastAsia="Calibri" w:cs="Times New Roman"/>
        </w:rPr>
        <w:t>Orbis</w:t>
      </w:r>
      <w:proofErr w:type="spellEnd"/>
      <w:r w:rsidRPr="001C0143">
        <w:rPr>
          <w:rFonts w:eastAsia="Calibri" w:cs="Times New Roman"/>
        </w:rPr>
        <w:t xml:space="preserve"> pilot programs. The FDA has granted Breakthrough Therapy Designation to belumosudil for the treatment of patients with cGVHD after failure of two or more lines of systemic therapy as well as Orphan Drug Designation to belumosudil for the treatment of cGVHD.</w:t>
      </w:r>
    </w:p>
    <w:p w:rsidR="0024271B" w:rsidRPr="0024271B" w:rsidRDefault="0024271B" w:rsidP="0024271B">
      <w:pPr>
        <w:pStyle w:val="Body"/>
        <w:jc w:val="both"/>
        <w:rPr>
          <w:rFonts w:eastAsia="Calibri" w:cs="Times New Roman"/>
          <w:b/>
        </w:rPr>
      </w:pPr>
      <w:r w:rsidRPr="0024271B">
        <w:rPr>
          <w:rFonts w:eastAsia="Calibri" w:cs="Times New Roman"/>
          <w:b/>
        </w:rPr>
        <w:t>About cGVHD</w:t>
      </w:r>
    </w:p>
    <w:p w:rsidR="0024271B" w:rsidRDefault="0024271B" w:rsidP="0024271B">
      <w:pPr>
        <w:pStyle w:val="Body"/>
        <w:jc w:val="both"/>
        <w:rPr>
          <w:rFonts w:eastAsia="Calibri" w:cs="Times New Roman"/>
        </w:rPr>
      </w:pPr>
      <w:proofErr w:type="gramStart"/>
      <w:r w:rsidRPr="0024271B">
        <w:rPr>
          <w:rFonts w:eastAsia="Calibri" w:cs="Times New Roman"/>
        </w:rPr>
        <w:t>cGVHD</w:t>
      </w:r>
      <w:proofErr w:type="gramEnd"/>
      <w:r w:rsidRPr="0024271B">
        <w:rPr>
          <w:rFonts w:eastAsia="Calibri" w:cs="Times New Roman"/>
        </w:rPr>
        <w:t xml:space="preserve"> is a common and often fatal complication following hematopoietic stem cell transplantation. In cGVHD, transplanted immune cells (graft) attack the patient's cells (host), leading to inflammation and fibrosis in multiple tissues, including skin, mouth, eye, joints, liver, lung, esophagus and gastrointestinal tract. Approximately 14,000 patients in the United States are currently living with cGVHD.</w:t>
      </w:r>
    </w:p>
    <w:p w:rsidR="0072748A" w:rsidRDefault="00B128AE" w:rsidP="00FC4F30">
      <w:pPr>
        <w:pStyle w:val="NoSpacing"/>
        <w:spacing w:line="276" w:lineRule="auto"/>
        <w:jc w:val="both"/>
        <w:rPr>
          <w:b/>
          <w:bCs/>
        </w:rPr>
      </w:pPr>
      <w:r>
        <w:rPr>
          <w:b/>
          <w:bCs/>
        </w:rPr>
        <w:lastRenderedPageBreak/>
        <w:t xml:space="preserve">About Kadmon </w:t>
      </w:r>
    </w:p>
    <w:p w:rsidR="0072748A" w:rsidRDefault="0072748A" w:rsidP="00FC4F30">
      <w:pPr>
        <w:pStyle w:val="NoSpacing"/>
        <w:spacing w:line="276" w:lineRule="auto"/>
        <w:jc w:val="both"/>
        <w:rPr>
          <w:b/>
          <w:bCs/>
        </w:rPr>
      </w:pPr>
    </w:p>
    <w:p w:rsidR="0072748A" w:rsidRDefault="00B128AE" w:rsidP="00FC4F30">
      <w:pPr>
        <w:pStyle w:val="NoSpacing"/>
        <w:spacing w:line="276" w:lineRule="auto"/>
        <w:jc w:val="both"/>
      </w:pPr>
      <w:r>
        <w:t xml:space="preserve">Kadmon is a clinical-stage biopharmaceutical company that discovers, develops and delivers transformative therapies for unmet medical needs. </w:t>
      </w:r>
      <w:proofErr w:type="spellStart"/>
      <w:r>
        <w:t>Kadmon’s</w:t>
      </w:r>
      <w:proofErr w:type="spellEnd"/>
      <w:r>
        <w:t xml:space="preserve"> clinical pipeline includes treatments for immune and fibrotic diseases as well as immuno-oncology therapies. </w:t>
      </w:r>
    </w:p>
    <w:p w:rsidR="0072748A" w:rsidRDefault="0072748A" w:rsidP="00FC4F30">
      <w:pPr>
        <w:pStyle w:val="NoSpacing"/>
        <w:spacing w:line="276" w:lineRule="auto"/>
        <w:jc w:val="both"/>
      </w:pPr>
    </w:p>
    <w:p w:rsidR="0072748A" w:rsidRDefault="00B128AE" w:rsidP="00FC4F30">
      <w:pPr>
        <w:pStyle w:val="NoSpacing"/>
        <w:spacing w:line="276" w:lineRule="auto"/>
        <w:jc w:val="both"/>
        <w:rPr>
          <w:b/>
          <w:bCs/>
        </w:rPr>
      </w:pPr>
      <w:r>
        <w:rPr>
          <w:b/>
          <w:bCs/>
        </w:rPr>
        <w:t>Forward Looking Statements</w:t>
      </w:r>
    </w:p>
    <w:p w:rsidR="0072748A" w:rsidRDefault="0072748A" w:rsidP="00FC4F30">
      <w:pPr>
        <w:pStyle w:val="NoSpacing"/>
        <w:spacing w:line="276" w:lineRule="auto"/>
        <w:jc w:val="both"/>
        <w:rPr>
          <w:b/>
          <w:bCs/>
        </w:rPr>
      </w:pPr>
    </w:p>
    <w:p w:rsidR="0072748A" w:rsidRDefault="00B7685D" w:rsidP="00FC4F30">
      <w:pPr>
        <w:pStyle w:val="Body"/>
        <w:spacing w:after="0"/>
        <w:jc w:val="both"/>
        <w:rPr>
          <w:i/>
          <w:iCs/>
        </w:rPr>
      </w:pPr>
      <w:r w:rsidRPr="00B7685D">
        <w:rPr>
          <w:i/>
          <w:iCs/>
        </w:rPr>
        <w:t xml:space="preserve">This press release contains forward-looking statements. Such statements may be preceded by the words "may," "will," "should," "expects," "plans," "anticipates," "could," "intends," "targets," "projects," "contemplates," "believes," "estimates," "predicts," "potential" or "continue" or the negative of these terms or other similar expressions. Forward-looking statements involve known and unknown risks, uncertainties and other important factors that may cause our actual results, performance or achievements to be materially different from any future results, performance or achievements expressed or implied by the forward-looking statements. Among those risks and uncertainties are risks related to market conditions, including market interest rates, and the trading price and volatility of </w:t>
      </w:r>
      <w:proofErr w:type="spellStart"/>
      <w:r w:rsidRPr="00B7685D">
        <w:rPr>
          <w:i/>
          <w:iCs/>
        </w:rPr>
        <w:t>Kadmon's</w:t>
      </w:r>
      <w:proofErr w:type="spellEnd"/>
      <w:r w:rsidRPr="00B7685D">
        <w:rPr>
          <w:i/>
          <w:iCs/>
        </w:rPr>
        <w:t xml:space="preserve"> common stock. </w:t>
      </w:r>
      <w:proofErr w:type="gramStart"/>
      <w:r w:rsidRPr="00B7685D">
        <w:rPr>
          <w:i/>
          <w:iCs/>
        </w:rPr>
        <w:t>We believe that these factors include, but are not limited to, (</w:t>
      </w:r>
      <w:proofErr w:type="spellStart"/>
      <w:r w:rsidRPr="00B7685D">
        <w:rPr>
          <w:i/>
          <w:iCs/>
        </w:rPr>
        <w:t>i</w:t>
      </w:r>
      <w:proofErr w:type="spellEnd"/>
      <w:r w:rsidRPr="00B7685D">
        <w:rPr>
          <w:i/>
          <w:iCs/>
        </w:rPr>
        <w:t>) the initiation, timing, progress and results of our preclinical studies and clinical trials, and our research and development programs; (ii) our ability to advance product candidates into, and successfully complete, clinical trials; (iii) the impact of the COVID-19 pandemic on our business, workforce, patients, collaborators and suppliers, including delays in anticipated timelines and milestones of our clinical trials and on various government agencies who we interact with and/or are governed by; (iv) our reliance on the success of our product candidates; (v) the timing or likelihood of regulatory filings and approvals, especially in light of the COVID-19 pandemic; (vi) our ability to expand our sales and marketing capabilities; (vii) the commercialization, pricing and reimbursement of our product candidates, if approved; (viii) the implementation of our business model, strategic plans for our business, product candidates and technology; (ix) the scope of protection we are able to establish and maintain for intellectual property rights covering our product candidates and technology; (x) our ability to operate our business without infringing the intellectual property rights and proprietary technology of third parties; (xi) costs associated with defending intellectual property infringement, product liability and other claims; (xii) regulatory developments in the United States, Europe, and other jurisdictions; (xiii) estimates of our expenses, future revenues, capital requirements and our needs for additional financing; (xiv) the potential benefits of strategic collaboration agreements and our ability to enter into strategic arrangements; (xv) our ability to maintain and establish collaborations; (xvi) the rate and degree of market acceptance of our product candidates, if approved; (xvii) developments relating to our competitors and our industry, including competing therapies; (xviii) our ability to effectively manage our anticipated growth; (xix) our ability to attract and retain qualified employees and key personnel; (xx) our expected use of cash and cash equivalents and other sources of liquidity; (xxi) our expected use for the proceeds from the offering of our convertible senior notes; (xxii) the potential benefits of any of our product candidates being granted orphan drug designation; (xxiii) the future trading price of the shares of our common stock and impact of securities analysts' reports on these prices; (xxiv) our ability to apply unused federal and state net operating loss carryforwards against future taxable income and/or (xv) other risks and uncertainties.</w:t>
      </w:r>
      <w:proofErr w:type="gramEnd"/>
      <w:r w:rsidRPr="00B7685D">
        <w:rPr>
          <w:i/>
          <w:iCs/>
        </w:rPr>
        <w:t xml:space="preserve"> More detailed information about the Company and the risk factors that may affect the realization of forward-looking statements is set forth in the Company's filings with the U.S. Securities and Exchange Commission (the "SEC"), including </w:t>
      </w:r>
      <w:proofErr w:type="spellStart"/>
      <w:r w:rsidRPr="00B7685D">
        <w:rPr>
          <w:i/>
          <w:iCs/>
        </w:rPr>
        <w:t>Kadmon's</w:t>
      </w:r>
      <w:proofErr w:type="spellEnd"/>
      <w:r w:rsidRPr="00B7685D">
        <w:rPr>
          <w:i/>
          <w:iCs/>
        </w:rPr>
        <w:t xml:space="preserve"> Annual Report on Form 10-K for </w:t>
      </w:r>
      <w:r w:rsidRPr="00B7685D">
        <w:rPr>
          <w:i/>
          <w:iCs/>
        </w:rPr>
        <w:lastRenderedPageBreak/>
        <w:t xml:space="preserve">the fiscal year ended December 31, 2020. Investors and security holders </w:t>
      </w:r>
      <w:proofErr w:type="gramStart"/>
      <w:r w:rsidRPr="00B7685D">
        <w:rPr>
          <w:i/>
          <w:iCs/>
        </w:rPr>
        <w:t>are urged</w:t>
      </w:r>
      <w:proofErr w:type="gramEnd"/>
      <w:r w:rsidRPr="00B7685D">
        <w:rPr>
          <w:i/>
          <w:iCs/>
        </w:rPr>
        <w:t xml:space="preserve"> to read these documents free of charge on the SEC's website at www.sec.gov. The Company assumes no obligation to publicly update or revise its forward-looking statements </w:t>
      </w:r>
      <w:proofErr w:type="gramStart"/>
      <w:r w:rsidRPr="00B7685D">
        <w:rPr>
          <w:i/>
          <w:iCs/>
        </w:rPr>
        <w:t>as a result</w:t>
      </w:r>
      <w:proofErr w:type="gramEnd"/>
      <w:r w:rsidRPr="00B7685D">
        <w:rPr>
          <w:i/>
          <w:iCs/>
        </w:rPr>
        <w:t xml:space="preserve"> of new information, future events or otherwise.</w:t>
      </w:r>
    </w:p>
    <w:p w:rsidR="00B7685D" w:rsidRDefault="00B7685D" w:rsidP="00FC4F30">
      <w:pPr>
        <w:pStyle w:val="NoSpacing"/>
        <w:spacing w:line="276" w:lineRule="auto"/>
        <w:jc w:val="both"/>
        <w:rPr>
          <w:b/>
        </w:rPr>
      </w:pPr>
    </w:p>
    <w:p w:rsidR="0072748A" w:rsidRPr="00D77E5F" w:rsidRDefault="00B128AE" w:rsidP="00FC4F30">
      <w:pPr>
        <w:pStyle w:val="NoSpacing"/>
        <w:spacing w:line="276" w:lineRule="auto"/>
        <w:jc w:val="both"/>
        <w:rPr>
          <w:b/>
        </w:rPr>
      </w:pPr>
      <w:r w:rsidRPr="00D77E5F">
        <w:rPr>
          <w:b/>
        </w:rPr>
        <w:t>Contact Information</w:t>
      </w:r>
    </w:p>
    <w:p w:rsidR="0072748A" w:rsidRDefault="00B128AE" w:rsidP="00FC4F30">
      <w:pPr>
        <w:pStyle w:val="NoSpacing"/>
        <w:spacing w:line="276" w:lineRule="auto"/>
        <w:jc w:val="both"/>
      </w:pPr>
      <w:r>
        <w:t xml:space="preserve">Ellen Cavaleri, Investor Relations </w:t>
      </w:r>
    </w:p>
    <w:p w:rsidR="0072748A" w:rsidRDefault="00B128AE" w:rsidP="00FC4F30">
      <w:pPr>
        <w:pStyle w:val="NoSpacing"/>
        <w:spacing w:line="276" w:lineRule="auto"/>
        <w:jc w:val="both"/>
      </w:pPr>
      <w:r>
        <w:t>646.490.2989</w:t>
      </w:r>
    </w:p>
    <w:p w:rsidR="0072748A" w:rsidRDefault="002A601B" w:rsidP="00FC4F30">
      <w:pPr>
        <w:pStyle w:val="NoSpacing"/>
        <w:spacing w:line="276" w:lineRule="auto"/>
        <w:jc w:val="both"/>
      </w:pPr>
      <w:hyperlink r:id="rId9" w:history="1">
        <w:r w:rsidR="00B128AE">
          <w:rPr>
            <w:rStyle w:val="Hyperlink0"/>
          </w:rPr>
          <w:t>ellen.cavaleri@kadmon.co</w:t>
        </w:r>
        <w:bookmarkEnd w:id="1"/>
        <w:r w:rsidR="00B128AE">
          <w:rPr>
            <w:rStyle w:val="Hyperlink0"/>
          </w:rPr>
          <w:t>m</w:t>
        </w:r>
      </w:hyperlink>
    </w:p>
    <w:sectPr w:rsidR="0072748A">
      <w:headerReference w:type="default" r:id="rId10"/>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1B" w:rsidRDefault="002A601B">
      <w:r>
        <w:separator/>
      </w:r>
    </w:p>
  </w:endnote>
  <w:endnote w:type="continuationSeparator" w:id="0">
    <w:p w:rsidR="002A601B" w:rsidRDefault="002A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1B" w:rsidRDefault="002A601B">
      <w:r>
        <w:separator/>
      </w:r>
    </w:p>
  </w:footnote>
  <w:footnote w:type="continuationSeparator" w:id="0">
    <w:p w:rsidR="002A601B" w:rsidRDefault="002A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8A" w:rsidRDefault="00B128AE">
    <w:pPr>
      <w:pStyle w:val="Body"/>
    </w:pPr>
    <w:r>
      <w:rPr>
        <w:noProof/>
      </w:rPr>
      <w:drawing>
        <wp:inline distT="0" distB="0" distL="0" distR="0" wp14:anchorId="4CC03924" wp14:editId="055CEAEE">
          <wp:extent cx="1543616" cy="470035"/>
          <wp:effectExtent l="0" t="0" r="0" b="0"/>
          <wp:docPr id="1073741825" name="officeArt object" descr="C:\Users\ellen tremaine\Desktop\Kadmon logo - blue - 5 26 15.jpg"/>
          <wp:cNvGraphicFramePr/>
          <a:graphic xmlns:a="http://schemas.openxmlformats.org/drawingml/2006/main">
            <a:graphicData uri="http://schemas.openxmlformats.org/drawingml/2006/picture">
              <pic:pic xmlns:pic="http://schemas.openxmlformats.org/drawingml/2006/picture">
                <pic:nvPicPr>
                  <pic:cNvPr id="1073741825" name="C:\Users\ellen tremaine\Desktop\Kadmon logo - blue - 5 26 15.jpg" descr="C:\Users\ellen tremaine\Desktop\Kadmon logo - blue - 5 26 15.jpg"/>
                  <pic:cNvPicPr>
                    <a:picLocks noChangeAspect="1"/>
                  </pic:cNvPicPr>
                </pic:nvPicPr>
                <pic:blipFill>
                  <a:blip r:embed="rId1"/>
                  <a:stretch>
                    <a:fillRect/>
                  </a:stretch>
                </pic:blipFill>
                <pic:spPr>
                  <a:xfrm>
                    <a:off x="0" y="0"/>
                    <a:ext cx="1543616" cy="47003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0C28"/>
    <w:multiLevelType w:val="hybridMultilevel"/>
    <w:tmpl w:val="3536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2748A"/>
    <w:rsid w:val="00034610"/>
    <w:rsid w:val="000463AF"/>
    <w:rsid w:val="0006681C"/>
    <w:rsid w:val="00085298"/>
    <w:rsid w:val="000A05CF"/>
    <w:rsid w:val="000C4667"/>
    <w:rsid w:val="000C4947"/>
    <w:rsid w:val="000C7FF3"/>
    <w:rsid w:val="00101146"/>
    <w:rsid w:val="00121090"/>
    <w:rsid w:val="001222D3"/>
    <w:rsid w:val="00163570"/>
    <w:rsid w:val="001C0143"/>
    <w:rsid w:val="001C66C9"/>
    <w:rsid w:val="001E152B"/>
    <w:rsid w:val="00211331"/>
    <w:rsid w:val="0024271B"/>
    <w:rsid w:val="002654C3"/>
    <w:rsid w:val="002A3FF4"/>
    <w:rsid w:val="002A601B"/>
    <w:rsid w:val="002C6C50"/>
    <w:rsid w:val="002D1968"/>
    <w:rsid w:val="002D5676"/>
    <w:rsid w:val="002E6626"/>
    <w:rsid w:val="002F2BFB"/>
    <w:rsid w:val="00301F00"/>
    <w:rsid w:val="00320A64"/>
    <w:rsid w:val="00323CBB"/>
    <w:rsid w:val="0034771E"/>
    <w:rsid w:val="003717CF"/>
    <w:rsid w:val="003E0DE4"/>
    <w:rsid w:val="003E678B"/>
    <w:rsid w:val="003F5F85"/>
    <w:rsid w:val="004075BC"/>
    <w:rsid w:val="00425338"/>
    <w:rsid w:val="00426D4F"/>
    <w:rsid w:val="0043686A"/>
    <w:rsid w:val="00436A4F"/>
    <w:rsid w:val="00436C53"/>
    <w:rsid w:val="0044332B"/>
    <w:rsid w:val="00461261"/>
    <w:rsid w:val="004A5963"/>
    <w:rsid w:val="004A6BE6"/>
    <w:rsid w:val="004C0773"/>
    <w:rsid w:val="004D38BD"/>
    <w:rsid w:val="004E09B3"/>
    <w:rsid w:val="004E1605"/>
    <w:rsid w:val="00503754"/>
    <w:rsid w:val="00507C22"/>
    <w:rsid w:val="00510CF3"/>
    <w:rsid w:val="00540372"/>
    <w:rsid w:val="005635E3"/>
    <w:rsid w:val="00580B13"/>
    <w:rsid w:val="00587229"/>
    <w:rsid w:val="00592A4A"/>
    <w:rsid w:val="005932FC"/>
    <w:rsid w:val="005A5255"/>
    <w:rsid w:val="005B5517"/>
    <w:rsid w:val="005D21C2"/>
    <w:rsid w:val="00634432"/>
    <w:rsid w:val="00637F45"/>
    <w:rsid w:val="00656527"/>
    <w:rsid w:val="00687E79"/>
    <w:rsid w:val="006A5803"/>
    <w:rsid w:val="006B7A84"/>
    <w:rsid w:val="006C039C"/>
    <w:rsid w:val="006C58BE"/>
    <w:rsid w:val="006C69AE"/>
    <w:rsid w:val="006F7F80"/>
    <w:rsid w:val="007125AA"/>
    <w:rsid w:val="007230C1"/>
    <w:rsid w:val="00723DEC"/>
    <w:rsid w:val="007265C9"/>
    <w:rsid w:val="0072748A"/>
    <w:rsid w:val="00732CB3"/>
    <w:rsid w:val="0075064C"/>
    <w:rsid w:val="0075272D"/>
    <w:rsid w:val="0076047A"/>
    <w:rsid w:val="00764A21"/>
    <w:rsid w:val="00766E6B"/>
    <w:rsid w:val="00796411"/>
    <w:rsid w:val="007B6F9F"/>
    <w:rsid w:val="007C21DB"/>
    <w:rsid w:val="007C2A4D"/>
    <w:rsid w:val="007D4071"/>
    <w:rsid w:val="007F260B"/>
    <w:rsid w:val="007F3EE9"/>
    <w:rsid w:val="00834291"/>
    <w:rsid w:val="00837C6A"/>
    <w:rsid w:val="00851E71"/>
    <w:rsid w:val="00854F3D"/>
    <w:rsid w:val="00874857"/>
    <w:rsid w:val="008835F8"/>
    <w:rsid w:val="00884C3B"/>
    <w:rsid w:val="0089389E"/>
    <w:rsid w:val="00895F86"/>
    <w:rsid w:val="008A50F5"/>
    <w:rsid w:val="008C21E3"/>
    <w:rsid w:val="008C493F"/>
    <w:rsid w:val="008E1C92"/>
    <w:rsid w:val="008E61E9"/>
    <w:rsid w:val="008F01F0"/>
    <w:rsid w:val="00901D9F"/>
    <w:rsid w:val="00925D95"/>
    <w:rsid w:val="00926262"/>
    <w:rsid w:val="00934716"/>
    <w:rsid w:val="009527B6"/>
    <w:rsid w:val="00961BF9"/>
    <w:rsid w:val="00965624"/>
    <w:rsid w:val="009816B3"/>
    <w:rsid w:val="009849BB"/>
    <w:rsid w:val="009C5B25"/>
    <w:rsid w:val="009D7D0F"/>
    <w:rsid w:val="009E0CC9"/>
    <w:rsid w:val="009E5856"/>
    <w:rsid w:val="00A04282"/>
    <w:rsid w:val="00A762C6"/>
    <w:rsid w:val="00A77BD2"/>
    <w:rsid w:val="00A81407"/>
    <w:rsid w:val="00A91ED8"/>
    <w:rsid w:val="00A9448B"/>
    <w:rsid w:val="00A95CAD"/>
    <w:rsid w:val="00AA127E"/>
    <w:rsid w:val="00AA3AE6"/>
    <w:rsid w:val="00AC0673"/>
    <w:rsid w:val="00AD5504"/>
    <w:rsid w:val="00B023DB"/>
    <w:rsid w:val="00B05A61"/>
    <w:rsid w:val="00B128AE"/>
    <w:rsid w:val="00B135FA"/>
    <w:rsid w:val="00B21614"/>
    <w:rsid w:val="00B37F64"/>
    <w:rsid w:val="00B61669"/>
    <w:rsid w:val="00B72EDC"/>
    <w:rsid w:val="00B7685D"/>
    <w:rsid w:val="00BB0EF5"/>
    <w:rsid w:val="00BB4193"/>
    <w:rsid w:val="00BB6FB0"/>
    <w:rsid w:val="00BC7F02"/>
    <w:rsid w:val="00C0201A"/>
    <w:rsid w:val="00C062F5"/>
    <w:rsid w:val="00C073EA"/>
    <w:rsid w:val="00C43526"/>
    <w:rsid w:val="00C50992"/>
    <w:rsid w:val="00C91A20"/>
    <w:rsid w:val="00C96071"/>
    <w:rsid w:val="00CE00C2"/>
    <w:rsid w:val="00CE15C1"/>
    <w:rsid w:val="00CF102D"/>
    <w:rsid w:val="00CF67FF"/>
    <w:rsid w:val="00CF714B"/>
    <w:rsid w:val="00D0393F"/>
    <w:rsid w:val="00D12CC0"/>
    <w:rsid w:val="00D1613D"/>
    <w:rsid w:val="00D26A0F"/>
    <w:rsid w:val="00D535B3"/>
    <w:rsid w:val="00D604EC"/>
    <w:rsid w:val="00D62DF0"/>
    <w:rsid w:val="00D70B04"/>
    <w:rsid w:val="00D7527E"/>
    <w:rsid w:val="00D77E5F"/>
    <w:rsid w:val="00D84A56"/>
    <w:rsid w:val="00D94832"/>
    <w:rsid w:val="00DA21BC"/>
    <w:rsid w:val="00DC5052"/>
    <w:rsid w:val="00DF6555"/>
    <w:rsid w:val="00E06ECB"/>
    <w:rsid w:val="00E07388"/>
    <w:rsid w:val="00E10027"/>
    <w:rsid w:val="00E14744"/>
    <w:rsid w:val="00E22E54"/>
    <w:rsid w:val="00E614F4"/>
    <w:rsid w:val="00E7480A"/>
    <w:rsid w:val="00EB251D"/>
    <w:rsid w:val="00EB2D9F"/>
    <w:rsid w:val="00EC692A"/>
    <w:rsid w:val="00F12422"/>
    <w:rsid w:val="00F1773E"/>
    <w:rsid w:val="00F5728E"/>
    <w:rsid w:val="00F7563C"/>
    <w:rsid w:val="00F96BA8"/>
    <w:rsid w:val="00FA7BC9"/>
    <w:rsid w:val="00FC4F30"/>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E06DE-E8F9-48A9-961C-FE3BCE33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BalloonText">
    <w:name w:val="Balloon Text"/>
    <w:basedOn w:val="Normal"/>
    <w:link w:val="BalloonTextChar"/>
    <w:uiPriority w:val="99"/>
    <w:semiHidden/>
    <w:unhideWhenUsed/>
    <w:rsid w:val="00FC4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30"/>
    <w:rPr>
      <w:rFonts w:ascii="Segoe UI" w:hAnsi="Segoe UI" w:cs="Segoe UI"/>
      <w:sz w:val="18"/>
      <w:szCs w:val="18"/>
    </w:rPr>
  </w:style>
  <w:style w:type="character" w:styleId="CommentReference">
    <w:name w:val="annotation reference"/>
    <w:basedOn w:val="DefaultParagraphFont"/>
    <w:uiPriority w:val="99"/>
    <w:semiHidden/>
    <w:unhideWhenUsed/>
    <w:rsid w:val="00A81407"/>
    <w:rPr>
      <w:sz w:val="16"/>
      <w:szCs w:val="16"/>
    </w:rPr>
  </w:style>
  <w:style w:type="paragraph" w:styleId="CommentText">
    <w:name w:val="annotation text"/>
    <w:basedOn w:val="Normal"/>
    <w:link w:val="CommentTextChar"/>
    <w:uiPriority w:val="99"/>
    <w:semiHidden/>
    <w:unhideWhenUsed/>
    <w:rsid w:val="00A81407"/>
    <w:rPr>
      <w:sz w:val="20"/>
      <w:szCs w:val="20"/>
    </w:rPr>
  </w:style>
  <w:style w:type="character" w:customStyle="1" w:styleId="CommentTextChar">
    <w:name w:val="Comment Text Char"/>
    <w:basedOn w:val="DefaultParagraphFont"/>
    <w:link w:val="CommentText"/>
    <w:uiPriority w:val="99"/>
    <w:semiHidden/>
    <w:rsid w:val="00A81407"/>
  </w:style>
  <w:style w:type="paragraph" w:styleId="CommentSubject">
    <w:name w:val="annotation subject"/>
    <w:basedOn w:val="CommentText"/>
    <w:next w:val="CommentText"/>
    <w:link w:val="CommentSubjectChar"/>
    <w:uiPriority w:val="99"/>
    <w:semiHidden/>
    <w:unhideWhenUsed/>
    <w:rsid w:val="00A81407"/>
    <w:rPr>
      <w:b/>
      <w:bCs/>
    </w:rPr>
  </w:style>
  <w:style w:type="character" w:customStyle="1" w:styleId="CommentSubjectChar">
    <w:name w:val="Comment Subject Char"/>
    <w:basedOn w:val="CommentTextChar"/>
    <w:link w:val="CommentSubject"/>
    <w:uiPriority w:val="99"/>
    <w:semiHidden/>
    <w:rsid w:val="00A81407"/>
    <w:rPr>
      <w:b/>
      <w:bCs/>
    </w:rPr>
  </w:style>
  <w:style w:type="paragraph" w:styleId="Revision">
    <w:name w:val="Revision"/>
    <w:hidden/>
    <w:uiPriority w:val="99"/>
    <w:semiHidden/>
    <w:rsid w:val="008A50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5635E3"/>
    <w:pPr>
      <w:ind w:left="720"/>
      <w:contextualSpacing/>
    </w:pPr>
  </w:style>
  <w:style w:type="paragraph" w:styleId="Header">
    <w:name w:val="header"/>
    <w:basedOn w:val="Normal"/>
    <w:link w:val="HeaderChar"/>
    <w:uiPriority w:val="99"/>
    <w:unhideWhenUsed/>
    <w:rsid w:val="006B7A84"/>
    <w:pPr>
      <w:tabs>
        <w:tab w:val="center" w:pos="4680"/>
        <w:tab w:val="right" w:pos="9360"/>
      </w:tabs>
    </w:pPr>
  </w:style>
  <w:style w:type="character" w:customStyle="1" w:styleId="HeaderChar">
    <w:name w:val="Header Char"/>
    <w:basedOn w:val="DefaultParagraphFont"/>
    <w:link w:val="Header"/>
    <w:uiPriority w:val="99"/>
    <w:rsid w:val="006B7A84"/>
    <w:rPr>
      <w:sz w:val="24"/>
      <w:szCs w:val="24"/>
    </w:rPr>
  </w:style>
  <w:style w:type="paragraph" w:styleId="Footer">
    <w:name w:val="footer"/>
    <w:basedOn w:val="Normal"/>
    <w:link w:val="FooterChar"/>
    <w:uiPriority w:val="99"/>
    <w:unhideWhenUsed/>
    <w:rsid w:val="006B7A84"/>
    <w:pPr>
      <w:tabs>
        <w:tab w:val="center" w:pos="4680"/>
        <w:tab w:val="right" w:pos="9360"/>
      </w:tabs>
    </w:pPr>
  </w:style>
  <w:style w:type="character" w:customStyle="1" w:styleId="FooterChar">
    <w:name w:val="Footer Char"/>
    <w:basedOn w:val="DefaultParagraphFont"/>
    <w:link w:val="Footer"/>
    <w:uiPriority w:val="99"/>
    <w:rsid w:val="006B7A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copubs.org/doi/full/10.1200/JCO.20.02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en.cavaleri@kadm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CDCA-202C-4718-BB42-71815022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Cavaleri</dc:creator>
  <cp:lastModifiedBy>Chelsea Oliver</cp:lastModifiedBy>
  <cp:revision>2</cp:revision>
  <cp:lastPrinted>2021-03-10T16:01:00Z</cp:lastPrinted>
  <dcterms:created xsi:type="dcterms:W3CDTF">2021-04-21T01:56:00Z</dcterms:created>
  <dcterms:modified xsi:type="dcterms:W3CDTF">2021-04-21T01:56:00Z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etDate">
    <vt:lpwstr>2021-04-01T20:32:38Z</vt:lpwstr>
  </property>
  <property fmtid="{D5CDD505-2E9C-101B-9397-08002B2CF9AE}" pid="4" name="MSIP_Label_cea8ce42-0a38-4038-af78-0463c9adb574_Method">
    <vt:lpwstr>Standard</vt:lpwstr>
  </property>
  <property fmtid="{D5CDD505-2E9C-101B-9397-08002B2CF9AE}" pid="5" name="MSIP_Label_cea8ce42-0a38-4038-af78-0463c9adb574_Name">
    <vt:lpwstr>cea8ce42-0a38-4038-af78-0463c9adb574</vt:lpwstr>
  </property>
  <property fmtid="{D5CDD505-2E9C-101B-9397-08002B2CF9AE}" pid="6" name="MSIP_Label_cea8ce42-0a38-4038-af78-0463c9adb574_SiteId">
    <vt:lpwstr>5d25c963-07db-4627-9db3-720b2ff89865</vt:lpwstr>
  </property>
  <property fmtid="{D5CDD505-2E9C-101B-9397-08002B2CF9AE}" pid="7" name="MSIP_Label_cea8ce42-0a38-4038-af78-0463c9adb574_ActionId">
    <vt:lpwstr>a0770fbe-36ea-431a-8853-31579460803b</vt:lpwstr>
  </property>
  <property fmtid="{D5CDD505-2E9C-101B-9397-08002B2CF9AE}" pid="8" name="MSIP_Label_cea8ce42-0a38-4038-af78-0463c9adb574_ContentBits">
    <vt:lpwstr>0</vt:lpwstr>
  </property>
</Properties>
</file>