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DCBEE" w14:textId="0176F0D4" w:rsidR="000E0A9E" w:rsidRDefault="005E467C">
      <w:pPr>
        <w:autoSpaceDE w:val="0"/>
        <w:autoSpaceDN w:val="0"/>
        <w:adjustRightInd w:val="0"/>
        <w:spacing w:after="0" w:line="240" w:lineRule="auto"/>
        <w:jc w:val="center"/>
        <w:rPr>
          <w:rFonts w:ascii="Calibri" w:eastAsia="Calibri" w:hAnsi="Calibri" w:cs="TimesNewRoman-Bold"/>
          <w:b/>
          <w:bCs/>
          <w:sz w:val="26"/>
          <w:szCs w:val="26"/>
        </w:rPr>
      </w:pPr>
      <w:bookmarkStart w:id="0" w:name="_Hlk38462602"/>
      <w:r w:rsidRPr="005E467C">
        <w:rPr>
          <w:rFonts w:ascii="Calibri" w:eastAsia="Calibri" w:hAnsi="Calibri" w:cs="TimesNewRoman-Bold"/>
          <w:b/>
          <w:bCs/>
          <w:sz w:val="26"/>
          <w:szCs w:val="26"/>
        </w:rPr>
        <w:t>Focus Graphite Announces Non-Brokered Private Placements of Flow-Through Shares</w:t>
      </w:r>
    </w:p>
    <w:bookmarkEnd w:id="0"/>
    <w:p w14:paraId="1B85760C" w14:textId="77777777" w:rsidR="005E467C" w:rsidRDefault="005E467C" w:rsidP="005E467C">
      <w:pPr>
        <w:spacing w:after="0" w:line="360" w:lineRule="atLeast"/>
        <w:jc w:val="both"/>
        <w:textAlignment w:val="baseline"/>
        <w:rPr>
          <w:rFonts w:cstheme="minorHAnsi"/>
          <w:b/>
        </w:rPr>
      </w:pPr>
    </w:p>
    <w:p w14:paraId="00AB7512" w14:textId="58A0F605" w:rsidR="006F221D" w:rsidRPr="006F221D" w:rsidRDefault="00415AE9" w:rsidP="006F221D">
      <w:pPr>
        <w:spacing w:after="0" w:line="360" w:lineRule="atLeast"/>
        <w:jc w:val="both"/>
        <w:textAlignment w:val="baseline"/>
        <w:rPr>
          <w:rFonts w:eastAsia="Times New Roman" w:cstheme="minorHAnsi"/>
          <w:color w:val="000000" w:themeColor="text1"/>
          <w:lang w:eastAsia="fr-CA"/>
        </w:rPr>
      </w:pPr>
      <w:r w:rsidRPr="000B0064">
        <w:rPr>
          <w:rFonts w:cstheme="minorHAnsi"/>
          <w:b/>
        </w:rPr>
        <w:t>KINGSTON</w:t>
      </w:r>
      <w:r w:rsidRPr="000B0064">
        <w:rPr>
          <w:rFonts w:cstheme="minorHAnsi"/>
        </w:rPr>
        <w:t>,</w:t>
      </w:r>
      <w:r w:rsidRPr="000B0064">
        <w:rPr>
          <w:rFonts w:cstheme="minorHAnsi"/>
          <w:b/>
        </w:rPr>
        <w:t xml:space="preserve"> ONTARIO,</w:t>
      </w:r>
      <w:r w:rsidRPr="000B0064">
        <w:rPr>
          <w:rFonts w:cstheme="minorHAnsi"/>
        </w:rPr>
        <w:t xml:space="preserve"> </w:t>
      </w:r>
      <w:r w:rsidR="00005A07">
        <w:rPr>
          <w:rFonts w:cstheme="minorHAnsi"/>
        </w:rPr>
        <w:t>April</w:t>
      </w:r>
      <w:r w:rsidR="00265E29" w:rsidRPr="000B0064">
        <w:rPr>
          <w:rFonts w:cstheme="minorHAnsi"/>
        </w:rPr>
        <w:t xml:space="preserve"> </w:t>
      </w:r>
      <w:r w:rsidR="00005A07">
        <w:rPr>
          <w:rFonts w:cstheme="minorHAnsi"/>
        </w:rPr>
        <w:t>21</w:t>
      </w:r>
      <w:r w:rsidR="00265E29" w:rsidRPr="000B0064">
        <w:rPr>
          <w:rFonts w:cstheme="minorHAnsi"/>
        </w:rPr>
        <w:t>,</w:t>
      </w:r>
      <w:r w:rsidRPr="000B0064">
        <w:rPr>
          <w:rFonts w:cstheme="minorHAnsi"/>
        </w:rPr>
        <w:t xml:space="preserve"> 202</w:t>
      </w:r>
      <w:r w:rsidR="002547FD" w:rsidRPr="000B0064">
        <w:rPr>
          <w:rFonts w:cstheme="minorHAnsi"/>
        </w:rPr>
        <w:t>1</w:t>
      </w:r>
      <w:r w:rsidRPr="000B0064">
        <w:rPr>
          <w:rFonts w:cstheme="minorHAnsi"/>
        </w:rPr>
        <w:t xml:space="preserve"> – </w:t>
      </w:r>
      <w:r w:rsidR="00F177DE" w:rsidRPr="000B0064">
        <w:rPr>
          <w:rFonts w:cstheme="minorHAnsi"/>
          <w:lang w:val="en-CA"/>
        </w:rPr>
        <w:t>Focus Graphite Inc. (TSXV: FMS) (the “</w:t>
      </w:r>
      <w:r w:rsidR="00F177DE" w:rsidRPr="000B0064">
        <w:rPr>
          <w:rFonts w:cstheme="minorHAnsi"/>
          <w:b/>
          <w:bCs/>
          <w:lang w:val="en-CA"/>
        </w:rPr>
        <w:t>Company</w:t>
      </w:r>
      <w:r w:rsidR="00F177DE" w:rsidRPr="000B0064">
        <w:rPr>
          <w:rFonts w:cstheme="minorHAnsi"/>
          <w:lang w:val="en-CA"/>
        </w:rPr>
        <w:t>” or “</w:t>
      </w:r>
      <w:r w:rsidR="00F177DE" w:rsidRPr="000B0064">
        <w:rPr>
          <w:rFonts w:cstheme="minorHAnsi"/>
          <w:b/>
          <w:bCs/>
          <w:lang w:val="en-CA"/>
        </w:rPr>
        <w:t>Focus Graphite</w:t>
      </w:r>
      <w:r w:rsidR="00F177DE" w:rsidRPr="000B0064">
        <w:rPr>
          <w:rFonts w:cstheme="minorHAnsi"/>
          <w:lang w:val="en-CA"/>
        </w:rPr>
        <w:t>”)</w:t>
      </w:r>
      <w:r w:rsidR="00A828C6">
        <w:rPr>
          <w:rFonts w:eastAsia="Times New Roman" w:cstheme="minorHAnsi"/>
          <w:color w:val="000000" w:themeColor="text1"/>
          <w:lang w:val="en-CA" w:eastAsia="fr-CA"/>
        </w:rPr>
        <w:t xml:space="preserve"> </w:t>
      </w:r>
      <w:r w:rsidR="006F221D" w:rsidRPr="006F221D">
        <w:rPr>
          <w:rFonts w:eastAsia="Times New Roman" w:cstheme="minorHAnsi"/>
          <w:color w:val="000000" w:themeColor="text1"/>
          <w:lang w:eastAsia="fr-CA"/>
        </w:rPr>
        <w:t>announced today that it plans to complete a non-brokered private placement of up to 16,666,667 flow-through shares (the “</w:t>
      </w:r>
      <w:r w:rsidR="006F221D" w:rsidRPr="006F221D">
        <w:rPr>
          <w:rFonts w:eastAsia="Times New Roman" w:cstheme="minorHAnsi"/>
          <w:b/>
          <w:color w:val="000000" w:themeColor="text1"/>
          <w:lang w:eastAsia="fr-CA"/>
        </w:rPr>
        <w:t>FT Shares</w:t>
      </w:r>
      <w:r w:rsidR="006F221D" w:rsidRPr="006F221D">
        <w:rPr>
          <w:rFonts w:eastAsia="Times New Roman" w:cstheme="minorHAnsi"/>
          <w:color w:val="000000" w:themeColor="text1"/>
          <w:lang w:eastAsia="fr-CA"/>
        </w:rPr>
        <w:t>”) of the Company at a price of $0.12 per FT Share (the “</w:t>
      </w:r>
      <w:r w:rsidR="006F221D" w:rsidRPr="006F221D">
        <w:rPr>
          <w:rFonts w:eastAsia="Times New Roman" w:cstheme="minorHAnsi"/>
          <w:b/>
          <w:color w:val="000000" w:themeColor="text1"/>
          <w:lang w:eastAsia="fr-CA"/>
        </w:rPr>
        <w:t>Offering Price</w:t>
      </w:r>
      <w:r w:rsidR="006F221D" w:rsidRPr="006F221D">
        <w:rPr>
          <w:rFonts w:eastAsia="Times New Roman" w:cstheme="minorHAnsi"/>
          <w:color w:val="000000" w:themeColor="text1"/>
          <w:lang w:eastAsia="fr-CA"/>
        </w:rPr>
        <w:t>”) for aggregate gross proceeds to the Company of $2,000,000 (the “</w:t>
      </w:r>
      <w:r w:rsidR="006F221D" w:rsidRPr="006F221D">
        <w:rPr>
          <w:rFonts w:eastAsia="Times New Roman" w:cstheme="minorHAnsi"/>
          <w:b/>
          <w:color w:val="000000" w:themeColor="text1"/>
          <w:lang w:eastAsia="fr-CA"/>
        </w:rPr>
        <w:t>Offering</w:t>
      </w:r>
      <w:r w:rsidR="006F221D" w:rsidRPr="006F221D">
        <w:rPr>
          <w:rFonts w:eastAsia="Times New Roman" w:cstheme="minorHAnsi"/>
          <w:color w:val="000000" w:themeColor="text1"/>
          <w:lang w:eastAsia="fr-CA"/>
        </w:rPr>
        <w:t>”).</w:t>
      </w:r>
    </w:p>
    <w:p w14:paraId="11F4B000" w14:textId="77777777" w:rsidR="00B2317D" w:rsidRDefault="00B2317D" w:rsidP="006F221D">
      <w:pPr>
        <w:spacing w:after="0" w:line="360" w:lineRule="atLeast"/>
        <w:jc w:val="both"/>
        <w:textAlignment w:val="baseline"/>
        <w:rPr>
          <w:rFonts w:eastAsia="Times New Roman" w:cstheme="minorHAnsi"/>
          <w:color w:val="000000" w:themeColor="text1"/>
          <w:lang w:eastAsia="fr-CA"/>
        </w:rPr>
      </w:pPr>
    </w:p>
    <w:p w14:paraId="71C5E54F" w14:textId="6C27F495" w:rsidR="00100326" w:rsidRDefault="00C51345" w:rsidP="006F221D">
      <w:pPr>
        <w:spacing w:after="0" w:line="360" w:lineRule="atLeast"/>
        <w:jc w:val="both"/>
        <w:textAlignment w:val="baseline"/>
        <w:rPr>
          <w:rFonts w:eastAsia="Times New Roman" w:cstheme="minorHAnsi"/>
          <w:color w:val="000000" w:themeColor="text1"/>
          <w:lang w:eastAsia="fr-CA"/>
        </w:rPr>
      </w:pPr>
      <w:r w:rsidRPr="00C51345">
        <w:rPr>
          <w:rFonts w:eastAsia="Times New Roman" w:cstheme="minorHAnsi"/>
          <w:color w:val="000000" w:themeColor="text1"/>
          <w:lang w:eastAsia="fr-CA"/>
        </w:rPr>
        <w:t xml:space="preserve">The proceeds of the Offering will be used to support the exploration program on Company’s </w:t>
      </w:r>
      <w:proofErr w:type="spellStart"/>
      <w:r w:rsidRPr="00C51345">
        <w:rPr>
          <w:rFonts w:eastAsia="Times New Roman" w:cstheme="minorHAnsi"/>
          <w:color w:val="000000" w:themeColor="text1"/>
          <w:lang w:eastAsia="fr-CA"/>
        </w:rPr>
        <w:t>Tetepisca</w:t>
      </w:r>
      <w:proofErr w:type="spellEnd"/>
      <w:r w:rsidRPr="00C51345">
        <w:rPr>
          <w:rFonts w:eastAsia="Times New Roman" w:cstheme="minorHAnsi"/>
          <w:color w:val="000000" w:themeColor="text1"/>
          <w:lang w:eastAsia="fr-CA"/>
        </w:rPr>
        <w:t xml:space="preserve"> Graphite Project located southwest of the Manicouagan reservoir in the Cote-Nord administrative region of north- eastern Quebec</w:t>
      </w:r>
      <w:r>
        <w:rPr>
          <w:rFonts w:eastAsia="Times New Roman" w:cstheme="minorHAnsi"/>
          <w:color w:val="000000" w:themeColor="text1"/>
          <w:lang w:eastAsia="fr-CA"/>
        </w:rPr>
        <w:t>.</w:t>
      </w:r>
    </w:p>
    <w:p w14:paraId="53DEF808" w14:textId="77777777" w:rsidR="00C51345" w:rsidRPr="006F221D" w:rsidRDefault="00C51345" w:rsidP="006F221D">
      <w:pPr>
        <w:spacing w:after="0" w:line="360" w:lineRule="atLeast"/>
        <w:jc w:val="both"/>
        <w:textAlignment w:val="baseline"/>
        <w:rPr>
          <w:rFonts w:eastAsia="Times New Roman" w:cstheme="minorHAnsi"/>
          <w:color w:val="000000" w:themeColor="text1"/>
          <w:lang w:eastAsia="fr-CA"/>
        </w:rPr>
      </w:pPr>
    </w:p>
    <w:p w14:paraId="1DF1EB57" w14:textId="77777777" w:rsidR="006F221D" w:rsidRPr="006F221D" w:rsidRDefault="006F221D" w:rsidP="006F221D">
      <w:pPr>
        <w:spacing w:after="0" w:line="360" w:lineRule="atLeast"/>
        <w:jc w:val="both"/>
        <w:textAlignment w:val="baseline"/>
        <w:rPr>
          <w:rFonts w:eastAsia="Times New Roman" w:cstheme="minorHAnsi"/>
          <w:color w:val="000000" w:themeColor="text1"/>
          <w:lang w:eastAsia="fr-CA"/>
        </w:rPr>
      </w:pPr>
      <w:r w:rsidRPr="006F221D">
        <w:rPr>
          <w:rFonts w:eastAsia="Times New Roman" w:cstheme="minorHAnsi"/>
          <w:color w:val="000000" w:themeColor="text1"/>
          <w:lang w:eastAsia="fr-CA"/>
        </w:rPr>
        <w:t>The Offering is expected to close in tranches, with the first tranche to close as soon as possible subject to certain conditions including, but not limited to, the receipt of all necessary approvals, including the approval of the TSX Venture Exchange. The FT Shares will be sold on a private placement basis to accredited investors pursuant to the "accredited investor" exemption or other available and agreed upon exemptions from prospectus requirements. The FT Shares will have a hold period of four months and one day from the date of issue.</w:t>
      </w:r>
    </w:p>
    <w:p w14:paraId="16331643" w14:textId="77777777" w:rsidR="00AD02EB" w:rsidRDefault="00AD02EB" w:rsidP="006F221D">
      <w:pPr>
        <w:spacing w:after="0" w:line="360" w:lineRule="atLeast"/>
        <w:jc w:val="both"/>
        <w:textAlignment w:val="baseline"/>
        <w:rPr>
          <w:rFonts w:eastAsia="Times New Roman" w:cstheme="minorHAnsi"/>
          <w:color w:val="000000" w:themeColor="text1"/>
          <w:lang w:eastAsia="fr-CA"/>
        </w:rPr>
      </w:pPr>
    </w:p>
    <w:p w14:paraId="64DE1868" w14:textId="22D310AA" w:rsidR="006F221D" w:rsidRPr="006F221D" w:rsidRDefault="006F221D" w:rsidP="006F221D">
      <w:pPr>
        <w:spacing w:after="0" w:line="360" w:lineRule="atLeast"/>
        <w:jc w:val="both"/>
        <w:textAlignment w:val="baseline"/>
        <w:rPr>
          <w:rFonts w:eastAsia="Times New Roman" w:cstheme="minorHAnsi"/>
          <w:color w:val="000000" w:themeColor="text1"/>
          <w:lang w:eastAsia="fr-CA"/>
        </w:rPr>
      </w:pPr>
      <w:r w:rsidRPr="006F221D">
        <w:rPr>
          <w:rFonts w:eastAsia="Times New Roman" w:cstheme="minorHAnsi"/>
          <w:color w:val="000000" w:themeColor="text1"/>
          <w:lang w:eastAsia="fr-CA"/>
        </w:rPr>
        <w:t>The Company may pay finder's fees equal to 7% of the gross proceeds from a portion of the financing in cash, and 7% finders warrants equal to the number of FT Shares issued as part of the Offering (the “</w:t>
      </w:r>
      <w:r w:rsidRPr="006F221D">
        <w:rPr>
          <w:rFonts w:eastAsia="Times New Roman" w:cstheme="minorHAnsi"/>
          <w:b/>
          <w:bCs/>
          <w:color w:val="000000" w:themeColor="text1"/>
          <w:lang w:eastAsia="fr-CA"/>
        </w:rPr>
        <w:t>Finder Warrants</w:t>
      </w:r>
      <w:r w:rsidRPr="006F221D">
        <w:rPr>
          <w:rFonts w:eastAsia="Times New Roman" w:cstheme="minorHAnsi"/>
          <w:color w:val="000000" w:themeColor="text1"/>
          <w:lang w:eastAsia="fr-CA"/>
        </w:rPr>
        <w:t xml:space="preserve">”) in accordance with the policies of the TSX Venture Exchange. Each Finder Warrant entitles the finder to purchase one (1) non-flow-through common share at a price of $0.12 per </w:t>
      </w:r>
      <w:bookmarkStart w:id="1" w:name="OpenAt"/>
      <w:bookmarkEnd w:id="1"/>
      <w:r w:rsidRPr="006F221D">
        <w:rPr>
          <w:rFonts w:eastAsia="Times New Roman" w:cstheme="minorHAnsi"/>
          <w:color w:val="000000" w:themeColor="text1"/>
          <w:lang w:eastAsia="fr-CA"/>
        </w:rPr>
        <w:t xml:space="preserve">common share for a period of 24 months from closing of the Offering. </w:t>
      </w:r>
    </w:p>
    <w:p w14:paraId="7A9D419B" w14:textId="77777777" w:rsidR="00594100" w:rsidRDefault="00594100" w:rsidP="006F221D">
      <w:pPr>
        <w:spacing w:after="0" w:line="360" w:lineRule="atLeast"/>
        <w:jc w:val="both"/>
        <w:textAlignment w:val="baseline"/>
        <w:rPr>
          <w:rFonts w:eastAsia="Times New Roman" w:cstheme="minorHAnsi"/>
          <w:color w:val="000000" w:themeColor="text1"/>
          <w:lang w:eastAsia="fr-CA"/>
        </w:rPr>
      </w:pPr>
    </w:p>
    <w:p w14:paraId="375B49A3" w14:textId="12D46E6F" w:rsidR="006F221D" w:rsidRPr="006F221D" w:rsidRDefault="006F221D" w:rsidP="006F221D">
      <w:pPr>
        <w:spacing w:after="0" w:line="360" w:lineRule="atLeast"/>
        <w:jc w:val="both"/>
        <w:textAlignment w:val="baseline"/>
        <w:rPr>
          <w:rFonts w:eastAsia="Times New Roman" w:cstheme="minorHAnsi"/>
          <w:color w:val="000000" w:themeColor="text1"/>
          <w:lang w:eastAsia="fr-CA"/>
        </w:rPr>
      </w:pPr>
      <w:r w:rsidRPr="006F221D">
        <w:rPr>
          <w:rFonts w:eastAsia="Times New Roman" w:cstheme="minorHAnsi"/>
          <w:color w:val="000000" w:themeColor="text1"/>
          <w:lang w:eastAsia="fr-CA"/>
        </w:rPr>
        <w:t>This press release shall not constitute an offer to sell or the solicitation of an offer to buy, nor shall there be any sale of these securities in any jurisdiction in which such offer, solicitation or sale would be unlawful prior to registration or qualification under the securities laws of any such jurisdiction.</w:t>
      </w:r>
    </w:p>
    <w:p w14:paraId="2C2BAE86" w14:textId="77777777" w:rsidR="00AD02EB" w:rsidRDefault="00AD02EB" w:rsidP="005A1DA5">
      <w:pPr>
        <w:shd w:val="clear" w:color="auto" w:fill="FFFFFF"/>
        <w:spacing w:after="225" w:line="360" w:lineRule="atLeast"/>
        <w:textAlignment w:val="baseline"/>
        <w:rPr>
          <w:rFonts w:eastAsia="Times New Roman" w:cstheme="minorHAnsi"/>
          <w:color w:val="000000" w:themeColor="text1"/>
          <w:lang w:val="en-CA" w:eastAsia="fr-CA"/>
        </w:rPr>
      </w:pPr>
    </w:p>
    <w:p w14:paraId="3F26100D" w14:textId="77777777" w:rsidR="0032151E" w:rsidRDefault="0032151E" w:rsidP="005A1DA5">
      <w:pPr>
        <w:shd w:val="clear" w:color="auto" w:fill="FFFFFF"/>
        <w:spacing w:after="225" w:line="360" w:lineRule="atLeast"/>
        <w:textAlignment w:val="baseline"/>
        <w:rPr>
          <w:rFonts w:eastAsia="Times New Roman" w:cstheme="minorHAnsi"/>
          <w:color w:val="000000" w:themeColor="text1"/>
          <w:u w:val="single"/>
          <w:lang w:val="en-CA" w:eastAsia="fr-CA"/>
        </w:rPr>
      </w:pPr>
    </w:p>
    <w:p w14:paraId="2E0ECDEB" w14:textId="5F6EF7D2" w:rsidR="005A1DA5" w:rsidRPr="000B0064" w:rsidRDefault="005A1DA5" w:rsidP="005A1DA5">
      <w:pPr>
        <w:shd w:val="clear" w:color="auto" w:fill="FFFFFF"/>
        <w:spacing w:after="225" w:line="360" w:lineRule="atLeast"/>
        <w:textAlignment w:val="baseline"/>
        <w:rPr>
          <w:rFonts w:eastAsia="Times New Roman" w:cstheme="minorHAnsi"/>
          <w:color w:val="666666"/>
          <w:u w:val="single"/>
          <w:lang w:val="en-CA" w:eastAsia="fr-CA"/>
        </w:rPr>
      </w:pPr>
      <w:r w:rsidRPr="000B0064">
        <w:rPr>
          <w:rFonts w:eastAsia="Times New Roman" w:cstheme="minorHAnsi"/>
          <w:color w:val="000000" w:themeColor="text1"/>
          <w:u w:val="single"/>
          <w:lang w:val="en-CA" w:eastAsia="fr-CA"/>
        </w:rPr>
        <w:t>About Focus Graphite</w:t>
      </w:r>
    </w:p>
    <w:p w14:paraId="08FE87D1" w14:textId="77777777" w:rsidR="005A1DA5" w:rsidRPr="000B0064" w:rsidRDefault="005A1DA5" w:rsidP="005A1DA5">
      <w:pPr>
        <w:shd w:val="clear" w:color="auto" w:fill="FFFFFF"/>
        <w:spacing w:after="225" w:line="360" w:lineRule="atLeast"/>
        <w:jc w:val="both"/>
        <w:textAlignment w:val="baseline"/>
        <w:rPr>
          <w:rFonts w:eastAsia="Times New Roman" w:cstheme="minorHAnsi"/>
          <w:color w:val="000000" w:themeColor="text1"/>
          <w:lang w:val="en-CA" w:eastAsia="fr-CA"/>
        </w:rPr>
      </w:pPr>
      <w:r w:rsidRPr="000B0064">
        <w:rPr>
          <w:rFonts w:eastAsia="Times New Roman" w:cstheme="minorHAnsi"/>
          <w:color w:val="000000" w:themeColor="text1"/>
          <w:lang w:val="en-CA" w:eastAsia="fr-CA"/>
        </w:rPr>
        <w:t>Focus Graphite Inc. is an advanced exploration company with an objective of producing flake graphite concentrate at its wholly owned Lac Knife and Lac Tétépisca flake graphite projects located in the Côte-Nord administrative region of Québec. In a second stage, to meet Québec stakeholder interests in developing second transformation industries within the province and to add shareholder value, Focus is evaluating the feasibility of producing value added specialty graphite products including battery-grade spherical graphite.</w:t>
      </w:r>
    </w:p>
    <w:p w14:paraId="27AD0F6E" w14:textId="77777777" w:rsidR="005A1DA5" w:rsidRPr="000B0064" w:rsidRDefault="005A1DA5" w:rsidP="005A1DA5">
      <w:pPr>
        <w:shd w:val="clear" w:color="auto" w:fill="FFFFFF"/>
        <w:spacing w:after="225" w:line="360" w:lineRule="atLeast"/>
        <w:jc w:val="both"/>
        <w:textAlignment w:val="baseline"/>
        <w:rPr>
          <w:rFonts w:eastAsia="Times New Roman" w:cstheme="minorHAnsi"/>
          <w:color w:val="000000" w:themeColor="text1"/>
          <w:lang w:val="en-CA" w:eastAsia="fr-CA"/>
        </w:rPr>
      </w:pPr>
      <w:r w:rsidRPr="000B0064">
        <w:rPr>
          <w:rFonts w:eastAsia="Times New Roman" w:cstheme="minorHAnsi"/>
          <w:color w:val="000000" w:themeColor="text1"/>
          <w:lang w:val="en-CA" w:eastAsia="fr-CA"/>
        </w:rPr>
        <w:t xml:space="preserve">Focus Graphite is a technology-oriented graphite development company with a vision for building long-term, sustainable shareholder value. Focus also holds a significant equity position in graphene applications developer Grafoid Inc. For more information about Focus Graphite, please visit </w:t>
      </w:r>
      <w:hyperlink r:id="rId8" w:history="1">
        <w:r w:rsidRPr="000B0064">
          <w:rPr>
            <w:rStyle w:val="Hyperlink"/>
            <w:rFonts w:eastAsia="Times New Roman" w:cstheme="minorHAnsi"/>
            <w:lang w:val="en-CA" w:eastAsia="fr-CA"/>
          </w:rPr>
          <w:t>www.focusgraphite.com</w:t>
        </w:r>
      </w:hyperlink>
      <w:r w:rsidRPr="000B0064">
        <w:rPr>
          <w:rFonts w:eastAsia="Times New Roman" w:cstheme="minorHAnsi"/>
          <w:color w:val="000000" w:themeColor="text1"/>
          <w:lang w:val="en-CA" w:eastAsia="fr-CA"/>
        </w:rPr>
        <w:t xml:space="preserve">. </w:t>
      </w:r>
    </w:p>
    <w:p w14:paraId="3535B2C6" w14:textId="77777777" w:rsidR="005A1DA5" w:rsidRPr="000B0064" w:rsidRDefault="005A1DA5" w:rsidP="005A1DA5">
      <w:pPr>
        <w:shd w:val="clear" w:color="auto" w:fill="FFFFFF"/>
        <w:spacing w:after="225" w:line="360" w:lineRule="atLeast"/>
        <w:jc w:val="both"/>
        <w:textAlignment w:val="baseline"/>
        <w:rPr>
          <w:rFonts w:eastAsia="Times New Roman" w:cstheme="minorHAnsi"/>
          <w:color w:val="000000" w:themeColor="text1"/>
          <w:lang w:val="en-CA" w:eastAsia="fr-CA"/>
        </w:rPr>
      </w:pPr>
      <w:r w:rsidRPr="000B0064">
        <w:rPr>
          <w:rFonts w:eastAsia="Times New Roman" w:cstheme="minorHAnsi"/>
          <w:color w:val="000000" w:themeColor="text1"/>
          <w:lang w:val="en-CA" w:eastAsia="fr-CA"/>
        </w:rPr>
        <w:t>Neither TSX Venture Exchange nor its Regulation Services Provider (as that term is defined in the policies of the TSX Venture Exchange) accepts responsibility for the adequacy or accuracy of this release.</w:t>
      </w:r>
    </w:p>
    <w:p w14:paraId="7F63F2F9" w14:textId="77777777" w:rsidR="005A1DA5" w:rsidRPr="000B0064" w:rsidRDefault="005A1DA5" w:rsidP="005A1DA5">
      <w:pPr>
        <w:spacing w:after="0" w:line="360" w:lineRule="atLeast"/>
        <w:jc w:val="both"/>
        <w:textAlignment w:val="baseline"/>
        <w:rPr>
          <w:rFonts w:eastAsia="Times New Roman" w:cstheme="minorHAnsi"/>
          <w:b/>
          <w:bCs/>
          <w:color w:val="000000" w:themeColor="text1"/>
          <w:lang w:val="en-CA" w:eastAsia="fr-CA"/>
        </w:rPr>
      </w:pPr>
      <w:r w:rsidRPr="000B0064">
        <w:rPr>
          <w:rFonts w:eastAsia="Times New Roman" w:cstheme="minorHAnsi"/>
          <w:b/>
          <w:bCs/>
          <w:color w:val="000000" w:themeColor="text1"/>
          <w:lang w:val="en-CA" w:eastAsia="fr-CA"/>
        </w:rPr>
        <w:t>Forward Looking Information</w:t>
      </w:r>
    </w:p>
    <w:p w14:paraId="507062BA" w14:textId="77777777" w:rsidR="005A1DA5" w:rsidRPr="000B0064" w:rsidRDefault="005A1DA5" w:rsidP="005A1DA5">
      <w:pPr>
        <w:spacing w:after="0" w:line="360" w:lineRule="atLeast"/>
        <w:jc w:val="both"/>
        <w:textAlignment w:val="baseline"/>
        <w:rPr>
          <w:rFonts w:eastAsia="Times New Roman" w:cstheme="minorHAnsi"/>
          <w:color w:val="000000" w:themeColor="text1"/>
          <w:lang w:val="en-CA" w:eastAsia="fr-CA"/>
        </w:rPr>
      </w:pPr>
      <w:r w:rsidRPr="000B0064">
        <w:rPr>
          <w:rFonts w:eastAsia="Times New Roman" w:cstheme="minorHAnsi"/>
          <w:color w:val="000000" w:themeColor="text1"/>
          <w:lang w:val="en-CA" w:eastAsia="fr-CA"/>
        </w:rPr>
        <w:t>This news release may contain certain forward-looking information and statements, including without limitation, the closing of the Offerings, statements pertaining to the use of proceeds, and the Company’s ability to obtain necessary approvals from the TSX Venture Exchange. All statements included herein, other than statements of historical fact, are forward-looking information and such information involves various risks and uncertainties. There can be no assurance that such information will prove to be accurate, and actual results and future events could differ materially from those anticipated in such information. A description of assumptions used to develop such forward-looking information and a description of risk factors that may cause actual results to differ materially from forward-looking information can be found in Focus Graphite’s disclosure documents on the SEDAR website at www.sedar.com. The Company does not undertake to update any forward-looking information except in accordance with applicable securities laws.</w:t>
      </w:r>
    </w:p>
    <w:p w14:paraId="13A7D0FA" w14:textId="0288500B" w:rsidR="005A1DA5" w:rsidRPr="000B0064" w:rsidRDefault="002547FD" w:rsidP="005A1DA5">
      <w:pPr>
        <w:shd w:val="clear" w:color="auto" w:fill="FFFFFF"/>
        <w:jc w:val="both"/>
        <w:outlineLvl w:val="1"/>
        <w:rPr>
          <w:rFonts w:cstheme="minorHAnsi"/>
          <w:lang w:val="en-CA"/>
        </w:rPr>
      </w:pPr>
      <w:r w:rsidRPr="000B0064">
        <w:rPr>
          <w:rFonts w:cstheme="minorHAnsi"/>
          <w:lang w:val="en-CA"/>
        </w:rPr>
        <w:t xml:space="preserve"> </w:t>
      </w:r>
    </w:p>
    <w:p w14:paraId="5543E138" w14:textId="77777777" w:rsidR="00963D96" w:rsidRPr="000B0064" w:rsidRDefault="00415AE9">
      <w:pPr>
        <w:jc w:val="both"/>
        <w:rPr>
          <w:rFonts w:eastAsia="Calibri" w:cstheme="minorHAnsi"/>
        </w:rPr>
      </w:pPr>
      <w:r w:rsidRPr="000B0064">
        <w:rPr>
          <w:rFonts w:eastAsia="Calibri" w:cstheme="minorHAnsi"/>
          <w:b/>
          <w:bCs/>
        </w:rPr>
        <w:t>Focus Graphite Investor Contact:</w:t>
      </w:r>
    </w:p>
    <w:p w14:paraId="282403E0" w14:textId="77777777" w:rsidR="00963D96" w:rsidRPr="000B0064" w:rsidRDefault="00415AE9">
      <w:pPr>
        <w:jc w:val="both"/>
        <w:rPr>
          <w:rFonts w:eastAsia="Calibri" w:cstheme="minorHAnsi"/>
        </w:rPr>
      </w:pPr>
      <w:r w:rsidRPr="000B0064">
        <w:rPr>
          <w:rFonts w:eastAsia="Calibri" w:cstheme="minorHAnsi"/>
        </w:rPr>
        <w:t>Scott Anderson</w:t>
      </w:r>
    </w:p>
    <w:p w14:paraId="08B57CBF" w14:textId="77777777" w:rsidR="00963D96" w:rsidRPr="000B0064" w:rsidRDefault="00415AE9">
      <w:pPr>
        <w:jc w:val="both"/>
        <w:rPr>
          <w:rFonts w:eastAsia="Calibri" w:cstheme="minorHAnsi"/>
        </w:rPr>
      </w:pPr>
      <w:r w:rsidRPr="000B0064">
        <w:rPr>
          <w:rFonts w:eastAsia="Calibri" w:cstheme="minorHAnsi"/>
        </w:rPr>
        <w:t>Investor Relations</w:t>
      </w:r>
    </w:p>
    <w:p w14:paraId="357F7318" w14:textId="77777777" w:rsidR="00963D96" w:rsidRPr="000B0064" w:rsidRDefault="00415AE9">
      <w:pPr>
        <w:jc w:val="both"/>
        <w:rPr>
          <w:rFonts w:eastAsia="Calibri" w:cstheme="minorHAnsi"/>
        </w:rPr>
      </w:pPr>
      <w:r w:rsidRPr="000B0064">
        <w:rPr>
          <w:rFonts w:eastAsia="Calibri" w:cstheme="minorHAnsi"/>
        </w:rPr>
        <w:t>(858) 229-7063</w:t>
      </w:r>
    </w:p>
    <w:p w14:paraId="756F3309" w14:textId="77777777" w:rsidR="00963D96" w:rsidRPr="000B0064" w:rsidRDefault="00F4229A">
      <w:pPr>
        <w:jc w:val="both"/>
        <w:rPr>
          <w:rFonts w:eastAsia="Calibri" w:cstheme="minorHAnsi"/>
        </w:rPr>
      </w:pPr>
      <w:hyperlink r:id="rId9" w:history="1">
        <w:r w:rsidR="00415AE9" w:rsidRPr="000B0064">
          <w:rPr>
            <w:rStyle w:val="Hyperlink"/>
            <w:rFonts w:eastAsia="Calibri" w:cstheme="minorHAnsi"/>
          </w:rPr>
          <w:t>sanderson@nextcap-ir.com</w:t>
        </w:r>
      </w:hyperlink>
    </w:p>
    <w:p w14:paraId="47A053A6" w14:textId="25F818AE" w:rsidR="00D86631" w:rsidRPr="000B0064" w:rsidRDefault="00D86631" w:rsidP="00D86631">
      <w:pPr>
        <w:jc w:val="both"/>
        <w:rPr>
          <w:rFonts w:eastAsia="Calibri" w:cstheme="minorHAnsi"/>
          <w:b/>
        </w:rPr>
      </w:pPr>
      <w:r w:rsidRPr="000B0064">
        <w:rPr>
          <w:rFonts w:eastAsia="Calibri" w:cstheme="minorHAnsi"/>
          <w:b/>
        </w:rPr>
        <w:lastRenderedPageBreak/>
        <w:t>Focus Graphite Inc.</w:t>
      </w:r>
    </w:p>
    <w:p w14:paraId="6CB5CFFC" w14:textId="77777777" w:rsidR="00D86631" w:rsidRPr="000B0064" w:rsidRDefault="00D86631" w:rsidP="00D86631">
      <w:pPr>
        <w:jc w:val="both"/>
        <w:rPr>
          <w:rFonts w:eastAsia="Calibri" w:cstheme="minorHAnsi"/>
          <w:bCs/>
        </w:rPr>
      </w:pPr>
      <w:r w:rsidRPr="000B0064">
        <w:rPr>
          <w:rFonts w:eastAsia="Calibri" w:cstheme="minorHAnsi"/>
          <w:bCs/>
        </w:rPr>
        <w:t xml:space="preserve">Judith Mazvihwa-MacLean </w:t>
      </w:r>
    </w:p>
    <w:p w14:paraId="15F8D7BB" w14:textId="77777777" w:rsidR="00D86631" w:rsidRPr="000B0064" w:rsidRDefault="00D86631" w:rsidP="00D86631">
      <w:pPr>
        <w:jc w:val="both"/>
        <w:rPr>
          <w:rFonts w:eastAsia="Calibri" w:cstheme="minorHAnsi"/>
          <w:bCs/>
        </w:rPr>
      </w:pPr>
      <w:r w:rsidRPr="000B0064">
        <w:rPr>
          <w:rFonts w:eastAsia="Calibri" w:cstheme="minorHAnsi"/>
          <w:bCs/>
        </w:rPr>
        <w:t xml:space="preserve">CFO </w:t>
      </w:r>
    </w:p>
    <w:p w14:paraId="0678EB0B" w14:textId="77777777" w:rsidR="00D86631" w:rsidRPr="000B0064" w:rsidRDefault="00D86631" w:rsidP="00D86631">
      <w:pPr>
        <w:jc w:val="both"/>
        <w:rPr>
          <w:rFonts w:eastAsia="Calibri" w:cstheme="minorHAnsi"/>
          <w:bCs/>
        </w:rPr>
      </w:pPr>
      <w:r w:rsidRPr="000B0064">
        <w:rPr>
          <w:rFonts w:eastAsia="Calibri" w:cstheme="minorHAnsi"/>
          <w:bCs/>
        </w:rPr>
        <w:t xml:space="preserve">(613) 581-4040 </w:t>
      </w:r>
    </w:p>
    <w:p w14:paraId="67DDAAC2" w14:textId="6D07F084" w:rsidR="00D86631" w:rsidRPr="000B0064" w:rsidRDefault="00D86631" w:rsidP="00D86631">
      <w:pPr>
        <w:jc w:val="both"/>
        <w:rPr>
          <w:rFonts w:eastAsia="Calibri" w:cstheme="minorHAnsi"/>
          <w:bCs/>
          <w:u w:val="single"/>
        </w:rPr>
      </w:pPr>
      <w:r w:rsidRPr="000B0064">
        <w:rPr>
          <w:rFonts w:eastAsia="Calibri" w:cstheme="minorHAnsi"/>
          <w:bCs/>
        </w:rPr>
        <w:t xml:space="preserve">jmazvihwa@focusgraphite.com </w:t>
      </w:r>
    </w:p>
    <w:sectPr w:rsidR="00D86631" w:rsidRPr="000B0064">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4CA5F" w14:textId="77777777" w:rsidR="00F4229A" w:rsidRDefault="00F4229A">
      <w:pPr>
        <w:spacing w:after="0" w:line="240" w:lineRule="auto"/>
      </w:pPr>
      <w:r>
        <w:separator/>
      </w:r>
    </w:p>
  </w:endnote>
  <w:endnote w:type="continuationSeparator" w:id="0">
    <w:p w14:paraId="7EB327B7" w14:textId="77777777" w:rsidR="00F4229A" w:rsidRDefault="00F42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Bold">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6599C" w14:textId="77777777" w:rsidR="00963D96" w:rsidRDefault="00415AE9">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72A892BB" w14:textId="77777777" w:rsidR="00963D96" w:rsidRDefault="00963D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1BB1A" w14:textId="77777777" w:rsidR="00963D96" w:rsidRDefault="00415AE9">
    <w:pPr>
      <w:tabs>
        <w:tab w:val="right" w:pos="9360"/>
      </w:tabs>
      <w:spacing w:after="0" w:line="240" w:lineRule="auto"/>
      <w:rPr>
        <w:rFonts w:ascii="Calibri" w:eastAsia="Calibri" w:hAnsi="Calibri" w:cs="Times New Roman"/>
      </w:rPr>
    </w:pPr>
    <w:r>
      <w:rPr>
        <w:rFonts w:ascii="Arial" w:eastAsia="Calibri" w:hAnsi="Arial" w:cs="Arial"/>
        <w:b/>
        <w:noProof/>
        <w:color w:val="800000"/>
        <w:sz w:val="18"/>
        <w:szCs w:val="18"/>
        <w:lang w:eastAsia="fr-CA"/>
      </w:rPr>
      <mc:AlternateContent>
        <mc:Choice Requires="wps">
          <w:drawing>
            <wp:anchor distT="360045" distB="0" distL="114300" distR="114300" simplePos="0" relativeHeight="251659264" behindDoc="0" locked="1" layoutInCell="1" allowOverlap="1" wp14:anchorId="3785FB0F" wp14:editId="29FD43B8">
              <wp:simplePos x="0" y="0"/>
              <wp:positionH relativeFrom="margin">
                <wp:posOffset>0</wp:posOffset>
              </wp:positionH>
              <wp:positionV relativeFrom="paragraph">
                <wp:posOffset>635</wp:posOffset>
              </wp:positionV>
              <wp:extent cx="5943600" cy="612000"/>
              <wp:effectExtent l="0" t="0" r="0" b="17145"/>
              <wp:wrapNone/>
              <wp:docPr id="21" name="DocsID_PF43965347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1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4838" w14:textId="4F89FDD5" w:rsidR="00963D96" w:rsidRDefault="00963D96">
                          <w:pPr>
                            <w:pStyle w:val="DocsID"/>
                            <w:spacing w:before="56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85FB0F" id="_x0000_t202" coordsize="21600,21600" o:spt="202" path="m,l,21600r21600,l21600,xe">
              <v:stroke joinstyle="miter"/>
              <v:path gradientshapeok="t" o:connecttype="rect"/>
            </v:shapetype>
            <v:shape id="DocsID_PF4396534711" o:spid="_x0000_s1026" type="#_x0000_t202" style="position:absolute;margin-left:0;margin-top:.05pt;width:468pt;height:48.2pt;z-index:251659264;visibility:visible;mso-wrap-style:square;mso-width-percent:0;mso-height-percent:0;mso-wrap-distance-left:9pt;mso-wrap-distance-top:28.35pt;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" filled="f" stroked="f">
              <v:textbox inset="0,0,0,0">
                <w:txbxContent>
                  <w:p w14:paraId="69DC4838" w14:textId="4F89FDD5" w:rsidR="00963D96" w:rsidRDefault="00963D96">
                    <w:pPr>
                      <w:pStyle w:val="DocsID"/>
                      <w:spacing w:before="560"/>
                    </w:pPr>
                  </w:p>
                </w:txbxContent>
              </v:textbox>
              <w10:wrap anchorx="margin"/>
              <w10:anchorlock/>
            </v:shape>
          </w:pict>
        </mc:Fallback>
      </mc:AlternateContent>
    </w:r>
    <w:r>
      <w:rPr>
        <w:rFonts w:ascii="Arial" w:eastAsia="Calibri" w:hAnsi="Arial" w:cs="Arial"/>
        <w:b/>
        <w:sz w:val="18"/>
        <w:szCs w:val="18"/>
      </w:rPr>
      <w:t>Website</w:t>
    </w:r>
    <w:r>
      <w:rPr>
        <w:rFonts w:ascii="Arial" w:eastAsia="Calibri" w:hAnsi="Arial" w:cs="Arial"/>
        <w:sz w:val="18"/>
        <w:szCs w:val="18"/>
      </w:rPr>
      <w:t>: www.focusgraphite.com</w:t>
    </w:r>
    <w:r>
      <w:rPr>
        <w:rFonts w:ascii="Calibri" w:eastAsia="Calibri" w:hAnsi="Calibri" w:cs="Times New Roman"/>
      </w:rPr>
      <w:tab/>
    </w:r>
    <w:r>
      <w:rPr>
        <w:rFonts w:ascii="Arial" w:eastAsia="Calibri" w:hAnsi="Arial" w:cs="Arial"/>
        <w:b/>
        <w:sz w:val="18"/>
        <w:szCs w:val="18"/>
      </w:rPr>
      <w:t>TSXV: FMS; OTCQX: FCSMF; FSE: FKC</w:t>
    </w:r>
  </w:p>
  <w:p w14:paraId="3E63B9C0" w14:textId="77777777" w:rsidR="00963D96" w:rsidRDefault="00963D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5AEC0" w14:textId="77777777" w:rsidR="00963D96" w:rsidRDefault="00415AE9">
    <w:pPr>
      <w:tabs>
        <w:tab w:val="right" w:pos="9360"/>
      </w:tabs>
      <w:spacing w:after="0" w:line="240" w:lineRule="auto"/>
      <w:rPr>
        <w:rFonts w:ascii="Calibri" w:eastAsia="Calibri" w:hAnsi="Calibri" w:cs="Times New Roman"/>
      </w:rPr>
    </w:pPr>
    <w:r>
      <w:rPr>
        <w:rFonts w:ascii="Arial" w:eastAsia="Calibri" w:hAnsi="Arial" w:cs="Arial"/>
        <w:b/>
        <w:noProof/>
        <w:color w:val="800000"/>
        <w:sz w:val="18"/>
        <w:szCs w:val="18"/>
        <w:lang w:eastAsia="fr-CA"/>
      </w:rPr>
      <mc:AlternateContent>
        <mc:Choice Requires="wps">
          <w:drawing>
            <wp:anchor distT="360045" distB="0" distL="114300" distR="114300" simplePos="0" relativeHeight="251661312" behindDoc="0" locked="1" layoutInCell="1" allowOverlap="1" wp14:anchorId="4C6858AD" wp14:editId="5A1EC79A">
              <wp:simplePos x="0" y="0"/>
              <wp:positionH relativeFrom="margin">
                <wp:posOffset>0</wp:posOffset>
              </wp:positionH>
              <wp:positionV relativeFrom="paragraph">
                <wp:posOffset>635</wp:posOffset>
              </wp:positionV>
              <wp:extent cx="5943600" cy="612000"/>
              <wp:effectExtent l="0" t="0" r="0" b="17145"/>
              <wp:wrapNone/>
              <wp:docPr id="1" name="DocsID_FF43965347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1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49BD2C" w14:textId="62AB539E" w:rsidR="00963D96" w:rsidRDefault="00963D96">
                          <w:pPr>
                            <w:pStyle w:val="DocsID"/>
                            <w:spacing w:before="56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6858AD" id="_x0000_t202" coordsize="21600,21600" o:spt="202" path="m,l,21600r21600,l21600,xe">
              <v:stroke joinstyle="miter"/>
              <v:path gradientshapeok="t" o:connecttype="rect"/>
            </v:shapetype>
            <v:shape id="DocsID_FF4396534711" o:spid="_x0000_s1027" type="#_x0000_t202" style="position:absolute;margin-left:0;margin-top:.05pt;width:468pt;height:48.2pt;z-index:251661312;visibility:visible;mso-wrap-style:square;mso-width-percent:0;mso-height-percent:0;mso-wrap-distance-left:9pt;mso-wrap-distance-top:28.35pt;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" filled="f" stroked="f">
              <v:textbox inset="0,0,0,0">
                <w:txbxContent>
                  <w:p w14:paraId="1149BD2C" w14:textId="62AB539E" w:rsidR="00963D96" w:rsidRDefault="00963D96">
                    <w:pPr>
                      <w:pStyle w:val="DocsID"/>
                      <w:spacing w:before="560"/>
                    </w:pPr>
                  </w:p>
                </w:txbxContent>
              </v:textbox>
              <w10:wrap anchorx="margin"/>
              <w10:anchorlock/>
            </v:shape>
          </w:pict>
        </mc:Fallback>
      </mc:AlternateContent>
    </w:r>
    <w:r>
      <w:rPr>
        <w:rFonts w:ascii="Arial" w:eastAsia="Calibri" w:hAnsi="Arial" w:cs="Arial"/>
        <w:b/>
        <w:sz w:val="18"/>
        <w:szCs w:val="18"/>
      </w:rPr>
      <w:t>Website</w:t>
    </w:r>
    <w:r>
      <w:rPr>
        <w:rFonts w:ascii="Arial" w:eastAsia="Calibri" w:hAnsi="Arial" w:cs="Arial"/>
        <w:sz w:val="18"/>
        <w:szCs w:val="18"/>
      </w:rPr>
      <w:t>: www.focusgraphite.com</w:t>
    </w:r>
    <w:r>
      <w:rPr>
        <w:rFonts w:ascii="Calibri" w:eastAsia="Calibri" w:hAnsi="Calibri" w:cs="Times New Roman"/>
      </w:rPr>
      <w:tab/>
    </w:r>
    <w:r>
      <w:rPr>
        <w:rFonts w:ascii="Arial" w:eastAsia="Calibri" w:hAnsi="Arial" w:cs="Arial"/>
        <w:b/>
        <w:sz w:val="18"/>
        <w:szCs w:val="18"/>
      </w:rPr>
      <w:t>TSXV: FMS; OTCQX: FCSMF; FSE: FKC</w:t>
    </w:r>
  </w:p>
  <w:p w14:paraId="175DE746" w14:textId="77777777" w:rsidR="00963D96" w:rsidRDefault="00963D96">
    <w:pPr>
      <w:pStyle w:val="Footer"/>
    </w:pPr>
  </w:p>
  <w:p w14:paraId="087E3503" w14:textId="77777777" w:rsidR="00963D96" w:rsidRDefault="00963D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2D3D8" w14:textId="77777777" w:rsidR="00F4229A" w:rsidRDefault="00F4229A">
      <w:pPr>
        <w:spacing w:after="0" w:line="240" w:lineRule="auto"/>
      </w:pPr>
      <w:r>
        <w:separator/>
      </w:r>
    </w:p>
  </w:footnote>
  <w:footnote w:type="continuationSeparator" w:id="0">
    <w:p w14:paraId="66C4C213" w14:textId="77777777" w:rsidR="00F4229A" w:rsidRDefault="00F422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E7E4F" w14:textId="77777777" w:rsidR="00963D96" w:rsidRDefault="00415AE9">
    <w:pPr>
      <w:pStyle w:val="Head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09276" w14:textId="77777777" w:rsidR="00963D96" w:rsidRDefault="00415AE9">
    <w:pPr>
      <w:pStyle w:val="Header"/>
      <w:jc w:val="center"/>
    </w:pPr>
    <w:r>
      <w:rPr>
        <w:noProof/>
        <w:lang w:val="fr-CA" w:eastAsia="fr-CA"/>
      </w:rPr>
      <w:drawing>
        <wp:inline distT="0" distB="0" distL="0" distR="0" wp14:anchorId="741BB871" wp14:editId="667FB5A5">
          <wp:extent cx="3023870" cy="21399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23870" cy="21399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C2A817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924CB1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646371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284BAF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F26208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54E0D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832429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7C3E2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598AB0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970884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EF322ED"/>
    <w:multiLevelType w:val="hybridMultilevel"/>
    <w:tmpl w:val="191E0D4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3F962FC4"/>
    <w:multiLevelType w:val="hybridMultilevel"/>
    <w:tmpl w:val="A37A1392"/>
    <w:lvl w:ilvl="0" w:tplc="7A56948E">
      <w:numFmt w:val="bullet"/>
      <w:lvlText w:val="•"/>
      <w:lvlJc w:val="left"/>
      <w:pPr>
        <w:ind w:left="720" w:hanging="360"/>
      </w:pPr>
      <w:rPr>
        <w:rFonts w:ascii="Calibri" w:eastAsiaTheme="minorHAnsi" w:hAnsi="Calibri"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65455307"/>
    <w:multiLevelType w:val="hybridMultilevel"/>
    <w:tmpl w:val="E3E8B972"/>
    <w:lvl w:ilvl="0" w:tplc="7A56948E">
      <w:numFmt w:val="bullet"/>
      <w:lvlText w:val="•"/>
      <w:lvlJc w:val="left"/>
      <w:pPr>
        <w:ind w:left="720" w:hanging="360"/>
      </w:pPr>
      <w:rPr>
        <w:rFonts w:ascii="Calibri" w:eastAsiaTheme="minorHAnsi" w:hAnsi="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1"/>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D96"/>
    <w:rsid w:val="000008CE"/>
    <w:rsid w:val="00005A07"/>
    <w:rsid w:val="00042202"/>
    <w:rsid w:val="00055D80"/>
    <w:rsid w:val="00062EEF"/>
    <w:rsid w:val="0009436D"/>
    <w:rsid w:val="0009500C"/>
    <w:rsid w:val="000A07F5"/>
    <w:rsid w:val="000B0064"/>
    <w:rsid w:val="000C70EB"/>
    <w:rsid w:val="000D2AE0"/>
    <w:rsid w:val="000E0A9E"/>
    <w:rsid w:val="000F0EA0"/>
    <w:rsid w:val="000F4A8F"/>
    <w:rsid w:val="00100326"/>
    <w:rsid w:val="0011585D"/>
    <w:rsid w:val="00133C5F"/>
    <w:rsid w:val="00136FE4"/>
    <w:rsid w:val="00140D6A"/>
    <w:rsid w:val="001421DA"/>
    <w:rsid w:val="00155FED"/>
    <w:rsid w:val="0017139C"/>
    <w:rsid w:val="00172389"/>
    <w:rsid w:val="00175973"/>
    <w:rsid w:val="001D70F7"/>
    <w:rsid w:val="001E72A5"/>
    <w:rsid w:val="00201359"/>
    <w:rsid w:val="00220BFC"/>
    <w:rsid w:val="002439FA"/>
    <w:rsid w:val="002547FD"/>
    <w:rsid w:val="00265E29"/>
    <w:rsid w:val="00274F4A"/>
    <w:rsid w:val="00276654"/>
    <w:rsid w:val="00283116"/>
    <w:rsid w:val="00293161"/>
    <w:rsid w:val="002934B6"/>
    <w:rsid w:val="002B2B26"/>
    <w:rsid w:val="002C241A"/>
    <w:rsid w:val="002E01DC"/>
    <w:rsid w:val="002E131C"/>
    <w:rsid w:val="002F0E69"/>
    <w:rsid w:val="0032151E"/>
    <w:rsid w:val="003243AB"/>
    <w:rsid w:val="00332008"/>
    <w:rsid w:val="00335656"/>
    <w:rsid w:val="003869B9"/>
    <w:rsid w:val="003C1F83"/>
    <w:rsid w:val="003D1EAC"/>
    <w:rsid w:val="003D5D15"/>
    <w:rsid w:val="003E2780"/>
    <w:rsid w:val="00405782"/>
    <w:rsid w:val="00415AE9"/>
    <w:rsid w:val="00430663"/>
    <w:rsid w:val="00451134"/>
    <w:rsid w:val="004803FF"/>
    <w:rsid w:val="0049599E"/>
    <w:rsid w:val="00496069"/>
    <w:rsid w:val="004969B1"/>
    <w:rsid w:val="004A1E34"/>
    <w:rsid w:val="004A51B2"/>
    <w:rsid w:val="004C6057"/>
    <w:rsid w:val="00524889"/>
    <w:rsid w:val="00534E03"/>
    <w:rsid w:val="00541E29"/>
    <w:rsid w:val="00567615"/>
    <w:rsid w:val="00587914"/>
    <w:rsid w:val="00594100"/>
    <w:rsid w:val="00597AA2"/>
    <w:rsid w:val="005A1DA5"/>
    <w:rsid w:val="005A53A3"/>
    <w:rsid w:val="005A6512"/>
    <w:rsid w:val="005E467C"/>
    <w:rsid w:val="005F1657"/>
    <w:rsid w:val="00621C36"/>
    <w:rsid w:val="006431DA"/>
    <w:rsid w:val="00651328"/>
    <w:rsid w:val="00654E12"/>
    <w:rsid w:val="00692F7A"/>
    <w:rsid w:val="006D5C03"/>
    <w:rsid w:val="006D7BCF"/>
    <w:rsid w:val="006F221D"/>
    <w:rsid w:val="0070459D"/>
    <w:rsid w:val="00707277"/>
    <w:rsid w:val="00740A7C"/>
    <w:rsid w:val="00747394"/>
    <w:rsid w:val="00774336"/>
    <w:rsid w:val="00775F53"/>
    <w:rsid w:val="00782A90"/>
    <w:rsid w:val="007A2CBB"/>
    <w:rsid w:val="007A38A1"/>
    <w:rsid w:val="007A7832"/>
    <w:rsid w:val="007F0318"/>
    <w:rsid w:val="007F0F80"/>
    <w:rsid w:val="0084408C"/>
    <w:rsid w:val="00854AB3"/>
    <w:rsid w:val="008624E0"/>
    <w:rsid w:val="0087091A"/>
    <w:rsid w:val="008751F8"/>
    <w:rsid w:val="0089236C"/>
    <w:rsid w:val="00893A63"/>
    <w:rsid w:val="008A0F26"/>
    <w:rsid w:val="008A1007"/>
    <w:rsid w:val="008A558F"/>
    <w:rsid w:val="008B67B7"/>
    <w:rsid w:val="008C1731"/>
    <w:rsid w:val="008D2120"/>
    <w:rsid w:val="008D274B"/>
    <w:rsid w:val="008D7812"/>
    <w:rsid w:val="008E426F"/>
    <w:rsid w:val="008F70FE"/>
    <w:rsid w:val="009069A2"/>
    <w:rsid w:val="00916C15"/>
    <w:rsid w:val="009355F8"/>
    <w:rsid w:val="00961196"/>
    <w:rsid w:val="00963D96"/>
    <w:rsid w:val="00982D77"/>
    <w:rsid w:val="00990BCA"/>
    <w:rsid w:val="00994F45"/>
    <w:rsid w:val="009B08EC"/>
    <w:rsid w:val="009B3494"/>
    <w:rsid w:val="009B3FA0"/>
    <w:rsid w:val="009C0D11"/>
    <w:rsid w:val="009D14D1"/>
    <w:rsid w:val="009D16EA"/>
    <w:rsid w:val="009D1A13"/>
    <w:rsid w:val="009D4262"/>
    <w:rsid w:val="009F742D"/>
    <w:rsid w:val="00A0393A"/>
    <w:rsid w:val="00A11750"/>
    <w:rsid w:val="00A266B2"/>
    <w:rsid w:val="00A365DD"/>
    <w:rsid w:val="00A37EF0"/>
    <w:rsid w:val="00A45EFE"/>
    <w:rsid w:val="00A46457"/>
    <w:rsid w:val="00A46E90"/>
    <w:rsid w:val="00A71E67"/>
    <w:rsid w:val="00A75EBC"/>
    <w:rsid w:val="00A828C6"/>
    <w:rsid w:val="00A91499"/>
    <w:rsid w:val="00A91C4F"/>
    <w:rsid w:val="00AB2E92"/>
    <w:rsid w:val="00AC55D1"/>
    <w:rsid w:val="00AD02EB"/>
    <w:rsid w:val="00B006CB"/>
    <w:rsid w:val="00B028F1"/>
    <w:rsid w:val="00B2317D"/>
    <w:rsid w:val="00B246CB"/>
    <w:rsid w:val="00B457C8"/>
    <w:rsid w:val="00B80803"/>
    <w:rsid w:val="00BA4AE1"/>
    <w:rsid w:val="00BB5134"/>
    <w:rsid w:val="00BD41B2"/>
    <w:rsid w:val="00BE34F0"/>
    <w:rsid w:val="00BF16BD"/>
    <w:rsid w:val="00C03172"/>
    <w:rsid w:val="00C13445"/>
    <w:rsid w:val="00C15329"/>
    <w:rsid w:val="00C3596C"/>
    <w:rsid w:val="00C4531D"/>
    <w:rsid w:val="00C50E09"/>
    <w:rsid w:val="00C510BF"/>
    <w:rsid w:val="00C51345"/>
    <w:rsid w:val="00C54B48"/>
    <w:rsid w:val="00C87E5E"/>
    <w:rsid w:val="00CB79A1"/>
    <w:rsid w:val="00CE1447"/>
    <w:rsid w:val="00D0154C"/>
    <w:rsid w:val="00D0690D"/>
    <w:rsid w:val="00D2493E"/>
    <w:rsid w:val="00D46095"/>
    <w:rsid w:val="00D65C8A"/>
    <w:rsid w:val="00D86631"/>
    <w:rsid w:val="00DA0AF4"/>
    <w:rsid w:val="00DA0BE0"/>
    <w:rsid w:val="00DA376D"/>
    <w:rsid w:val="00DC176A"/>
    <w:rsid w:val="00DE1E77"/>
    <w:rsid w:val="00E00AA9"/>
    <w:rsid w:val="00E20C10"/>
    <w:rsid w:val="00E27623"/>
    <w:rsid w:val="00E35D06"/>
    <w:rsid w:val="00E4039C"/>
    <w:rsid w:val="00E57257"/>
    <w:rsid w:val="00E64F7E"/>
    <w:rsid w:val="00E66C98"/>
    <w:rsid w:val="00EA4B1C"/>
    <w:rsid w:val="00EB1F2A"/>
    <w:rsid w:val="00EC2094"/>
    <w:rsid w:val="00EE0014"/>
    <w:rsid w:val="00EF64EA"/>
    <w:rsid w:val="00F02A72"/>
    <w:rsid w:val="00F06B73"/>
    <w:rsid w:val="00F177DE"/>
    <w:rsid w:val="00F4229A"/>
    <w:rsid w:val="00F51C37"/>
    <w:rsid w:val="00F766EE"/>
    <w:rsid w:val="00F823F5"/>
    <w:rsid w:val="00F82FFD"/>
    <w:rsid w:val="00F93B5F"/>
    <w:rsid w:val="00F96661"/>
    <w:rsid w:val="00FB4B61"/>
    <w:rsid w:val="00FB74AF"/>
    <w:rsid w:val="00FE4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9783B2"/>
  <w15:docId w15:val="{22E35F31-83FD-43E4-8EAA-557D4510E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29" w:unhideWhenUsed="1" w:qFormat="1"/>
    <w:lsdException w:name="heading 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iPriority="29"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unhideWhenUsed="1"/>
    <w:lsdException w:name="Intense Reference" w:unhideWhenUsed="1"/>
    <w:lsdException w:name="Book Title"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9"/>
    <w:unhideWhenUsed/>
    <w:qFormat/>
  </w:style>
  <w:style w:type="paragraph" w:styleId="Heading1">
    <w:name w:val="heading 1"/>
    <w:basedOn w:val="Normal"/>
    <w:next w:val="Normal"/>
    <w:link w:val="Heading1Char"/>
    <w:uiPriority w:val="99"/>
    <w:semiHidden/>
    <w:unhideWhenUsed/>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9"/>
    <w:semiHidden/>
    <w:unhideWhenUsed/>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9"/>
    <w:semiHidden/>
    <w:unhideWhenUsed/>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9"/>
    <w:semiHidden/>
    <w:unhideWhenUsed/>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9"/>
    <w:semiHidden/>
    <w:unhideWhenUsed/>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9"/>
    <w:semiHidden/>
    <w:unhideWhenUsed/>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9"/>
    <w:semiHidden/>
    <w:unhideWhenUse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semiHidden/>
    <w:unhideWhenUsed/>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semiHidden/>
    <w:unhideWhenUse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semiHidden/>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29"/>
    <w:unhideWhenUsed/>
    <w:qFormat/>
    <w:rPr>
      <w:color w:val="605E5C"/>
      <w:shd w:val="clear" w:color="auto" w:fill="E1DFDD"/>
    </w:rPr>
  </w:style>
  <w:style w:type="character" w:styleId="Emphasis">
    <w:name w:val="Emphasis"/>
    <w:basedOn w:val="DefaultParagraphFont"/>
    <w:uiPriority w:val="99"/>
    <w:semiHidden/>
    <w:unhideWhenUsed/>
    <w:rPr>
      <w:i/>
      <w:iCs/>
    </w:rPr>
  </w:style>
  <w:style w:type="character" w:styleId="HTMLAcronym">
    <w:name w:val="HTML Acronym"/>
    <w:basedOn w:val="DefaultParagraphFont"/>
    <w:uiPriority w:val="99"/>
    <w:semiHidden/>
    <w:unhideWhenUsed/>
  </w:style>
  <w:style w:type="paragraph" w:styleId="EnvelopeAddress">
    <w:name w:val="envelope address"/>
    <w:basedOn w:val="Normal"/>
    <w:uiPriority w:val="99"/>
    <w:semiHidden/>
    <w:unhideWhenUsed/>
    <w:pPr>
      <w:framePr w:w="7938" w:h="1985" w:hRule="exact" w:hSpace="141" w:wrap="auto" w:hAnchor="page" w:xAlign="center" w:yAlign="bottom"/>
      <w:spacing w:after="0" w:line="240" w:lineRule="auto"/>
      <w:ind w:left="2835"/>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pPr>
      <w:spacing w:after="0"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pPr>
      <w:spacing w:after="0" w:line="240" w:lineRule="auto"/>
    </w:pPr>
    <w:rPr>
      <w:i/>
      <w:iCs/>
    </w:rPr>
  </w:style>
  <w:style w:type="character" w:customStyle="1" w:styleId="HTMLAddressChar">
    <w:name w:val="HTML Address Char"/>
    <w:basedOn w:val="DefaultParagraphFont"/>
    <w:link w:val="HTMLAddress"/>
    <w:uiPriority w:val="99"/>
    <w:semiHidden/>
    <w:rPr>
      <w:i/>
      <w:iCs/>
    </w:r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99"/>
    <w:semiHidden/>
    <w:unhideWhenUsed/>
    <w:rPr>
      <w:vertAlign w:val="superscript"/>
    </w:rPr>
  </w:style>
  <w:style w:type="paragraph" w:styleId="Bibliography">
    <w:name w:val="Bibliography"/>
    <w:basedOn w:val="Normal"/>
    <w:next w:val="Normal"/>
    <w:uiPriority w:val="99"/>
    <w:semiHidden/>
    <w:unhideWhenUsed/>
  </w:style>
  <w:style w:type="paragraph" w:styleId="Quote">
    <w:name w:val="Quote"/>
    <w:basedOn w:val="Normal"/>
    <w:next w:val="Normal"/>
    <w:link w:val="QuoteChar"/>
    <w:uiPriority w:val="99"/>
    <w:semiHidden/>
    <w:unhideWhenUsed/>
    <w:rPr>
      <w:i/>
      <w:iCs/>
      <w:color w:val="000000" w:themeColor="text1"/>
    </w:rPr>
  </w:style>
  <w:style w:type="character" w:customStyle="1" w:styleId="QuoteChar">
    <w:name w:val="Quote Char"/>
    <w:basedOn w:val="DefaultParagraphFont"/>
    <w:link w:val="Quote"/>
    <w:uiPriority w:val="29"/>
    <w:rPr>
      <w:i/>
      <w:iCs/>
      <w:color w:val="000000" w:themeColor="text1"/>
    </w:rPr>
  </w:style>
  <w:style w:type="character" w:styleId="HTMLCite">
    <w:name w:val="HTML Cite"/>
    <w:basedOn w:val="DefaultParagraphFont"/>
    <w:uiPriority w:val="99"/>
    <w:semiHidden/>
    <w:unhideWhenUsed/>
    <w:rPr>
      <w:i/>
      <w:iCs/>
    </w:rPr>
  </w:style>
  <w:style w:type="paragraph" w:styleId="IntenseQuote">
    <w:name w:val="Intense Quote"/>
    <w:basedOn w:val="Normal"/>
    <w:next w:val="Normal"/>
    <w:link w:val="IntenseQuoteChar"/>
    <w:uiPriority w:val="99"/>
    <w:semiHidden/>
    <w:unhideWhenUsed/>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HTMLKeyboard">
    <w:name w:val="HTML Keyboard"/>
    <w:basedOn w:val="DefaultParagraphFont"/>
    <w:uiPriority w:val="99"/>
    <w:semiHidden/>
    <w:unhideWhenUsed/>
    <w:rPr>
      <w:rFonts w:ascii="Consolas" w:hAnsi="Consolas" w:cs="Consolas"/>
      <w:sz w:val="20"/>
      <w:szCs w:val="20"/>
    </w:rPr>
  </w:style>
  <w:style w:type="character" w:styleId="HTMLCode">
    <w:name w:val="HTML Code"/>
    <w:basedOn w:val="DefaultParagraphFont"/>
    <w:uiPriority w:val="99"/>
    <w:semiHidden/>
    <w:unhideWhenUsed/>
    <w:rPr>
      <w:rFonts w:ascii="Consolas" w:hAnsi="Consolas" w:cs="Consolas"/>
      <w:sz w:val="20"/>
      <w:szCs w:val="20"/>
    </w:rPr>
  </w:style>
  <w:style w:type="table" w:styleId="TableColumns1">
    <w:name w:val="Table Columns 1"/>
    <w:basedOn w:val="TableNormal"/>
    <w:uiPriority w:val="99"/>
    <w:semiHidden/>
    <w:unhideWhenUse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sz w:val="16"/>
      <w:szCs w:val="16"/>
    </w:rPr>
  </w:style>
  <w:style w:type="paragraph" w:styleId="Date">
    <w:name w:val="Date"/>
    <w:basedOn w:val="Normal"/>
    <w:next w:val="Normal"/>
    <w:link w:val="DateChar"/>
    <w:uiPriority w:val="29"/>
    <w:unhideWhenUsed/>
    <w:qFormat/>
  </w:style>
  <w:style w:type="character" w:customStyle="1" w:styleId="DateChar">
    <w:name w:val="Date Char"/>
    <w:basedOn w:val="DefaultParagraphFont"/>
    <w:link w:val="Date"/>
    <w:uiPriority w:val="99"/>
    <w:semiHidden/>
  </w:style>
  <w:style w:type="character" w:styleId="HTMLDefinition">
    <w:name w:val="HTML Definition"/>
    <w:basedOn w:val="DefaultParagraphFont"/>
    <w:uiPriority w:val="99"/>
    <w:semiHidden/>
    <w:unhideWhenUsed/>
    <w:rPr>
      <w:i/>
      <w:iCs/>
    </w:rPr>
  </w:style>
  <w:style w:type="table" w:styleId="Table3Deffects1">
    <w:name w:val="Table 3D effects 1"/>
    <w:basedOn w:val="TableNormal"/>
    <w:uiPriority w:val="99"/>
    <w:semiHidden/>
    <w:unhideWhenUse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Strong">
    <w:name w:val="Strong"/>
    <w:basedOn w:val="DefaultParagraphFont"/>
    <w:uiPriority w:val="99"/>
    <w:semiHidden/>
    <w:unhideWhenUsed/>
    <w:rPr>
      <w:b/>
      <w:bCs/>
    </w:rPr>
  </w:style>
  <w:style w:type="character" w:styleId="IntenseEmphasis">
    <w:name w:val="Intense Emphasis"/>
    <w:basedOn w:val="DefaultParagraphFont"/>
    <w:uiPriority w:val="99"/>
    <w:semiHidden/>
    <w:unhideWhenUsed/>
    <w:rPr>
      <w:b/>
      <w:bCs/>
      <w:i/>
      <w:iCs/>
      <w:color w:val="4472C4" w:themeColor="accent1"/>
    </w:rPr>
  </w:style>
  <w:style w:type="character" w:styleId="SubtleEmphasis">
    <w:name w:val="Subtle Emphasis"/>
    <w:basedOn w:val="DefaultParagraphFont"/>
    <w:uiPriority w:val="99"/>
    <w:semiHidden/>
    <w:unhideWhenUsed/>
    <w:rPr>
      <w:i/>
      <w:iCs/>
      <w:color w:val="808080" w:themeColor="text1" w:themeTint="7F"/>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zCs w:val="24"/>
      <w:shd w:val="pct20" w:color="auto" w:fill="auto"/>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2F5496" w:themeColor="accent1" w:themeShade="BF"/>
      <w:sz w:val="28"/>
      <w:szCs w:val="28"/>
    </w:rPr>
  </w:style>
  <w:style w:type="paragraph" w:styleId="TOCHeading">
    <w:name w:val="TOC Heading"/>
    <w:basedOn w:val="Heading1"/>
    <w:next w:val="Normal"/>
    <w:uiPriority w:val="99"/>
    <w:semiHidden/>
    <w:unhideWhenUsed/>
    <w:pPr>
      <w:outlineLvl w:val="9"/>
    </w:pPr>
  </w:style>
  <w:style w:type="character" w:styleId="HTMLSample">
    <w:name w:val="HTML Sample"/>
    <w:basedOn w:val="DefaultParagraphFont"/>
    <w:uiPriority w:val="99"/>
    <w:semiHidden/>
    <w:unhideWhenUsed/>
    <w:rPr>
      <w:rFonts w:ascii="Consolas" w:hAnsi="Consolas" w:cs="Consolas"/>
      <w:sz w:val="24"/>
      <w:szCs w:val="24"/>
    </w:rPr>
  </w:style>
  <w:style w:type="paragraph" w:styleId="DocumentMap">
    <w:name w:val="Document Map"/>
    <w:basedOn w:val="Normal"/>
    <w:link w:val="DocumentMapChar"/>
    <w:uiPriority w:val="99"/>
    <w:semiHidden/>
    <w:unhideWhenUse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paragraph" w:styleId="Closing">
    <w:name w:val="Closing"/>
    <w:basedOn w:val="Normal"/>
    <w:link w:val="ClosingChar"/>
    <w:uiPriority w:val="99"/>
    <w:semiHidden/>
    <w:unhideWhenUsed/>
    <w:pPr>
      <w:spacing w:after="0" w:line="240" w:lineRule="auto"/>
      <w:ind w:left="4252"/>
    </w:pPr>
  </w:style>
  <w:style w:type="character" w:customStyle="1" w:styleId="ClosingChar">
    <w:name w:val="Closing Char"/>
    <w:basedOn w:val="DefaultParagraphFont"/>
    <w:link w:val="Closing"/>
    <w:uiPriority w:val="99"/>
    <w:semiHidden/>
  </w:style>
  <w:style w:type="table" w:styleId="LightGrid">
    <w:name w:val="Light Grid"/>
    <w:basedOn w:val="TableNormal"/>
    <w:uiPriority w:val="99"/>
    <w:semiHidden/>
    <w:unhideWhenUse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99"/>
    <w:semiHidden/>
    <w:unhideWhenUse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99"/>
    <w:semiHidden/>
    <w:unhideWhenUse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99"/>
    <w:semiHidden/>
    <w:unhideWhenUse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99"/>
    <w:semiHidden/>
    <w:unhideWhenUsed/>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99"/>
    <w:semiHidden/>
    <w:unhideWhenUse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ColorfulGrid">
    <w:name w:val="Colorful Grid"/>
    <w:basedOn w:val="TableNormal"/>
    <w:uiPriority w:val="99"/>
    <w:semiHidden/>
    <w:unhideWhenUs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unhideWhenUs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99"/>
    <w:semiHidden/>
    <w:unhideWhenUs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99"/>
    <w:semiHidden/>
    <w:unhideWhenUs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99"/>
    <w:semiHidden/>
    <w:unhideWhenUs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99"/>
    <w:semiHidden/>
    <w:unhideWhenUs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99"/>
    <w:semiHidden/>
    <w:unhideWhenUs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TableGrid1">
    <w:name w:val="Table Grid 1"/>
    <w:basedOn w:val="TableNormal"/>
    <w:uiPriority w:val="99"/>
    <w:semiHidden/>
    <w:unhideWhenUse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uiPriority w:val="99"/>
    <w:unhideWhenUs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
    <w:name w:val="Medium Grid 1"/>
    <w:basedOn w:val="TableNormal"/>
    <w:uiPriority w:val="99"/>
    <w:semiHidden/>
    <w:unhideWhenUse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unhideWhenUsed/>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99"/>
    <w:semiHidden/>
    <w:unhideWhenUse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99"/>
    <w:semiHidden/>
    <w:unhideWhenUse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99"/>
    <w:semiHidden/>
    <w:unhideWhenUse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99"/>
    <w:semiHidden/>
    <w:unhideWhenUsed/>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99"/>
    <w:semiHidden/>
    <w:unhideWhenUse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99"/>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unhideWhenUs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99"/>
    <w:semiHidden/>
    <w:unhideWhenUs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99"/>
    <w:semiHidden/>
    <w:unhideWhenUs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99"/>
    <w:semiHidden/>
    <w:unhideWhenUs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99"/>
    <w:semiHidden/>
    <w:unhideWhenUs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99"/>
    <w:semiHidden/>
    <w:unhideWhenUs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paragraph" w:styleId="Index1">
    <w:name w:val="index 1"/>
    <w:basedOn w:val="Normal"/>
    <w:next w:val="Normal"/>
    <w:autoRedefine/>
    <w:uiPriority w:val="99"/>
    <w:semiHidden/>
    <w:unhideWhenUsed/>
    <w:pPr>
      <w:spacing w:after="0" w:line="240" w:lineRule="auto"/>
      <w:ind w:left="220" w:hanging="220"/>
    </w:pPr>
  </w:style>
  <w:style w:type="paragraph" w:styleId="Index2">
    <w:name w:val="index 2"/>
    <w:basedOn w:val="Normal"/>
    <w:next w:val="Normal"/>
    <w:autoRedefine/>
    <w:uiPriority w:val="99"/>
    <w:semiHidden/>
    <w:unhideWhenUsed/>
    <w:pPr>
      <w:spacing w:after="0" w:line="240" w:lineRule="auto"/>
      <w:ind w:left="440" w:hanging="220"/>
    </w:pPr>
  </w:style>
  <w:style w:type="paragraph" w:styleId="Index3">
    <w:name w:val="index 3"/>
    <w:basedOn w:val="Normal"/>
    <w:next w:val="Normal"/>
    <w:autoRedefine/>
    <w:uiPriority w:val="99"/>
    <w:semiHidden/>
    <w:unhideWhenUsed/>
    <w:pPr>
      <w:spacing w:after="0" w:line="240" w:lineRule="auto"/>
      <w:ind w:left="660" w:hanging="220"/>
    </w:pPr>
  </w:style>
  <w:style w:type="paragraph" w:styleId="Index4">
    <w:name w:val="index 4"/>
    <w:basedOn w:val="Normal"/>
    <w:next w:val="Normal"/>
    <w:autoRedefine/>
    <w:uiPriority w:val="99"/>
    <w:semiHidden/>
    <w:unhideWhenUsed/>
    <w:pPr>
      <w:spacing w:after="0" w:line="240" w:lineRule="auto"/>
      <w:ind w:left="880" w:hanging="220"/>
    </w:pPr>
  </w:style>
  <w:style w:type="paragraph" w:styleId="Index5">
    <w:name w:val="index 5"/>
    <w:basedOn w:val="Normal"/>
    <w:next w:val="Normal"/>
    <w:autoRedefine/>
    <w:uiPriority w:val="99"/>
    <w:semiHidden/>
    <w:unhideWhenUsed/>
    <w:pPr>
      <w:spacing w:after="0" w:line="240" w:lineRule="auto"/>
      <w:ind w:left="1100" w:hanging="220"/>
    </w:pPr>
  </w:style>
  <w:style w:type="paragraph" w:styleId="Index6">
    <w:name w:val="index 6"/>
    <w:basedOn w:val="Normal"/>
    <w:next w:val="Normal"/>
    <w:autoRedefine/>
    <w:uiPriority w:val="99"/>
    <w:semiHidden/>
    <w:unhideWhenUsed/>
    <w:pPr>
      <w:spacing w:after="0" w:line="240" w:lineRule="auto"/>
      <w:ind w:left="1320" w:hanging="220"/>
    </w:pPr>
  </w:style>
  <w:style w:type="paragraph" w:styleId="Index7">
    <w:name w:val="index 7"/>
    <w:basedOn w:val="Normal"/>
    <w:next w:val="Normal"/>
    <w:autoRedefine/>
    <w:uiPriority w:val="99"/>
    <w:semiHidden/>
    <w:unhideWhenUsed/>
    <w:pPr>
      <w:spacing w:after="0" w:line="240" w:lineRule="auto"/>
      <w:ind w:left="1540" w:hanging="220"/>
    </w:pPr>
  </w:style>
  <w:style w:type="paragraph" w:styleId="Index8">
    <w:name w:val="index 8"/>
    <w:basedOn w:val="Normal"/>
    <w:next w:val="Normal"/>
    <w:autoRedefine/>
    <w:uiPriority w:val="99"/>
    <w:semiHidden/>
    <w:unhideWhenUsed/>
    <w:pPr>
      <w:spacing w:after="0" w:line="240" w:lineRule="auto"/>
      <w:ind w:left="1760" w:hanging="220"/>
    </w:pPr>
  </w:style>
  <w:style w:type="paragraph" w:styleId="Index9">
    <w:name w:val="index 9"/>
    <w:basedOn w:val="Normal"/>
    <w:next w:val="Normal"/>
    <w:autoRedefine/>
    <w:uiPriority w:val="99"/>
    <w:semiHidden/>
    <w:unhideWhenUsed/>
    <w:pPr>
      <w:spacing w:after="0" w:line="240" w:lineRule="auto"/>
      <w:ind w:left="1980" w:hanging="220"/>
    </w:pPr>
  </w:style>
  <w:style w:type="paragraph" w:styleId="Caption">
    <w:name w:val="caption"/>
    <w:basedOn w:val="Normal"/>
    <w:next w:val="Normal"/>
    <w:uiPriority w:val="99"/>
    <w:semiHidden/>
    <w:unhideWhenUsed/>
    <w:pPr>
      <w:spacing w:after="200" w:line="240" w:lineRule="auto"/>
    </w:pPr>
    <w:rPr>
      <w:b/>
      <w:bCs/>
      <w:color w:val="4472C4" w:themeColor="accent1"/>
      <w:sz w:val="18"/>
      <w:szCs w:val="18"/>
    </w:rPr>
  </w:style>
  <w:style w:type="character" w:styleId="FollowedHyperlink">
    <w:name w:val="FollowedHyperlink"/>
    <w:basedOn w:val="DefaultParagraphFont"/>
    <w:uiPriority w:val="99"/>
    <w:semiHidden/>
    <w:unhideWhenUsed/>
    <w:rPr>
      <w:color w:val="954F72" w:themeColor="followedHyperlink"/>
      <w:u w:val="single"/>
    </w:rPr>
  </w:style>
  <w:style w:type="paragraph" w:styleId="List">
    <w:name w:val="List"/>
    <w:basedOn w:val="Normal"/>
    <w:uiPriority w:val="99"/>
    <w:semiHidden/>
    <w:unhideWhenUsed/>
    <w:pPr>
      <w:ind w:left="283" w:hanging="283"/>
      <w:contextualSpacing/>
    </w:pPr>
  </w:style>
  <w:style w:type="paragraph" w:styleId="List2">
    <w:name w:val="List 2"/>
    <w:basedOn w:val="Normal"/>
    <w:uiPriority w:val="99"/>
    <w:semiHidden/>
    <w:unhideWhenUsed/>
    <w:pPr>
      <w:ind w:left="566" w:hanging="283"/>
      <w:contextualSpacing/>
    </w:pPr>
  </w:style>
  <w:style w:type="paragraph" w:styleId="List3">
    <w:name w:val="List 3"/>
    <w:basedOn w:val="Normal"/>
    <w:uiPriority w:val="99"/>
    <w:semiHidden/>
    <w:unhideWhenUsed/>
    <w:pPr>
      <w:ind w:left="849" w:hanging="283"/>
      <w:contextualSpacing/>
    </w:pPr>
  </w:style>
  <w:style w:type="paragraph" w:styleId="List4">
    <w:name w:val="List 4"/>
    <w:basedOn w:val="Normal"/>
    <w:uiPriority w:val="99"/>
    <w:semiHidden/>
    <w:unhideWhenUsed/>
    <w:pPr>
      <w:ind w:left="1132" w:hanging="283"/>
      <w:contextualSpacing/>
    </w:pPr>
  </w:style>
  <w:style w:type="paragraph" w:styleId="List5">
    <w:name w:val="List 5"/>
    <w:basedOn w:val="Normal"/>
    <w:uiPriority w:val="99"/>
    <w:semiHidden/>
    <w:unhideWhenUsed/>
    <w:pPr>
      <w:ind w:left="1415" w:hanging="283"/>
      <w:contextualSpacing/>
    </w:pPr>
  </w:style>
  <w:style w:type="paragraph" w:styleId="ListNumber">
    <w:name w:val="List Number"/>
    <w:basedOn w:val="Normal"/>
    <w:uiPriority w:val="99"/>
    <w:semiHidden/>
    <w:unhideWhenUsed/>
    <w:pPr>
      <w:numPr>
        <w:numId w:val="1"/>
      </w:numPr>
      <w:contextualSpacing/>
    </w:pPr>
  </w:style>
  <w:style w:type="paragraph" w:styleId="ListNumber2">
    <w:name w:val="List Number 2"/>
    <w:basedOn w:val="Normal"/>
    <w:uiPriority w:val="99"/>
    <w:semiHidden/>
    <w:unhideWhenUsed/>
    <w:pPr>
      <w:numPr>
        <w:numId w:val="2"/>
      </w:numPr>
      <w:contextualSpacing/>
    </w:pPr>
  </w:style>
  <w:style w:type="paragraph" w:styleId="ListNumber3">
    <w:name w:val="List Number 3"/>
    <w:basedOn w:val="Normal"/>
    <w:uiPriority w:val="99"/>
    <w:semiHidden/>
    <w:unhideWhenUsed/>
    <w:pPr>
      <w:numPr>
        <w:numId w:val="3"/>
      </w:numPr>
      <w:contextualSpacing/>
    </w:pPr>
  </w:style>
  <w:style w:type="paragraph" w:styleId="ListNumber4">
    <w:name w:val="List Number 4"/>
    <w:basedOn w:val="Normal"/>
    <w:uiPriority w:val="99"/>
    <w:semiHidden/>
    <w:unhideWhenUsed/>
    <w:pPr>
      <w:numPr>
        <w:numId w:val="4"/>
      </w:numPr>
      <w:contextualSpacing/>
    </w:pPr>
  </w:style>
  <w:style w:type="paragraph" w:styleId="ListNumber5">
    <w:name w:val="List Number 5"/>
    <w:basedOn w:val="Normal"/>
    <w:uiPriority w:val="99"/>
    <w:semiHidden/>
    <w:unhideWhenUsed/>
    <w:pPr>
      <w:numPr>
        <w:numId w:val="5"/>
      </w:numPr>
      <w:contextualSpacing/>
    </w:pPr>
  </w:style>
  <w:style w:type="paragraph" w:styleId="ListBullet">
    <w:name w:val="List Bullet"/>
    <w:basedOn w:val="Normal"/>
    <w:uiPriority w:val="99"/>
    <w:semiHidden/>
    <w:unhideWhenUsed/>
    <w:pPr>
      <w:numPr>
        <w:numId w:val="6"/>
      </w:numPr>
      <w:contextualSpacing/>
    </w:pPr>
  </w:style>
  <w:style w:type="paragraph" w:styleId="ListBullet2">
    <w:name w:val="List Bullet 2"/>
    <w:basedOn w:val="Normal"/>
    <w:uiPriority w:val="99"/>
    <w:semiHidden/>
    <w:unhideWhenUsed/>
    <w:pPr>
      <w:numPr>
        <w:numId w:val="7"/>
      </w:numPr>
      <w:contextualSpacing/>
    </w:pPr>
  </w:style>
  <w:style w:type="paragraph" w:styleId="ListBullet3">
    <w:name w:val="List Bullet 3"/>
    <w:basedOn w:val="Normal"/>
    <w:uiPriority w:val="99"/>
    <w:semiHidden/>
    <w:unhideWhenUsed/>
    <w:pPr>
      <w:numPr>
        <w:numId w:val="8"/>
      </w:numPr>
      <w:contextualSpacing/>
    </w:pPr>
  </w:style>
  <w:style w:type="paragraph" w:styleId="ListBullet4">
    <w:name w:val="List Bullet 4"/>
    <w:basedOn w:val="Normal"/>
    <w:uiPriority w:val="99"/>
    <w:semiHidden/>
    <w:unhideWhenUsed/>
    <w:pPr>
      <w:numPr>
        <w:numId w:val="9"/>
      </w:numPr>
      <w:contextualSpacing/>
    </w:pPr>
  </w:style>
  <w:style w:type="paragraph" w:styleId="ListBullet5">
    <w:name w:val="List Bullet 5"/>
    <w:basedOn w:val="Normal"/>
    <w:uiPriority w:val="99"/>
    <w:semiHidden/>
    <w:unhideWhenUsed/>
    <w:pPr>
      <w:numPr>
        <w:numId w:val="10"/>
      </w:numPr>
      <w:contextualSpacing/>
    </w:pPr>
  </w:style>
  <w:style w:type="table" w:styleId="LightList">
    <w:name w:val="Light List"/>
    <w:basedOn w:val="TableNormal"/>
    <w:uiPriority w:val="99"/>
    <w:semiHidden/>
    <w:unhideWhenUse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99"/>
    <w:semiHidden/>
    <w:unhideWhenUse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99"/>
    <w:semiHidden/>
    <w:unhideWhenUse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99"/>
    <w:semiHidden/>
    <w:unhideWhenUse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99"/>
    <w:semiHidden/>
    <w:unhideWhenUsed/>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99"/>
    <w:semiHidden/>
    <w:unhideWhenUse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paragraph" w:styleId="ListContinue">
    <w:name w:val="List Continue"/>
    <w:basedOn w:val="Normal"/>
    <w:uiPriority w:val="99"/>
    <w:semiHidden/>
    <w:unhideWhenUsed/>
    <w:pPr>
      <w:spacing w:after="120"/>
      <w:ind w:left="283"/>
      <w:contextualSpacing/>
    </w:pPr>
  </w:style>
  <w:style w:type="paragraph" w:styleId="ListContinue2">
    <w:name w:val="List Continue 2"/>
    <w:basedOn w:val="Normal"/>
    <w:uiPriority w:val="99"/>
    <w:semiHidden/>
    <w:unhideWhenUsed/>
    <w:pPr>
      <w:spacing w:after="120"/>
      <w:ind w:left="566"/>
      <w:contextualSpacing/>
    </w:pPr>
  </w:style>
  <w:style w:type="paragraph" w:styleId="ListContinue3">
    <w:name w:val="List Continue 3"/>
    <w:basedOn w:val="Normal"/>
    <w:uiPriority w:val="99"/>
    <w:semiHidden/>
    <w:unhideWhenUsed/>
    <w:pPr>
      <w:spacing w:after="120"/>
      <w:ind w:left="849"/>
      <w:contextualSpacing/>
    </w:pPr>
  </w:style>
  <w:style w:type="paragraph" w:styleId="ListContinue4">
    <w:name w:val="List Continue 4"/>
    <w:basedOn w:val="Normal"/>
    <w:uiPriority w:val="99"/>
    <w:semiHidden/>
    <w:unhideWhenUsed/>
    <w:pPr>
      <w:spacing w:after="120"/>
      <w:ind w:left="1132"/>
      <w:contextualSpacing/>
    </w:pPr>
  </w:style>
  <w:style w:type="paragraph" w:styleId="ListContinue5">
    <w:name w:val="List Continue 5"/>
    <w:basedOn w:val="Normal"/>
    <w:uiPriority w:val="99"/>
    <w:semiHidden/>
    <w:unhideWhenUsed/>
    <w:pPr>
      <w:spacing w:after="120"/>
      <w:ind w:left="1415"/>
      <w:contextualSpacing/>
    </w:pPr>
  </w:style>
  <w:style w:type="table" w:styleId="ColorfulList">
    <w:name w:val="Colorful List"/>
    <w:basedOn w:val="TableNormal"/>
    <w:uiPriority w:val="99"/>
    <w:semiHidden/>
    <w:unhideWhenUse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unhideWhenUsed/>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99"/>
    <w:semiHidden/>
    <w:unhideWhenUsed/>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99"/>
    <w:semiHidden/>
    <w:unhideWhenUsed/>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99"/>
    <w:semiHidden/>
    <w:unhideWhenUsed/>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99"/>
    <w:semiHidden/>
    <w:unhideWhenUsed/>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99"/>
    <w:semiHidden/>
    <w:unhideWhenUsed/>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DarkList">
    <w:name w:val="Dark List"/>
    <w:basedOn w:val="TableNormal"/>
    <w:uiPriority w:val="99"/>
    <w:semiHidden/>
    <w:unhideWhenUse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unhideWhenUsed/>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99"/>
    <w:semiHidden/>
    <w:unhideWhenUsed/>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99"/>
    <w:semiHidden/>
    <w:unhideWhenUsed/>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99"/>
    <w:semiHidden/>
    <w:unhideWhenUsed/>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99"/>
    <w:semiHidden/>
    <w:unhideWhenUsed/>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99"/>
    <w:semiHidden/>
    <w:unhideWhenUsed/>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MediumList1">
    <w:name w:val="Medium List 1"/>
    <w:basedOn w:val="TableNormal"/>
    <w:uiPriority w:val="99"/>
    <w:semiHidden/>
    <w:unhideWhenUse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99"/>
    <w:semiHidden/>
    <w:unhideWhenUsed/>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99"/>
    <w:semiHidden/>
    <w:unhideWhenUsed/>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99"/>
    <w:semiHidden/>
    <w:unhideWhenUsed/>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99"/>
    <w:semiHidden/>
    <w:unhideWhenUsed/>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99"/>
    <w:semiHidden/>
    <w:unhideWhenUsed/>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99"/>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Typewriter">
    <w:name w:val="HTML Typewriter"/>
    <w:basedOn w:val="DefaultParagraphFont"/>
    <w:uiPriority w:val="99"/>
    <w:semiHidden/>
    <w:unhideWhenUsed/>
    <w:rPr>
      <w:rFonts w:ascii="Consolas" w:hAnsi="Consolas" w:cs="Consolas"/>
      <w:sz w:val="20"/>
      <w:szCs w:val="20"/>
    </w:rPr>
  </w:style>
  <w:style w:type="character" w:styleId="CommentReference">
    <w:name w:val="annotation reference"/>
    <w:basedOn w:val="DefaultParagraphFont"/>
    <w:uiPriority w:val="99"/>
    <w:semiHidden/>
    <w:unhideWhenUsed/>
    <w:rPr>
      <w:sz w:val="16"/>
      <w:szCs w:val="16"/>
    </w:rPr>
  </w:style>
  <w:style w:type="paragraph" w:styleId="NormalWeb">
    <w:name w:val="Normal (Web)"/>
    <w:basedOn w:val="Normal"/>
    <w:uiPriority w:val="99"/>
    <w:semiHidden/>
    <w:unhideWhenUsed/>
    <w:rPr>
      <w:rFonts w:ascii="Times New Roman" w:hAnsi="Times New Roman" w:cs="Times New Roman"/>
      <w:sz w:val="24"/>
      <w:szCs w:val="24"/>
    </w:rPr>
  </w:style>
  <w:style w:type="paragraph" w:styleId="BlockText">
    <w:name w:val="Block Text"/>
    <w:basedOn w:val="Normal"/>
    <w:uiPriority w:val="99"/>
    <w:semiHidden/>
    <w:unhideWhenUsed/>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eastAsiaTheme="minorEastAsia"/>
      <w:i/>
      <w:iCs/>
      <w:color w:val="4472C4" w:themeColor="accent1"/>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LineNumber">
    <w:name w:val="line number"/>
    <w:basedOn w:val="DefaultParagraphFont"/>
    <w:uiPriority w:val="99"/>
    <w:semiHidden/>
    <w:unhideWhenUsed/>
  </w:style>
  <w:style w:type="character" w:styleId="PageNumber">
    <w:name w:val="page number"/>
    <w:basedOn w:val="DefaultParagraphFont"/>
    <w:uiPriority w:val="99"/>
    <w:semiHidden/>
    <w:unhideWhenUsed/>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styleId="LightShading">
    <w:name w:val="Light Shading"/>
    <w:basedOn w:val="TableNormal"/>
    <w:uiPriority w:val="99"/>
    <w:semiHidden/>
    <w:unhideWhenUse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unhideWhenUsed/>
    <w:qFormat/>
    <w:pPr>
      <w:ind w:left="720"/>
      <w:contextualSpacing/>
    </w:pPr>
  </w:style>
  <w:style w:type="paragraph" w:styleId="HTMLPreformatted">
    <w:name w:val="HTML Preformatted"/>
    <w:basedOn w:val="Normal"/>
    <w:link w:val="HTMLPreformattedChar"/>
    <w:uiPriority w:val="99"/>
    <w:semiHidden/>
    <w:unhideWhenUsed/>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sz w:val="20"/>
      <w:szCs w:val="20"/>
    </w:rPr>
  </w:style>
  <w:style w:type="character" w:styleId="IntenseReference">
    <w:name w:val="Intense Reference"/>
    <w:basedOn w:val="DefaultParagraphFont"/>
    <w:uiPriority w:val="99"/>
    <w:semiHidden/>
    <w:unhideWhenUsed/>
    <w:rPr>
      <w:b/>
      <w:bCs/>
      <w:smallCaps/>
      <w:color w:val="ED7D31" w:themeColor="accent2"/>
      <w:spacing w:val="5"/>
      <w:u w:val="single"/>
    </w:rPr>
  </w:style>
  <w:style w:type="character" w:styleId="SubtleReference">
    <w:name w:val="Subtle Reference"/>
    <w:basedOn w:val="DefaultParagraphFont"/>
    <w:uiPriority w:val="99"/>
    <w:semiHidden/>
    <w:unhideWhenUsed/>
    <w:rPr>
      <w:smallCaps/>
      <w:color w:val="ED7D31" w:themeColor="accent2"/>
      <w:u w:val="single"/>
    </w:rPr>
  </w:style>
  <w:style w:type="paragraph" w:styleId="BodyTextFirstIndent">
    <w:name w:val="Body Text First Indent"/>
    <w:basedOn w:val="BodyText"/>
    <w:link w:val="BodyTextFirstIndentChar"/>
    <w:uiPriority w:val="99"/>
    <w:semiHidden/>
    <w:unhideWhenUsed/>
    <w:pPr>
      <w:spacing w:after="160"/>
      <w:ind w:firstLine="36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uiPriority w:val="99"/>
    <w:semiHidden/>
  </w:style>
  <w:style w:type="paragraph" w:styleId="BodyTextIndent2">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basedOn w:val="DefaultParagraphFont"/>
    <w:link w:val="BodyTextIndent3"/>
    <w:uiPriority w:val="99"/>
    <w:semiHidden/>
    <w:rPr>
      <w:sz w:val="16"/>
      <w:szCs w:val="16"/>
    </w:rPr>
  </w:style>
  <w:style w:type="paragraph" w:styleId="BodyTextFirstIndent2">
    <w:name w:val="Body Text First Indent 2"/>
    <w:basedOn w:val="BodyTextIndent"/>
    <w:link w:val="BodyTextFirstIndent2Char"/>
    <w:uiPriority w:val="99"/>
    <w:semiHidden/>
    <w:unhideWhenUsed/>
    <w:pPr>
      <w:spacing w:after="160"/>
      <w:ind w:left="360" w:firstLine="360"/>
    </w:pPr>
  </w:style>
  <w:style w:type="character" w:customStyle="1" w:styleId="BodyTextFirstIndent2Char">
    <w:name w:val="Body Text First Indent 2 Char"/>
    <w:basedOn w:val="BodyTextIndentChar"/>
    <w:link w:val="BodyTextFirstIndent2"/>
    <w:uiPriority w:val="99"/>
    <w:semiHidden/>
  </w:style>
  <w:style w:type="paragraph" w:styleId="NormalIndent">
    <w:name w:val="Normal Indent"/>
    <w:basedOn w:val="Normal"/>
    <w:uiPriority w:val="99"/>
    <w:semiHidden/>
    <w:unhideWhenUsed/>
    <w:pPr>
      <w:ind w:left="708"/>
    </w:p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paragraph" w:styleId="NoSpacing">
    <w:name w:val="No Spacing"/>
    <w:uiPriority w:val="99"/>
    <w:semiHidden/>
    <w:unhideWhenUsed/>
    <w:pPr>
      <w:spacing w:after="0" w:line="240" w:lineRule="auto"/>
    </w:pPr>
  </w:style>
  <w:style w:type="paragraph" w:styleId="Signature">
    <w:name w:val="Signature"/>
    <w:basedOn w:val="Normal"/>
    <w:link w:val="SignatureChar"/>
    <w:uiPriority w:val="99"/>
    <w:semiHidden/>
    <w:unhideWhenUsed/>
    <w:pPr>
      <w:spacing w:after="0" w:line="240" w:lineRule="auto"/>
      <w:ind w:left="4252"/>
    </w:pPr>
  </w:style>
  <w:style w:type="character" w:customStyle="1" w:styleId="SignatureChar">
    <w:name w:val="Signature Char"/>
    <w:basedOn w:val="DefaultParagraphFont"/>
    <w:link w:val="Signature"/>
    <w:uiPriority w:val="99"/>
    <w:semiHidden/>
  </w:style>
  <w:style w:type="paragraph" w:styleId="E-mailSignature">
    <w:name w:val="E-mail Signature"/>
    <w:basedOn w:val="Normal"/>
    <w:link w:val="E-mailSignatureChar"/>
    <w:uiPriority w:val="99"/>
    <w:semiHidden/>
    <w:unhideWhenUsed/>
    <w:pPr>
      <w:spacing w:after="0" w:line="240" w:lineRule="auto"/>
    </w:pPr>
  </w:style>
  <w:style w:type="character" w:customStyle="1" w:styleId="E-mailSignatureChar">
    <w:name w:val="E-mail Signature Char"/>
    <w:basedOn w:val="DefaultParagraphFont"/>
    <w:link w:val="E-mailSignature"/>
    <w:uiPriority w:val="99"/>
    <w:semiHidden/>
  </w:style>
  <w:style w:type="paragraph" w:styleId="Subtitle">
    <w:name w:val="Subtitle"/>
    <w:basedOn w:val="Normal"/>
    <w:next w:val="Normal"/>
    <w:link w:val="SubtitleChar"/>
    <w:uiPriority w:val="99"/>
    <w:semiHidden/>
    <w:unhideWhenUsed/>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472C4" w:themeColor="accent1"/>
      <w:spacing w:val="15"/>
      <w:sz w:val="24"/>
      <w:szCs w:val="24"/>
    </w:rPr>
  </w:style>
  <w:style w:type="paragraph" w:styleId="TableofFigures">
    <w:name w:val="table of figures"/>
    <w:basedOn w:val="Normal"/>
    <w:next w:val="Normal"/>
    <w:uiPriority w:val="99"/>
    <w:semiHidden/>
    <w:unhideWhenUsed/>
    <w:pPr>
      <w:spacing w:after="0"/>
    </w:pPr>
  </w:style>
  <w:style w:type="paragraph" w:styleId="TableofAuthorities">
    <w:name w:val="table of authorities"/>
    <w:basedOn w:val="Normal"/>
    <w:next w:val="Normal"/>
    <w:uiPriority w:val="99"/>
    <w:semiHidden/>
    <w:unhideWhenUsed/>
    <w:pPr>
      <w:spacing w:after="0"/>
      <w:ind w:left="220" w:hanging="220"/>
    </w:pPr>
  </w:style>
  <w:style w:type="table" w:styleId="TableClassic1">
    <w:name w:val="Table Classic 1"/>
    <w:basedOn w:val="TableNormal"/>
    <w:uiPriority w:val="99"/>
    <w:semiHidden/>
    <w:unhideWhenUse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uiPriority w:val="99"/>
    <w:semiHidden/>
    <w:unhideWhenUse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Subtle1">
    <w:name w:val="Table Subtle 1"/>
    <w:basedOn w:val="TableNormal"/>
    <w:uiPriority w:val="99"/>
    <w:semiHidden/>
    <w:unhideWhenUse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Web1">
    <w:name w:val="Table Web 1"/>
    <w:basedOn w:val="TableNormal"/>
    <w:uiPriority w:val="99"/>
    <w:semiHidden/>
    <w:unhideWhenUse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sz w:val="21"/>
      <w:szCs w:val="21"/>
    </w:rPr>
  </w:style>
  <w:style w:type="character" w:styleId="PlaceholderText">
    <w:name w:val="Placeholder Text"/>
    <w:basedOn w:val="DefaultParagraphFont"/>
    <w:uiPriority w:val="99"/>
    <w:semiHidden/>
    <w:unhideWhenUsed/>
    <w:rPr>
      <w:color w:val="808080"/>
    </w:r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Pr>
      <w:rFonts w:ascii="Consolas" w:hAnsi="Consolas" w:cs="Consolas"/>
      <w:sz w:val="20"/>
      <w:szCs w:val="20"/>
    </w:rPr>
  </w:style>
  <w:style w:type="table" w:styleId="TableTheme">
    <w:name w:val="Table Theme"/>
    <w:basedOn w:val="TableNormal"/>
    <w:uiPriority w:val="99"/>
    <w:semiHidden/>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semiHidden/>
    <w:unhideWhenUsed/>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323E4F" w:themeColor="text2" w:themeShade="BF"/>
      <w:spacing w:val="5"/>
      <w:kern w:val="28"/>
      <w:sz w:val="52"/>
      <w:szCs w:val="5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styleId="NoteHeading">
    <w:name w:val="Note Heading"/>
    <w:basedOn w:val="Normal"/>
    <w:next w:val="Normal"/>
    <w:link w:val="NoteHeadingChar"/>
    <w:uiPriority w:val="99"/>
    <w:semiHidden/>
    <w:unhideWhenUsed/>
    <w:pPr>
      <w:spacing w:after="0" w:line="240" w:lineRule="auto"/>
    </w:pPr>
  </w:style>
  <w:style w:type="character" w:customStyle="1" w:styleId="NoteHeadingChar">
    <w:name w:val="Note Heading Char"/>
    <w:basedOn w:val="DefaultParagraphFont"/>
    <w:link w:val="NoteHeading"/>
    <w:uiPriority w:val="99"/>
    <w:semiHidden/>
  </w:style>
  <w:style w:type="character" w:styleId="BookTitle">
    <w:name w:val="Book Title"/>
    <w:basedOn w:val="DefaultParagraphFont"/>
    <w:uiPriority w:val="99"/>
    <w:semiHidden/>
    <w:unhideWhenUsed/>
    <w:rPr>
      <w:b/>
      <w:bCs/>
      <w:smallCaps/>
      <w:spacing w:val="5"/>
    </w:r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99"/>
    <w:semiHidden/>
    <w:unhideWhenUsed/>
    <w:pPr>
      <w:spacing w:after="100"/>
    </w:pPr>
  </w:style>
  <w:style w:type="paragraph" w:styleId="TOC2">
    <w:name w:val="toc 2"/>
    <w:basedOn w:val="Normal"/>
    <w:next w:val="Normal"/>
    <w:autoRedefine/>
    <w:uiPriority w:val="99"/>
    <w:semiHidden/>
    <w:unhideWhenUsed/>
    <w:pPr>
      <w:spacing w:after="100"/>
      <w:ind w:left="220"/>
    </w:pPr>
  </w:style>
  <w:style w:type="paragraph" w:styleId="TOC3">
    <w:name w:val="toc 3"/>
    <w:basedOn w:val="Normal"/>
    <w:next w:val="Normal"/>
    <w:autoRedefine/>
    <w:uiPriority w:val="99"/>
    <w:semiHidden/>
    <w:unhideWhenUsed/>
    <w:pPr>
      <w:spacing w:after="100"/>
      <w:ind w:left="440"/>
    </w:pPr>
  </w:style>
  <w:style w:type="paragraph" w:styleId="TOC4">
    <w:name w:val="toc 4"/>
    <w:basedOn w:val="Normal"/>
    <w:next w:val="Normal"/>
    <w:autoRedefine/>
    <w:uiPriority w:val="99"/>
    <w:semiHidden/>
    <w:unhideWhenUsed/>
    <w:pPr>
      <w:spacing w:after="100"/>
      <w:ind w:left="660"/>
    </w:pPr>
  </w:style>
  <w:style w:type="paragraph" w:styleId="TOC5">
    <w:name w:val="toc 5"/>
    <w:basedOn w:val="Normal"/>
    <w:next w:val="Normal"/>
    <w:autoRedefine/>
    <w:uiPriority w:val="99"/>
    <w:semiHidden/>
    <w:unhideWhenUsed/>
    <w:pPr>
      <w:spacing w:after="100"/>
      <w:ind w:left="880"/>
    </w:pPr>
  </w:style>
  <w:style w:type="paragraph" w:styleId="TOC6">
    <w:name w:val="toc 6"/>
    <w:basedOn w:val="Normal"/>
    <w:next w:val="Normal"/>
    <w:autoRedefine/>
    <w:uiPriority w:val="99"/>
    <w:semiHidden/>
    <w:unhideWhenUsed/>
    <w:pPr>
      <w:spacing w:after="100"/>
      <w:ind w:left="1100"/>
    </w:pPr>
  </w:style>
  <w:style w:type="paragraph" w:styleId="TOC7">
    <w:name w:val="toc 7"/>
    <w:basedOn w:val="Normal"/>
    <w:next w:val="Normal"/>
    <w:autoRedefine/>
    <w:uiPriority w:val="99"/>
    <w:semiHidden/>
    <w:unhideWhenUsed/>
    <w:pPr>
      <w:spacing w:after="100"/>
      <w:ind w:left="1320"/>
    </w:pPr>
  </w:style>
  <w:style w:type="paragraph" w:styleId="TOC8">
    <w:name w:val="toc 8"/>
    <w:basedOn w:val="Normal"/>
    <w:next w:val="Normal"/>
    <w:autoRedefine/>
    <w:uiPriority w:val="99"/>
    <w:semiHidden/>
    <w:unhideWhenUsed/>
    <w:pPr>
      <w:spacing w:after="100"/>
      <w:ind w:left="1540"/>
    </w:pPr>
  </w:style>
  <w:style w:type="paragraph" w:styleId="TOC9">
    <w:name w:val="toc 9"/>
    <w:basedOn w:val="Normal"/>
    <w:next w:val="Normal"/>
    <w:autoRedefine/>
    <w:uiPriority w:val="99"/>
    <w:semiHidden/>
    <w:unhideWhenUsed/>
    <w:pPr>
      <w:spacing w:after="100"/>
      <w:ind w:left="1760"/>
    </w:pPr>
  </w:style>
  <w:style w:type="table" w:styleId="LightShading-Accent1">
    <w:name w:val="Light Shading Accent 1"/>
    <w:basedOn w:val="TableNormal"/>
    <w:uiPriority w:val="99"/>
    <w:semiHidden/>
    <w:unhideWhenUsed/>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99"/>
    <w:semiHidden/>
    <w:unhideWhenUsed/>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99"/>
    <w:semiHidden/>
    <w:unhideWhenUsed/>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99"/>
    <w:semiHidden/>
    <w:unhideWhenUsed/>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99"/>
    <w:semiHidden/>
    <w:unhideWhenUsed/>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99"/>
    <w:semiHidden/>
    <w:unhideWhenUsed/>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ColorfulShading">
    <w:name w:val="Colorful Shading"/>
    <w:basedOn w:val="TableNormal"/>
    <w:uiPriority w:val="99"/>
    <w:semiHidden/>
    <w:unhideWhenUsed/>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unhideWhenUsed/>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unhideWhenUsed/>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unhideWhenUsed/>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5">
    <w:name w:val="Colorful Shading Accent 5"/>
    <w:basedOn w:val="TableNormal"/>
    <w:uiPriority w:val="99"/>
    <w:semiHidden/>
    <w:unhideWhenUsed/>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unhideWhenUsed/>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Shading-Accent4">
    <w:name w:val="Colorful Shading Accent 4"/>
    <w:basedOn w:val="TableNormal"/>
    <w:uiPriority w:val="99"/>
    <w:semiHidden/>
    <w:unhideWhenUsed/>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MediumShading1">
    <w:name w:val="Medium Shading 1"/>
    <w:basedOn w:val="TableNormal"/>
    <w:uiPriority w:val="99"/>
    <w:semiHidden/>
    <w:unhideWhenUse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unhideWhenUs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unhideWhenUs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unhideWhenUs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unhideWhenUs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unhideWhenUs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unhideWhenUs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TMLVariable">
    <w:name w:val="HTML Variable"/>
    <w:basedOn w:val="DefaultParagraphFont"/>
    <w:uiPriority w:val="99"/>
    <w:semiHidden/>
    <w:unhideWhenUsed/>
    <w:rPr>
      <w:i/>
      <w:iCs/>
    </w:rPr>
  </w:style>
  <w:style w:type="paragraph" w:customStyle="1" w:styleId="DocsID">
    <w:name w:val="DocsID"/>
    <w:basedOn w:val="Normal"/>
    <w:pPr>
      <w:widowControl w:val="0"/>
      <w:spacing w:before="20" w:after="0" w:line="160" w:lineRule="exact"/>
    </w:pPr>
    <w:rPr>
      <w:rFonts w:ascii="Arial" w:eastAsia="Times New Roman" w:hAnsi="Arial" w:cs="Times New Roman"/>
      <w:color w:val="000080"/>
      <w:sz w:val="16"/>
      <w:szCs w:val="13"/>
      <w:lang w:val="fr-CA"/>
    </w:rPr>
  </w:style>
  <w:style w:type="paragraph" w:customStyle="1" w:styleId="xmsonormal">
    <w:name w:val="x_msonormal"/>
    <w:basedOn w:val="Normal"/>
    <w:rsid w:val="00E64F7E"/>
    <w:pPr>
      <w:spacing w:after="0" w:line="240" w:lineRule="auto"/>
    </w:pPr>
    <w:rPr>
      <w:rFonts w:ascii="Calibri" w:hAnsi="Calibri" w:cs="Calibri"/>
    </w:rPr>
  </w:style>
  <w:style w:type="paragraph" w:styleId="Revision">
    <w:name w:val="Revision"/>
    <w:hidden/>
    <w:uiPriority w:val="99"/>
    <w:semiHidden/>
    <w:rsid w:val="00D65C8A"/>
    <w:pPr>
      <w:spacing w:after="0" w:line="240" w:lineRule="auto"/>
    </w:pPr>
  </w:style>
  <w:style w:type="character" w:styleId="UnresolvedMention">
    <w:name w:val="Unresolved Mention"/>
    <w:basedOn w:val="DefaultParagraphFont"/>
    <w:uiPriority w:val="99"/>
    <w:semiHidden/>
    <w:unhideWhenUsed/>
    <w:rsid w:val="00982D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584742">
      <w:bodyDiv w:val="1"/>
      <w:marLeft w:val="0"/>
      <w:marRight w:val="0"/>
      <w:marTop w:val="0"/>
      <w:marBottom w:val="0"/>
      <w:divBdr>
        <w:top w:val="none" w:sz="0" w:space="0" w:color="auto"/>
        <w:left w:val="none" w:sz="0" w:space="0" w:color="auto"/>
        <w:bottom w:val="none" w:sz="0" w:space="0" w:color="auto"/>
        <w:right w:val="none" w:sz="0" w:space="0" w:color="auto"/>
      </w:divBdr>
    </w:div>
    <w:div w:id="1156534735">
      <w:bodyDiv w:val="1"/>
      <w:marLeft w:val="0"/>
      <w:marRight w:val="0"/>
      <w:marTop w:val="0"/>
      <w:marBottom w:val="0"/>
      <w:divBdr>
        <w:top w:val="none" w:sz="0" w:space="0" w:color="auto"/>
        <w:left w:val="none" w:sz="0" w:space="0" w:color="auto"/>
        <w:bottom w:val="none" w:sz="0" w:space="0" w:color="auto"/>
        <w:right w:val="none" w:sz="0" w:space="0" w:color="auto"/>
      </w:divBdr>
    </w:div>
    <w:div w:id="1593272268">
      <w:bodyDiv w:val="1"/>
      <w:marLeft w:val="0"/>
      <w:marRight w:val="0"/>
      <w:marTop w:val="0"/>
      <w:marBottom w:val="0"/>
      <w:divBdr>
        <w:top w:val="none" w:sz="0" w:space="0" w:color="auto"/>
        <w:left w:val="none" w:sz="0" w:space="0" w:color="auto"/>
        <w:bottom w:val="none" w:sz="0" w:space="0" w:color="auto"/>
        <w:right w:val="none" w:sz="0" w:space="0" w:color="auto"/>
      </w:divBdr>
    </w:div>
    <w:div w:id="1635981817">
      <w:bodyDiv w:val="1"/>
      <w:marLeft w:val="0"/>
      <w:marRight w:val="0"/>
      <w:marTop w:val="0"/>
      <w:marBottom w:val="0"/>
      <w:divBdr>
        <w:top w:val="none" w:sz="0" w:space="0" w:color="auto"/>
        <w:left w:val="none" w:sz="0" w:space="0" w:color="auto"/>
        <w:bottom w:val="none" w:sz="0" w:space="0" w:color="auto"/>
        <w:right w:val="none" w:sz="0" w:space="0" w:color="auto"/>
      </w:divBdr>
    </w:div>
    <w:div w:id="1640304453">
      <w:bodyDiv w:val="1"/>
      <w:marLeft w:val="0"/>
      <w:marRight w:val="0"/>
      <w:marTop w:val="0"/>
      <w:marBottom w:val="0"/>
      <w:divBdr>
        <w:top w:val="none" w:sz="0" w:space="0" w:color="auto"/>
        <w:left w:val="none" w:sz="0" w:space="0" w:color="auto"/>
        <w:bottom w:val="none" w:sz="0" w:space="0" w:color="auto"/>
        <w:right w:val="none" w:sz="0" w:space="0" w:color="auto"/>
      </w:divBdr>
    </w:div>
    <w:div w:id="1790470166">
      <w:bodyDiv w:val="1"/>
      <w:marLeft w:val="0"/>
      <w:marRight w:val="0"/>
      <w:marTop w:val="0"/>
      <w:marBottom w:val="0"/>
      <w:divBdr>
        <w:top w:val="none" w:sz="0" w:space="0" w:color="auto"/>
        <w:left w:val="none" w:sz="0" w:space="0" w:color="auto"/>
        <w:bottom w:val="none" w:sz="0" w:space="0" w:color="auto"/>
        <w:right w:val="none" w:sz="0" w:space="0" w:color="auto"/>
      </w:divBdr>
    </w:div>
    <w:div w:id="1897817920">
      <w:bodyDiv w:val="1"/>
      <w:marLeft w:val="0"/>
      <w:marRight w:val="0"/>
      <w:marTop w:val="0"/>
      <w:marBottom w:val="0"/>
      <w:divBdr>
        <w:top w:val="none" w:sz="0" w:space="0" w:color="auto"/>
        <w:left w:val="none" w:sz="0" w:space="0" w:color="auto"/>
        <w:bottom w:val="none" w:sz="0" w:space="0" w:color="auto"/>
        <w:right w:val="none" w:sz="0" w:space="0" w:color="auto"/>
      </w:divBdr>
    </w:div>
    <w:div w:id="1904215814">
      <w:bodyDiv w:val="1"/>
      <w:marLeft w:val="0"/>
      <w:marRight w:val="0"/>
      <w:marTop w:val="0"/>
      <w:marBottom w:val="0"/>
      <w:divBdr>
        <w:top w:val="none" w:sz="0" w:space="0" w:color="auto"/>
        <w:left w:val="none" w:sz="0" w:space="0" w:color="auto"/>
        <w:bottom w:val="none" w:sz="0" w:space="0" w:color="auto"/>
        <w:right w:val="none" w:sz="0" w:space="0" w:color="auto"/>
      </w:divBdr>
    </w:div>
    <w:div w:id="1953706683">
      <w:bodyDiv w:val="1"/>
      <w:marLeft w:val="0"/>
      <w:marRight w:val="0"/>
      <w:marTop w:val="0"/>
      <w:marBottom w:val="0"/>
      <w:divBdr>
        <w:top w:val="none" w:sz="0" w:space="0" w:color="auto"/>
        <w:left w:val="none" w:sz="0" w:space="0" w:color="auto"/>
        <w:bottom w:val="none" w:sz="0" w:space="0" w:color="auto"/>
        <w:right w:val="none" w:sz="0" w:space="0" w:color="auto"/>
      </w:divBdr>
    </w:div>
    <w:div w:id="214272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cusgraphite.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nderson@nextcap-ir.com" TargetMode="Externa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F3EE5-DD72-46A4-BD4B-D4C5C4BC5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665</Words>
  <Characters>3795</Characters>
  <Application>Microsoft Office Word</Application>
  <DocSecurity>0</DocSecurity>
  <Lines>31</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Anderson</dc:creator>
  <cp:keywords/>
  <dc:description/>
  <cp:lastModifiedBy>Scott Anderson</cp:lastModifiedBy>
  <cp:revision>17</cp:revision>
  <dcterms:created xsi:type="dcterms:W3CDTF">2021-03-07T15:54:00Z</dcterms:created>
  <dcterms:modified xsi:type="dcterms:W3CDTF">2021-04-21T12:00:00Z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AutoUpdate">
    <vt:lpwstr>ALL</vt:lpwstr>
  </property>
  <property fmtid="{D5CDD505-2E9C-101B-9397-08002B2CF9AE}" pid="3" name="DocsID">
    <vt:lpwstr>CAN_DMS: \133437135\1</vt:lpwstr>
  </property>
</Properties>
</file>