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Calibri" w:cs="Calibri" w:eastAsia="Calibri" w:hAnsi="Calibri"/>
        </w:rPr>
      </w:pPr>
      <w:r w:rsidDel="00000000" w:rsidR="00000000" w:rsidRPr="00000000">
        <w:rPr>
          <w:rFonts w:ascii="Calibri" w:cs="Calibri" w:eastAsia="Calibri" w:hAnsi="Calibri"/>
          <w:b w:val="1"/>
          <w:rtl w:val="0"/>
        </w:rPr>
        <w:t xml:space="preserve">For Immediate Release</w:t>
      </w:r>
      <w:r w:rsidDel="00000000" w:rsidR="00000000" w:rsidRPr="00000000">
        <w:rPr>
          <w:rtl w:val="0"/>
        </w:rPr>
      </w:r>
    </w:p>
    <w:p w:rsidR="00000000" w:rsidDel="00000000" w:rsidP="00000000" w:rsidRDefault="00000000" w:rsidRPr="00000000" w14:paraId="0000000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rPr>
      </w:pPr>
      <w:r w:rsidDel="00000000" w:rsidR="00000000" w:rsidRPr="00000000">
        <w:rPr>
          <w:rFonts w:ascii="Calibri" w:cs="Calibri" w:eastAsia="Calibri" w:hAnsi="Calibri"/>
          <w:b w:val="1"/>
          <w:rtl w:val="0"/>
        </w:rPr>
        <w:t xml:space="preserve">CABLEVISIÓN HOLDING S.A. TO HOST WEBCAST PRESENTATION TO DISCUSS FIRST QUARTER 2021 RESULTS</w:t>
      </w:r>
      <w:r w:rsidDel="00000000" w:rsidR="00000000" w:rsidRPr="00000000">
        <w:rPr>
          <w:rtl w:val="0"/>
        </w:rPr>
      </w:r>
    </w:p>
    <w:p w:rsidR="00000000" w:rsidDel="00000000" w:rsidP="00000000" w:rsidRDefault="00000000" w:rsidRPr="00000000" w14:paraId="00000005">
      <w:pPr>
        <w:jc w:val="both"/>
        <w:rPr>
          <w:rFonts w:ascii="Calibri" w:cs="Calibri" w:eastAsia="Calibri" w:hAnsi="Calibri"/>
        </w:rPr>
      </w:pPr>
      <w:bookmarkStart w:colFirst="0" w:colLast="0" w:name="_gjdgxs" w:id="0"/>
      <w:bookmarkEnd w:id="0"/>
      <w:r w:rsidDel="00000000" w:rsidR="00000000" w:rsidRPr="00000000">
        <w:rPr>
          <w:rtl w:val="0"/>
        </w:rPr>
      </w:r>
    </w:p>
    <w:p w:rsidR="00000000" w:rsidDel="00000000" w:rsidP="00000000" w:rsidRDefault="00000000" w:rsidRPr="00000000" w14:paraId="0000000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22"/>
          <w:szCs w:val="22"/>
        </w:rPr>
      </w:pPr>
      <w:bookmarkStart w:colFirst="0" w:colLast="0" w:name="_30j0zll" w:id="1"/>
      <w:bookmarkEnd w:id="1"/>
      <w:r w:rsidDel="00000000" w:rsidR="00000000" w:rsidRPr="00000000">
        <w:rPr>
          <w:rFonts w:ascii="Calibri" w:cs="Calibri" w:eastAsia="Calibri" w:hAnsi="Calibri"/>
          <w:b w:val="1"/>
          <w:sz w:val="22"/>
          <w:szCs w:val="22"/>
          <w:rtl w:val="0"/>
        </w:rPr>
        <w:t xml:space="preserve">Buenos Aires, May 7,</w:t>
      </w:r>
      <w:r w:rsidDel="00000000" w:rsidR="00000000" w:rsidRPr="00000000">
        <w:rPr>
          <w:rFonts w:ascii="Calibri" w:cs="Calibri" w:eastAsia="Calibri" w:hAnsi="Calibri"/>
          <w:b w:val="1"/>
          <w:sz w:val="22"/>
          <w:szCs w:val="22"/>
          <w:rtl w:val="0"/>
        </w:rPr>
        <w:t xml:space="preserve"> 2021</w:t>
      </w:r>
      <w:r w:rsidDel="00000000" w:rsidR="00000000" w:rsidRPr="00000000">
        <w:rPr>
          <w:rFonts w:ascii="Calibri" w:cs="Calibri" w:eastAsia="Calibri" w:hAnsi="Calibri"/>
          <w:sz w:val="22"/>
          <w:szCs w:val="22"/>
          <w:rtl w:val="0"/>
        </w:rPr>
        <w:t xml:space="preserve"> – Cablevisión Holding S.A. (BCBA: CVH / LSE: CVH) will host a webcast presentation on Tuesday, May 18, 2021 at 11am Eastern Time (12pm Buenos Aires time) to discuss its First Quarter 2021 Earnings Results.  </w:t>
      </w:r>
    </w:p>
    <w:p w:rsidR="00000000" w:rsidDel="00000000" w:rsidP="00000000" w:rsidRDefault="00000000" w:rsidRPr="00000000" w14:paraId="00000008">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Presentations will be in English, based on the earnings release, which will be distributed on Tuesday, May 11, 2021 after the markets close.</w:t>
      </w:r>
    </w:p>
    <w:p w:rsidR="00000000" w:rsidDel="00000000" w:rsidP="00000000" w:rsidRDefault="00000000" w:rsidRPr="00000000" w14:paraId="0000000A">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B">
      <w:pPr>
        <w:rPr>
          <w:rFonts w:ascii="Calibri" w:cs="Calibri" w:eastAsia="Calibri" w:hAnsi="Calibri"/>
          <w:color w:val="0000ff"/>
          <w:sz w:val="22"/>
          <w:szCs w:val="22"/>
          <w:u w:val="single"/>
        </w:rPr>
      </w:pPr>
      <w:r w:rsidDel="00000000" w:rsidR="00000000" w:rsidRPr="00000000">
        <w:rPr>
          <w:rFonts w:ascii="Calibri" w:cs="Calibri" w:eastAsia="Calibri" w:hAnsi="Calibri"/>
          <w:color w:val="000000"/>
          <w:sz w:val="22"/>
          <w:szCs w:val="22"/>
          <w:rtl w:val="0"/>
        </w:rPr>
        <w:t xml:space="preserve">The 1Q21 results will be presented via webcast. To access the live stream and slide presentation, visit:</w:t>
      </w:r>
      <w:r w:rsidDel="00000000" w:rsidR="00000000" w:rsidRPr="00000000">
        <w:rPr>
          <w:rFonts w:ascii="Calibri" w:cs="Calibri" w:eastAsia="Calibri" w:hAnsi="Calibri"/>
          <w:sz w:val="22"/>
          <w:szCs w:val="22"/>
          <w:rtl w:val="0"/>
        </w:rPr>
        <w:t xml:space="preserve"> </w:t>
      </w:r>
      <w:hyperlink r:id="rId6">
        <w:r w:rsidDel="00000000" w:rsidR="00000000" w:rsidRPr="00000000">
          <w:rPr>
            <w:rFonts w:ascii="Calibri" w:cs="Calibri" w:eastAsia="Calibri" w:hAnsi="Calibri"/>
            <w:color w:val="0000ff"/>
            <w:sz w:val="22"/>
            <w:szCs w:val="22"/>
            <w:u w:val="single"/>
            <w:rtl w:val="0"/>
          </w:rPr>
          <w:t xml:space="preserve">https://services.choruscall.com/links/cvhsy210518tW9c2pKp.html</w:t>
        </w:r>
      </w:hyperlink>
      <w:r w:rsidDel="00000000" w:rsidR="00000000" w:rsidRPr="00000000">
        <w:rPr>
          <w:rtl w:val="0"/>
        </w:rPr>
      </w:r>
    </w:p>
    <w:p w:rsidR="00000000" w:rsidDel="00000000" w:rsidP="00000000" w:rsidRDefault="00000000" w:rsidRPr="00000000" w14:paraId="0000000C">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bookmarkStart w:colFirst="0" w:colLast="0" w:name="_1fob9te" w:id="2"/>
      <w:bookmarkEnd w:id="2"/>
      <w:r w:rsidDel="00000000" w:rsidR="00000000" w:rsidRPr="00000000">
        <w:rPr>
          <w:rFonts w:ascii="Calibri" w:cs="Calibri" w:eastAsia="Calibri" w:hAnsi="Calibri"/>
          <w:color w:val="000000"/>
          <w:sz w:val="22"/>
          <w:szCs w:val="22"/>
          <w:rtl w:val="0"/>
        </w:rPr>
        <w:t xml:space="preserve">The webcast presentation will also be available at: </w:t>
      </w:r>
      <w:hyperlink r:id="rId7">
        <w:r w:rsidDel="00000000" w:rsidR="00000000" w:rsidRPr="00000000">
          <w:rPr>
            <w:rFonts w:ascii="Calibri" w:cs="Calibri" w:eastAsia="Calibri" w:hAnsi="Calibri"/>
            <w:color w:val="0000ff"/>
            <w:sz w:val="22"/>
            <w:szCs w:val="22"/>
            <w:u w:val="single"/>
            <w:rtl w:val="0"/>
          </w:rPr>
          <w:t xml:space="preserve">https://www.cablevisionholding.com/Investors/Presentations</w:t>
        </w:r>
      </w:hyperlink>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40"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About the Company</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276"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CVH was founded </w:t>
      </w:r>
      <w:r w:rsidDel="00000000" w:rsidR="00000000" w:rsidRPr="00000000">
        <w:rPr>
          <w:rFonts w:ascii="Calibri" w:cs="Calibri" w:eastAsia="Calibri" w:hAnsi="Calibri"/>
          <w:sz w:val="22"/>
          <w:szCs w:val="22"/>
          <w:rtl w:val="0"/>
        </w:rPr>
        <w:t xml:space="preserve">as a corporate</w:t>
      </w:r>
      <w:r w:rsidDel="00000000" w:rsidR="00000000" w:rsidRPr="00000000">
        <w:rPr>
          <w:rFonts w:ascii="Calibri" w:cs="Calibri" w:eastAsia="Calibri" w:hAnsi="Calibri"/>
          <w:color w:val="000000"/>
          <w:sz w:val="22"/>
          <w:szCs w:val="22"/>
          <w:rtl w:val="0"/>
        </w:rPr>
        <w:t xml:space="preserve"> spinoff from Grupo Clarín S.A., and it is the first Argentine holding company that engages in the development of infrastructure and the provision of convergent telecommunications services, focusing on the country and the region. The companies, products and brands that depend on Cablevisión Holding are already big names in the telecommunications and content distribution industries. They specialize in the provision of cable TV, broadband and mobile communications services.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Rule="auto"/>
        <w:jc w:val="both"/>
        <w:rPr>
          <w:rFonts w:ascii="Calibri" w:cs="Calibri" w:eastAsia="Calibri" w:hAnsi="Calibri"/>
          <w:color w:val="000000"/>
          <w:sz w:val="22"/>
          <w:szCs w:val="22"/>
        </w:rPr>
      </w:pPr>
      <w:r w:rsidDel="00000000" w:rsidR="00000000" w:rsidRPr="00000000">
        <w:rPr>
          <w:rtl w:val="0"/>
        </w:rPr>
      </w:r>
    </w:p>
    <w:tbl>
      <w:tblPr>
        <w:tblStyle w:val="Table1"/>
        <w:tblW w:w="10836.0" w:type="dxa"/>
        <w:jc w:val="left"/>
        <w:tblInd w:w="-710.0" w:type="dxa"/>
        <w:tblLayout w:type="fixed"/>
        <w:tblLook w:val="0000"/>
      </w:tblPr>
      <w:tblGrid>
        <w:gridCol w:w="10364"/>
        <w:gridCol w:w="236"/>
        <w:gridCol w:w="236"/>
        <w:tblGridChange w:id="0">
          <w:tblGrid>
            <w:gridCol w:w="10364"/>
            <w:gridCol w:w="236"/>
            <w:gridCol w:w="236"/>
          </w:tblGrid>
        </w:tblGridChange>
      </w:tblGrid>
      <w:tr>
        <w:tc>
          <w:tcPr/>
          <w:p w:rsidR="00000000" w:rsidDel="00000000" w:rsidP="00000000" w:rsidRDefault="00000000" w:rsidRPr="00000000" w14:paraId="00000012">
            <w:pPr>
              <w:tabs>
                <w:tab w:val="center" w:pos="4320"/>
                <w:tab w:val="right" w:pos="8640"/>
              </w:tabs>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13">
            <w:pPr>
              <w:tabs>
                <w:tab w:val="center" w:pos="4320"/>
                <w:tab w:val="right" w:pos="8640"/>
              </w:tabs>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14">
            <w:pPr>
              <w:tabs>
                <w:tab w:val="center" w:pos="4320"/>
                <w:tab w:val="right" w:pos="8640"/>
              </w:tabs>
              <w:rPr>
                <w:rFonts w:ascii="Calibri" w:cs="Calibri" w:eastAsia="Calibri" w:hAnsi="Calibri"/>
                <w:color w:val="000000"/>
                <w:sz w:val="16"/>
                <w:szCs w:val="16"/>
              </w:rPr>
            </w:pPr>
            <w:r w:rsidDel="00000000" w:rsidR="00000000" w:rsidRPr="00000000">
              <w:rPr>
                <w:rtl w:val="0"/>
              </w:rPr>
            </w:r>
          </w:p>
        </w:tc>
      </w:tr>
      <w:tr>
        <w:tc>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16"/>
                <w:szCs w:val="16"/>
              </w:rPr>
            </w:pPr>
            <w:r w:rsidDel="00000000" w:rsidR="00000000" w:rsidRPr="00000000">
              <w:rPr>
                <w:rtl w:val="0"/>
              </w:rPr>
            </w:r>
          </w:p>
          <w:tbl>
            <w:tblPr>
              <w:tblStyle w:val="Table2"/>
              <w:tblW w:w="10176.0" w:type="dxa"/>
              <w:jc w:val="left"/>
              <w:tblLayout w:type="fixed"/>
              <w:tblLook w:val="0000"/>
            </w:tblPr>
            <w:tblGrid>
              <w:gridCol w:w="3851"/>
              <w:gridCol w:w="980"/>
              <w:gridCol w:w="1559"/>
              <w:gridCol w:w="142"/>
              <w:gridCol w:w="729"/>
              <w:gridCol w:w="2915"/>
              <w:tblGridChange w:id="0">
                <w:tblGrid>
                  <w:gridCol w:w="3851"/>
                  <w:gridCol w:w="980"/>
                  <w:gridCol w:w="1559"/>
                  <w:gridCol w:w="142"/>
                  <w:gridCol w:w="729"/>
                  <w:gridCol w:w="2915"/>
                </w:tblGrid>
              </w:tblGridChange>
            </w:tblGrid>
            <w:tr>
              <w:tc>
                <w:tcPr/>
                <w:p w:rsidR="00000000" w:rsidDel="00000000" w:rsidP="00000000" w:rsidRDefault="00000000" w:rsidRPr="00000000" w14:paraId="00000016">
                  <w:pPr>
                    <w:tabs>
                      <w:tab w:val="center" w:pos="4320"/>
                      <w:tab w:val="right" w:pos="8640"/>
                    </w:tabs>
                    <w:rPr>
                      <w:rFonts w:ascii="Calibri" w:cs="Calibri" w:eastAsia="Calibri" w:hAnsi="Calibri"/>
                      <w:color w:val="000000"/>
                      <w:sz w:val="16"/>
                      <w:szCs w:val="16"/>
                    </w:rPr>
                  </w:pPr>
                  <w:r w:rsidDel="00000000" w:rsidR="00000000" w:rsidRPr="00000000">
                    <w:rPr>
                      <w:rtl w:val="0"/>
                    </w:rPr>
                  </w:r>
                </w:p>
              </w:tc>
              <w:tc>
                <w:tcPr>
                  <w:gridSpan w:val="4"/>
                </w:tcPr>
                <w:p w:rsidR="00000000" w:rsidDel="00000000" w:rsidP="00000000" w:rsidRDefault="00000000" w:rsidRPr="00000000" w14:paraId="00000017">
                  <w:pPr>
                    <w:tabs>
                      <w:tab w:val="center" w:pos="4320"/>
                      <w:tab w:val="right" w:pos="8640"/>
                    </w:tabs>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1B">
                  <w:pPr>
                    <w:tabs>
                      <w:tab w:val="center" w:pos="4320"/>
                      <w:tab w:val="right" w:pos="8640"/>
                    </w:tabs>
                    <w:rPr>
                      <w:rFonts w:ascii="Calibri" w:cs="Calibri" w:eastAsia="Calibri" w:hAnsi="Calibri"/>
                      <w:color w:val="000000"/>
                      <w:sz w:val="16"/>
                      <w:szCs w:val="16"/>
                    </w:rPr>
                  </w:pPr>
                  <w:r w:rsidDel="00000000" w:rsidR="00000000" w:rsidRPr="00000000">
                    <w:rPr>
                      <w:rtl w:val="0"/>
                    </w:rPr>
                  </w:r>
                </w:p>
              </w:tc>
            </w:tr>
            <w:tr>
              <w:tc>
                <w:tcPr>
                  <w:gridSpan w:val="2"/>
                </w:tcPr>
                <w:p w:rsidR="00000000" w:rsidDel="00000000" w:rsidP="00000000" w:rsidRDefault="00000000" w:rsidRPr="00000000" w14:paraId="0000001C">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Investor Relations Contacts</w:t>
                  </w:r>
                  <w:r w:rsidDel="00000000" w:rsidR="00000000" w:rsidRPr="00000000">
                    <w:rPr>
                      <w:rtl w:val="0"/>
                    </w:rPr>
                  </w:r>
                </w:p>
                <w:p w:rsidR="00000000" w:rsidDel="00000000" w:rsidP="00000000" w:rsidRDefault="00000000" w:rsidRPr="00000000" w14:paraId="0000001D">
                  <w:pPr>
                    <w:tabs>
                      <w:tab w:val="center" w:pos="4320"/>
                      <w:tab w:val="right" w:pos="8640"/>
                    </w:tabs>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1F">
                  <w:pPr>
                    <w:tabs>
                      <w:tab w:val="center" w:pos="4320"/>
                      <w:tab w:val="right" w:pos="8640"/>
                    </w:tabs>
                    <w:ind w:left="123" w:hanging="123"/>
                    <w:rPr>
                      <w:rFonts w:ascii="Calibri" w:cs="Calibri" w:eastAsia="Calibri" w:hAnsi="Calibri"/>
                      <w:color w:val="000000"/>
                      <w:sz w:val="16"/>
                      <w:szCs w:val="16"/>
                    </w:rPr>
                  </w:pPr>
                  <w:r w:rsidDel="00000000" w:rsidR="00000000" w:rsidRPr="00000000">
                    <w:rPr>
                      <w:rtl w:val="0"/>
                    </w:rPr>
                  </w:r>
                </w:p>
              </w:tc>
              <w:tc>
                <w:tcPr>
                  <w:gridSpan w:val="3"/>
                </w:tcPr>
                <w:p w:rsidR="00000000" w:rsidDel="00000000" w:rsidP="00000000" w:rsidRDefault="00000000" w:rsidRPr="00000000" w14:paraId="00000020">
                  <w:pPr>
                    <w:tabs>
                      <w:tab w:val="center" w:pos="4320"/>
                      <w:tab w:val="right" w:pos="8640"/>
                    </w:tabs>
                    <w:rPr>
                      <w:rFonts w:ascii="Calibri" w:cs="Calibri" w:eastAsia="Calibri" w:hAnsi="Calibri"/>
                      <w:color w:val="000000"/>
                      <w:sz w:val="16"/>
                      <w:szCs w:val="16"/>
                    </w:rPr>
                  </w:pPr>
                  <w:r w:rsidDel="00000000" w:rsidR="00000000" w:rsidRPr="00000000">
                    <w:rPr>
                      <w:rtl w:val="0"/>
                    </w:rPr>
                  </w:r>
                </w:p>
              </w:tc>
            </w:tr>
            <w:tr>
              <w:tc>
                <w:tcPr>
                  <w:gridSpan w:val="2"/>
                </w:tcPr>
                <w:p w:rsidR="00000000" w:rsidDel="00000000" w:rsidP="00000000" w:rsidRDefault="00000000" w:rsidRPr="00000000" w14:paraId="00000023">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In Buenos Aires:</w:t>
                  </w:r>
                </w:p>
              </w:tc>
              <w:tc>
                <w:tcPr>
                  <w:gridSpan w:val="2"/>
                </w:tcPr>
                <w:p w:rsidR="00000000" w:rsidDel="00000000" w:rsidP="00000000" w:rsidRDefault="00000000" w:rsidRPr="00000000" w14:paraId="00000025">
                  <w:pPr>
                    <w:tabs>
                      <w:tab w:val="center" w:pos="4320"/>
                      <w:tab w:val="right" w:pos="8640"/>
                    </w:tabs>
                    <w:ind w:left="123" w:hanging="123"/>
                    <w:rPr>
                      <w:rFonts w:ascii="Calibri" w:cs="Calibri" w:eastAsia="Calibri" w:hAnsi="Calibri"/>
                      <w:color w:val="000000"/>
                      <w:sz w:val="16"/>
                      <w:szCs w:val="16"/>
                    </w:rPr>
                  </w:pPr>
                  <w:r w:rsidDel="00000000" w:rsidR="00000000" w:rsidRPr="00000000">
                    <w:rPr>
                      <w:rtl w:val="0"/>
                    </w:rPr>
                  </w:r>
                </w:p>
              </w:tc>
              <w:tc>
                <w:tcPr>
                  <w:gridSpan w:val="2"/>
                </w:tcPr>
                <w:p w:rsidR="00000000" w:rsidDel="00000000" w:rsidP="00000000" w:rsidRDefault="00000000" w:rsidRPr="00000000" w14:paraId="00000027">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In New York</w:t>
                  </w:r>
                </w:p>
              </w:tc>
            </w:tr>
            <w:tr>
              <w:tc>
                <w:tcPr>
                  <w:gridSpan w:val="2"/>
                </w:tcPr>
                <w:p w:rsidR="00000000" w:rsidDel="00000000" w:rsidP="00000000" w:rsidRDefault="00000000" w:rsidRPr="00000000" w14:paraId="00000029">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Cablevisión Holding S.A  </w:t>
                  </w:r>
                  <w:r w:rsidDel="00000000" w:rsidR="00000000" w:rsidRPr="00000000">
                    <w:rPr>
                      <w:rFonts w:ascii="Calibri" w:cs="Calibri" w:eastAsia="Calibri" w:hAnsi="Calibri"/>
                      <w:sz w:val="18"/>
                      <w:szCs w:val="18"/>
                      <w:rtl w:val="0"/>
                    </w:rPr>
                    <w:t xml:space="preserve">   </w:t>
                  </w:r>
                  <w:r w:rsidDel="00000000" w:rsidR="00000000" w:rsidRPr="00000000">
                    <w:rPr>
                      <w:rtl w:val="0"/>
                    </w:rPr>
                  </w:r>
                </w:p>
              </w:tc>
              <w:tc>
                <w:tcPr>
                  <w:gridSpan w:val="2"/>
                </w:tcPr>
                <w:p w:rsidR="00000000" w:rsidDel="00000000" w:rsidP="00000000" w:rsidRDefault="00000000" w:rsidRPr="00000000" w14:paraId="0000002B">
                  <w:pPr>
                    <w:tabs>
                      <w:tab w:val="center" w:pos="4320"/>
                      <w:tab w:val="right" w:pos="8640"/>
                    </w:tabs>
                    <w:ind w:left="123" w:hanging="123"/>
                    <w:rPr>
                      <w:rFonts w:ascii="Calibri" w:cs="Calibri" w:eastAsia="Calibri" w:hAnsi="Calibri"/>
                      <w:color w:val="000000"/>
                      <w:sz w:val="16"/>
                      <w:szCs w:val="16"/>
                    </w:rPr>
                  </w:pPr>
                  <w:r w:rsidDel="00000000" w:rsidR="00000000" w:rsidRPr="00000000">
                    <w:rPr>
                      <w:rtl w:val="0"/>
                    </w:rPr>
                  </w:r>
                </w:p>
              </w:tc>
              <w:tc>
                <w:tcPr>
                  <w:gridSpan w:val="2"/>
                </w:tcPr>
                <w:p w:rsidR="00000000" w:rsidDel="00000000" w:rsidP="00000000" w:rsidRDefault="00000000" w:rsidRPr="00000000" w14:paraId="0000002D">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Fig</w:t>
                  </w:r>
                  <w:r w:rsidDel="00000000" w:rsidR="00000000" w:rsidRPr="00000000">
                    <w:rPr>
                      <w:rFonts w:ascii="Calibri" w:cs="Calibri" w:eastAsia="Calibri" w:hAnsi="Calibri"/>
                      <w:color w:val="000000"/>
                      <w:sz w:val="16"/>
                      <w:szCs w:val="16"/>
                      <w:rtl w:val="0"/>
                    </w:rPr>
                    <w:t xml:space="preserve"> Corporate Communications</w:t>
                  </w:r>
                </w:p>
              </w:tc>
            </w:tr>
            <w:tr>
              <w:tc>
                <w:tcPr>
                  <w:gridSpan w:val="2"/>
                </w:tcPr>
                <w:p w:rsidR="00000000" w:rsidDel="00000000" w:rsidP="00000000" w:rsidRDefault="00000000" w:rsidRPr="00000000" w14:paraId="0000002F">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Samantha Olivieri, Head of Investor Relations</w:t>
                    <w:br w:type="textWrapping"/>
                    <w:t xml:space="preserve">Valentina López, Sr. Investor Relations Analyst</w:t>
                    <w:br w:type="textWrapping"/>
                    <w:t xml:space="preserve">Tel: (+54 11) 4309 7104</w:t>
                    <w:br w:type="textWrapping"/>
                    <w:t xml:space="preserve">Email: </w:t>
                  </w:r>
                  <w:hyperlink r:id="rId8">
                    <w:r w:rsidDel="00000000" w:rsidR="00000000" w:rsidRPr="00000000">
                      <w:rPr>
                        <w:rFonts w:ascii="Calibri" w:cs="Calibri" w:eastAsia="Calibri" w:hAnsi="Calibri"/>
                        <w:sz w:val="16"/>
                        <w:szCs w:val="16"/>
                        <w:u w:val="single"/>
                        <w:rtl w:val="0"/>
                      </w:rPr>
                      <w:t xml:space="preserve">ir@cvh.com.ar</w:t>
                    </w:r>
                  </w:hyperlink>
                  <w:r w:rsidDel="00000000" w:rsidR="00000000" w:rsidRPr="00000000">
                    <w:rPr>
                      <w:rtl w:val="0"/>
                    </w:rPr>
                  </w:r>
                </w:p>
              </w:tc>
              <w:tc>
                <w:tcPr>
                  <w:gridSpan w:val="2"/>
                </w:tcPr>
                <w:p w:rsidR="00000000" w:rsidDel="00000000" w:rsidP="00000000" w:rsidRDefault="00000000" w:rsidRPr="00000000" w14:paraId="00000031">
                  <w:pPr>
                    <w:tabs>
                      <w:tab w:val="center" w:pos="4320"/>
                      <w:tab w:val="right" w:pos="8640"/>
                    </w:tabs>
                    <w:ind w:left="123" w:hanging="123"/>
                    <w:rPr>
                      <w:rFonts w:ascii="Calibri" w:cs="Calibri" w:eastAsia="Calibri" w:hAnsi="Calibri"/>
                      <w:color w:val="000000"/>
                      <w:sz w:val="16"/>
                      <w:szCs w:val="16"/>
                    </w:rPr>
                  </w:pPr>
                  <w:r w:rsidDel="00000000" w:rsidR="00000000" w:rsidRPr="00000000">
                    <w:rPr>
                      <w:rtl w:val="0"/>
                    </w:rPr>
                  </w:r>
                </w:p>
              </w:tc>
              <w:tc>
                <w:tcPr>
                  <w:gridSpan w:val="2"/>
                </w:tcPr>
                <w:p w:rsidR="00000000" w:rsidDel="00000000" w:rsidP="00000000" w:rsidRDefault="00000000" w:rsidRPr="00000000" w14:paraId="00000033">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Camilla Ferreira/Marcella Ewerton</w:t>
                    <w:br w:type="textWrapping"/>
                    <w:t xml:space="preserve">Tel: +1 917 691 4047 </w:t>
                  </w:r>
                </w:p>
                <w:p w:rsidR="00000000" w:rsidDel="00000000" w:rsidP="00000000" w:rsidRDefault="00000000" w:rsidRPr="00000000" w14:paraId="00000034">
                  <w:pPr>
                    <w:tabs>
                      <w:tab w:val="center" w:pos="4320"/>
                      <w:tab w:val="right" w:pos="8640"/>
                    </w:tabs>
                    <w:rPr>
                      <w:rFonts w:ascii="Calibri" w:cs="Calibri" w:eastAsia="Calibri" w:hAnsi="Calibri"/>
                      <w:color w:val="000000"/>
                      <w:sz w:val="16"/>
                      <w:szCs w:val="16"/>
                      <w:u w:val="single"/>
                    </w:rPr>
                  </w:pPr>
                  <w:r w:rsidDel="00000000" w:rsidR="00000000" w:rsidRPr="00000000">
                    <w:rPr>
                      <w:rFonts w:ascii="Calibri" w:cs="Calibri" w:eastAsia="Calibri" w:hAnsi="Calibri"/>
                      <w:sz w:val="16"/>
                      <w:szCs w:val="16"/>
                      <w:rtl w:val="0"/>
                    </w:rPr>
                    <w:t xml:space="preserve">Email: </w:t>
                  </w:r>
                  <w:r w:rsidDel="00000000" w:rsidR="00000000" w:rsidRPr="00000000">
                    <w:rPr>
                      <w:rFonts w:ascii="Calibri" w:cs="Calibri" w:eastAsia="Calibri" w:hAnsi="Calibri"/>
                      <w:color w:val="000000"/>
                      <w:sz w:val="16"/>
                      <w:szCs w:val="16"/>
                      <w:u w:val="single"/>
                      <w:rtl w:val="0"/>
                    </w:rPr>
                    <w:t xml:space="preserve">fig@fig.ooo</w:t>
                  </w:r>
                </w:p>
                <w:p w:rsidR="00000000" w:rsidDel="00000000" w:rsidP="00000000" w:rsidRDefault="00000000" w:rsidRPr="00000000" w14:paraId="00000035">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r w:rsidDel="00000000" w:rsidR="00000000" w:rsidRPr="00000000">
                    <w:rPr>
                      <w:rFonts w:ascii="Calibri" w:cs="Calibri" w:eastAsia="Calibri" w:hAnsi="Calibri"/>
                      <w:color w:val="000000"/>
                      <w:sz w:val="16"/>
                      <w:szCs w:val="16"/>
                      <w:u w:val="single"/>
                      <w:rtl w:val="0"/>
                    </w:rPr>
                    <w:t xml:space="preserve"> </w:t>
                  </w:r>
                  <w:r w:rsidDel="00000000" w:rsidR="00000000" w:rsidRPr="00000000">
                    <w:rPr>
                      <w:rtl w:val="0"/>
                    </w:rPr>
                  </w:r>
                </w:p>
              </w:tc>
            </w:tr>
            <w:tr>
              <w:tc>
                <w:tcPr>
                  <w:gridSpan w:val="2"/>
                </w:tcPr>
                <w:p w:rsidR="00000000" w:rsidDel="00000000" w:rsidP="00000000" w:rsidRDefault="00000000" w:rsidRPr="00000000" w14:paraId="00000037">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www.cvh.com.ar</w:t>
                  </w:r>
                </w:p>
              </w:tc>
              <w:tc>
                <w:tcPr>
                  <w:gridSpan w:val="2"/>
                </w:tcPr>
                <w:p w:rsidR="00000000" w:rsidDel="00000000" w:rsidP="00000000" w:rsidRDefault="00000000" w:rsidRPr="00000000" w14:paraId="00000039">
                  <w:pPr>
                    <w:tabs>
                      <w:tab w:val="center" w:pos="4320"/>
                      <w:tab w:val="right" w:pos="8640"/>
                    </w:tabs>
                    <w:ind w:left="123" w:hanging="123"/>
                    <w:rPr>
                      <w:color w:val="000000"/>
                      <w:u w:val="single"/>
                    </w:rPr>
                  </w:pPr>
                  <w:r w:rsidDel="00000000" w:rsidR="00000000" w:rsidRPr="00000000">
                    <w:rPr>
                      <w:rtl w:val="0"/>
                    </w:rPr>
                  </w:r>
                </w:p>
              </w:tc>
              <w:tc>
                <w:tcPr>
                  <w:gridSpan w:val="2"/>
                </w:tcPr>
                <w:p w:rsidR="00000000" w:rsidDel="00000000" w:rsidP="00000000" w:rsidRDefault="00000000" w:rsidRPr="00000000" w14:paraId="0000003B">
                  <w:pPr>
                    <w:tabs>
                      <w:tab w:val="center" w:pos="4320"/>
                      <w:tab w:val="right" w:pos="8640"/>
                    </w:tabs>
                    <w:rPr>
                      <w:rFonts w:ascii="Calibri" w:cs="Calibri" w:eastAsia="Calibri" w:hAnsi="Calibri"/>
                      <w:color w:val="000000"/>
                      <w:sz w:val="16"/>
                      <w:szCs w:val="16"/>
                      <w:u w:val="single"/>
                    </w:rPr>
                  </w:pPr>
                  <w:r w:rsidDel="00000000" w:rsidR="00000000" w:rsidRPr="00000000">
                    <w:rPr>
                      <w:rtl w:val="0"/>
                    </w:rPr>
                  </w:r>
                </w:p>
              </w:tc>
            </w:tr>
            <w:tr>
              <w:tc>
                <w:tcPr/>
                <w:p w:rsidR="00000000" w:rsidDel="00000000" w:rsidP="00000000" w:rsidRDefault="00000000" w:rsidRPr="00000000" w14:paraId="0000003D">
                  <w:pPr>
                    <w:tabs>
                      <w:tab w:val="center" w:pos="4320"/>
                      <w:tab w:val="right" w:pos="864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u w:val="single"/>
                      <w:rtl w:val="0"/>
                    </w:rPr>
                    <w:t xml:space="preserve"> </w:t>
                  </w:r>
                  <w:r w:rsidDel="00000000" w:rsidR="00000000" w:rsidRPr="00000000">
                    <w:rPr>
                      <w:rFonts w:ascii="Calibri" w:cs="Calibri" w:eastAsia="Calibri" w:hAnsi="Calibri"/>
                      <w:color w:val="000000"/>
                      <w:sz w:val="16"/>
                      <w:szCs w:val="16"/>
                      <w:rtl w:val="0"/>
                    </w:rPr>
                    <w:t xml:space="preserve">  </w:t>
                  </w:r>
                  <w:r w:rsidDel="00000000" w:rsidR="00000000" w:rsidRPr="00000000">
                    <w:rPr>
                      <w:rFonts w:ascii="Calibri" w:cs="Calibri" w:eastAsia="Calibri" w:hAnsi="Calibri"/>
                      <w:sz w:val="18"/>
                      <w:szCs w:val="18"/>
                      <w:rtl w:val="0"/>
                    </w:rPr>
                    <w:t xml:space="preserve"> </w:t>
                  </w:r>
                  <w:r w:rsidDel="00000000" w:rsidR="00000000" w:rsidRPr="00000000">
                    <w:rPr>
                      <w:rtl w:val="0"/>
                    </w:rPr>
                  </w:r>
                </w:p>
              </w:tc>
              <w:tc>
                <w:tcPr>
                  <w:gridSpan w:val="4"/>
                </w:tcPr>
                <w:p w:rsidR="00000000" w:rsidDel="00000000" w:rsidP="00000000" w:rsidRDefault="00000000" w:rsidRPr="00000000" w14:paraId="0000003E">
                  <w:pPr>
                    <w:tabs>
                      <w:tab w:val="center" w:pos="4320"/>
                      <w:tab w:val="right" w:pos="8640"/>
                    </w:tabs>
                    <w:ind w:left="123" w:hanging="123"/>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42">
                  <w:pPr>
                    <w:tabs>
                      <w:tab w:val="center" w:pos="4320"/>
                      <w:tab w:val="right" w:pos="8640"/>
                    </w:tabs>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43">
                  <w:pPr>
                    <w:tabs>
                      <w:tab w:val="center" w:pos="4320"/>
                      <w:tab w:val="right" w:pos="8640"/>
                    </w:tabs>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44">
                  <w:pPr>
                    <w:tabs>
                      <w:tab w:val="center" w:pos="4320"/>
                      <w:tab w:val="right" w:pos="8640"/>
                    </w:tabs>
                    <w:rPr>
                      <w:rFonts w:ascii="Calibri" w:cs="Calibri" w:eastAsia="Calibri" w:hAnsi="Calibri"/>
                      <w:color w:val="000000"/>
                      <w:sz w:val="16"/>
                      <w:szCs w:val="16"/>
                    </w:rPr>
                  </w:pPr>
                  <w:r w:rsidDel="00000000" w:rsidR="00000000" w:rsidRPr="00000000">
                    <w:rPr>
                      <w:rtl w:val="0"/>
                    </w:rPr>
                  </w:r>
                </w:p>
              </w:tc>
            </w:tr>
          </w:tbl>
          <w:p w:rsidR="00000000" w:rsidDel="00000000" w:rsidP="00000000" w:rsidRDefault="00000000" w:rsidRPr="00000000" w14:paraId="00000045">
            <w:pPr>
              <w:tabs>
                <w:tab w:val="center" w:pos="4320"/>
                <w:tab w:val="right" w:pos="8640"/>
              </w:tabs>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46">
            <w:pPr>
              <w:tabs>
                <w:tab w:val="center" w:pos="4320"/>
                <w:tab w:val="right" w:pos="8640"/>
              </w:tabs>
              <w:ind w:left="123" w:hanging="123"/>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47">
            <w:pPr>
              <w:tabs>
                <w:tab w:val="center" w:pos="4320"/>
                <w:tab w:val="right" w:pos="8640"/>
              </w:tabs>
              <w:rPr>
                <w:rFonts w:ascii="Calibri" w:cs="Calibri" w:eastAsia="Calibri" w:hAnsi="Calibri"/>
                <w:color w:val="000000"/>
                <w:sz w:val="16"/>
                <w:szCs w:val="16"/>
              </w:rPr>
            </w:pPr>
            <w:r w:rsidDel="00000000" w:rsidR="00000000" w:rsidRPr="00000000">
              <w:rPr>
                <w:rtl w:val="0"/>
              </w:rPr>
            </w:r>
          </w:p>
        </w:tc>
      </w:tr>
      <w:tr>
        <w:tc>
          <w:tcPr/>
          <w:p w:rsidR="00000000" w:rsidDel="00000000" w:rsidP="00000000" w:rsidRDefault="00000000" w:rsidRPr="00000000" w14:paraId="00000048">
            <w:pPr>
              <w:tabs>
                <w:tab w:val="center" w:pos="4320"/>
                <w:tab w:val="right" w:pos="8640"/>
              </w:tabs>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49">
            <w:pPr>
              <w:tabs>
                <w:tab w:val="center" w:pos="4320"/>
                <w:tab w:val="right" w:pos="8640"/>
              </w:tabs>
              <w:ind w:left="123" w:hanging="123"/>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4A">
            <w:pPr>
              <w:tabs>
                <w:tab w:val="center" w:pos="4320"/>
                <w:tab w:val="right" w:pos="8640"/>
              </w:tabs>
              <w:rPr>
                <w:rFonts w:ascii="Calibri" w:cs="Calibri" w:eastAsia="Calibri" w:hAnsi="Calibri"/>
                <w:color w:val="000000"/>
                <w:sz w:val="16"/>
                <w:szCs w:val="16"/>
              </w:rPr>
            </w:pPr>
            <w:r w:rsidDel="00000000" w:rsidR="00000000" w:rsidRPr="00000000">
              <w:rPr>
                <w:rtl w:val="0"/>
              </w:rPr>
            </w:r>
          </w:p>
        </w:tc>
      </w:tr>
    </w:tbl>
    <w:p w:rsidR="00000000" w:rsidDel="00000000" w:rsidP="00000000" w:rsidRDefault="00000000" w:rsidRPr="00000000" w14:paraId="0000004B">
      <w:pPr>
        <w:rPr/>
      </w:pPr>
      <w:r w:rsidDel="00000000" w:rsidR="00000000" w:rsidRPr="00000000">
        <w:rPr>
          <w:rtl w:val="0"/>
        </w:rPr>
      </w:r>
    </w:p>
    <w:tbl>
      <w:tblPr>
        <w:tblStyle w:val="Table3"/>
        <w:tblW w:w="10836.0" w:type="dxa"/>
        <w:jc w:val="left"/>
        <w:tblInd w:w="-710.0" w:type="dxa"/>
        <w:tblLayout w:type="fixed"/>
        <w:tblLook w:val="0000"/>
      </w:tblPr>
      <w:tblGrid>
        <w:gridCol w:w="10364"/>
        <w:gridCol w:w="236"/>
        <w:gridCol w:w="236"/>
        <w:tblGridChange w:id="0">
          <w:tblGrid>
            <w:gridCol w:w="10364"/>
            <w:gridCol w:w="236"/>
            <w:gridCol w:w="236"/>
          </w:tblGrid>
        </w:tblGridChange>
      </w:tblGrid>
      <w:tr>
        <w:tc>
          <w:tcPr/>
          <w:p w:rsidR="00000000" w:rsidDel="00000000" w:rsidP="00000000" w:rsidRDefault="00000000" w:rsidRPr="00000000" w14:paraId="0000004C">
            <w:pPr>
              <w:tabs>
                <w:tab w:val="center" w:pos="4320"/>
                <w:tab w:val="right" w:pos="8640"/>
              </w:tabs>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4D">
            <w:pPr>
              <w:tabs>
                <w:tab w:val="center" w:pos="4320"/>
                <w:tab w:val="right" w:pos="8640"/>
              </w:tabs>
              <w:ind w:left="123" w:hanging="123"/>
              <w:rPr>
                <w:rFonts w:ascii="Calibri" w:cs="Calibri" w:eastAsia="Calibri" w:hAnsi="Calibri"/>
                <w:color w:val="000000"/>
                <w:sz w:val="16"/>
                <w:szCs w:val="16"/>
              </w:rPr>
            </w:pPr>
            <w:r w:rsidDel="00000000" w:rsidR="00000000" w:rsidRPr="00000000">
              <w:rPr>
                <w:rtl w:val="0"/>
              </w:rPr>
            </w:r>
          </w:p>
        </w:tc>
        <w:tc>
          <w:tcPr/>
          <w:p w:rsidR="00000000" w:rsidDel="00000000" w:rsidP="00000000" w:rsidRDefault="00000000" w:rsidRPr="00000000" w14:paraId="0000004E">
            <w:pPr>
              <w:tabs>
                <w:tab w:val="center" w:pos="4320"/>
                <w:tab w:val="right" w:pos="8640"/>
              </w:tabs>
              <w:rPr>
                <w:rFonts w:ascii="Calibri" w:cs="Calibri" w:eastAsia="Calibri" w:hAnsi="Calibri"/>
                <w:color w:val="000000"/>
                <w:sz w:val="16"/>
                <w:szCs w:val="16"/>
              </w:rPr>
            </w:pPr>
            <w:r w:rsidDel="00000000" w:rsidR="00000000" w:rsidRPr="00000000">
              <w:rPr>
                <w:rtl w:val="0"/>
              </w:rPr>
            </w:r>
          </w:p>
        </w:tc>
      </w:tr>
    </w:tbl>
    <w:p w:rsidR="00000000" w:rsidDel="00000000" w:rsidP="00000000" w:rsidRDefault="00000000" w:rsidRPr="00000000" w14:paraId="0000004F">
      <w:pPr>
        <w:rPr/>
      </w:pPr>
      <w:r w:rsidDel="00000000" w:rsidR="00000000" w:rsidRPr="00000000">
        <w:rPr>
          <w:rtl w:val="0"/>
        </w:rPr>
      </w:r>
    </w:p>
    <w:sectPr>
      <w:pgSz w:h="16839" w:w="11907"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ervices.choruscall.com/links/cvhsy210518tW9c2pKp.html" TargetMode="External"/><Relationship Id="rId7" Type="http://schemas.openxmlformats.org/officeDocument/2006/relationships/hyperlink" Target="https://www.cablevisionholding.com/Investors/Presentations" TargetMode="External"/><Relationship Id="rId8" Type="http://schemas.openxmlformats.org/officeDocument/2006/relationships/hyperlink" Target="mailto:ir@cvh.com.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