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3DB70" w14:textId="77777777" w:rsidR="002156DE" w:rsidRPr="002156DE" w:rsidRDefault="002156DE" w:rsidP="002156DE">
      <w:pPr>
        <w:autoSpaceDE w:val="0"/>
        <w:autoSpaceDN w:val="0"/>
        <w:adjustRightInd w:val="0"/>
        <w:rPr>
          <w:rFonts w:ascii="Arial" w:eastAsiaTheme="minorEastAsia" w:hAnsi="Arial" w:cs="Arial"/>
          <w:color w:val="000000"/>
          <w:lang w:eastAsia="ja-JP"/>
        </w:rPr>
      </w:pPr>
    </w:p>
    <w:p w14:paraId="698E2507" w14:textId="5CE31514" w:rsidR="00360015" w:rsidRDefault="002156DE" w:rsidP="002156DE">
      <w:pPr>
        <w:rPr>
          <w:rFonts w:ascii="Arial" w:hAnsi="Arial" w:cs="Arial"/>
          <w:b/>
        </w:rPr>
      </w:pPr>
      <w:r w:rsidRPr="002156DE">
        <w:rPr>
          <w:rFonts w:ascii="Arial" w:eastAsiaTheme="minorEastAsia" w:hAnsi="Arial" w:cs="Arial"/>
          <w:b/>
          <w:bCs/>
          <w:color w:val="000000"/>
          <w:sz w:val="23"/>
          <w:szCs w:val="23"/>
          <w:lang w:eastAsia="ja-JP"/>
        </w:rPr>
        <w:t xml:space="preserve">Tortoise Announces Distribution Amounts and Dates </w:t>
      </w:r>
      <w:r w:rsidR="00626D5B">
        <w:rPr>
          <w:rFonts w:ascii="Arial" w:eastAsiaTheme="minorEastAsia" w:hAnsi="Arial" w:cs="Arial"/>
          <w:b/>
          <w:bCs/>
          <w:color w:val="000000"/>
          <w:sz w:val="23"/>
          <w:szCs w:val="23"/>
          <w:lang w:eastAsia="ja-JP"/>
        </w:rPr>
        <w:t xml:space="preserve">for Its Closed-End Funds </w:t>
      </w:r>
      <w:r w:rsidR="004B0DFC">
        <w:rPr>
          <w:rFonts w:ascii="Arial" w:eastAsiaTheme="minorEastAsia" w:hAnsi="Arial" w:cs="Arial"/>
          <w:b/>
          <w:bCs/>
          <w:color w:val="000000"/>
          <w:sz w:val="23"/>
          <w:szCs w:val="23"/>
          <w:lang w:eastAsia="ja-JP"/>
        </w:rPr>
        <w:t xml:space="preserve">Including Distribution Increase </w:t>
      </w:r>
      <w:r w:rsidRPr="002156DE">
        <w:rPr>
          <w:rFonts w:ascii="Arial" w:eastAsiaTheme="minorEastAsia" w:hAnsi="Arial" w:cs="Arial"/>
          <w:b/>
          <w:bCs/>
          <w:color w:val="000000"/>
          <w:sz w:val="23"/>
          <w:szCs w:val="23"/>
          <w:lang w:eastAsia="ja-JP"/>
        </w:rPr>
        <w:t>for TYG</w:t>
      </w:r>
      <w:r w:rsidR="004B0DFC">
        <w:rPr>
          <w:rFonts w:ascii="Arial" w:eastAsiaTheme="minorEastAsia" w:hAnsi="Arial" w:cs="Arial"/>
          <w:b/>
          <w:bCs/>
          <w:color w:val="000000"/>
          <w:sz w:val="23"/>
          <w:szCs w:val="23"/>
          <w:lang w:eastAsia="ja-JP"/>
        </w:rPr>
        <w:t xml:space="preserve"> and</w:t>
      </w:r>
      <w:r w:rsidRPr="002156DE">
        <w:rPr>
          <w:rFonts w:ascii="Arial" w:eastAsiaTheme="minorEastAsia" w:hAnsi="Arial" w:cs="Arial"/>
          <w:b/>
          <w:bCs/>
          <w:color w:val="000000"/>
          <w:sz w:val="23"/>
          <w:szCs w:val="23"/>
          <w:lang w:eastAsia="ja-JP"/>
        </w:rPr>
        <w:t xml:space="preserve"> NTG</w:t>
      </w:r>
    </w:p>
    <w:p w14:paraId="377DC682" w14:textId="77777777" w:rsidR="001C0572" w:rsidRPr="001C0572" w:rsidRDefault="001C0572" w:rsidP="001C0572">
      <w:pPr>
        <w:shd w:val="clear" w:color="auto" w:fill="FFFFFF"/>
        <w:rPr>
          <w:rFonts w:ascii="Arial" w:hAnsi="Arial" w:cs="Arial"/>
          <w:color w:val="69717A"/>
          <w:sz w:val="20"/>
          <w:szCs w:val="20"/>
        </w:rPr>
      </w:pPr>
    </w:p>
    <w:p w14:paraId="7D6D774C" w14:textId="0B037A1A" w:rsidR="004B0DFC" w:rsidRDefault="004B0DFC" w:rsidP="00624FE2">
      <w:pPr>
        <w:pStyle w:val="Default"/>
        <w:ind w:right="180"/>
        <w:rPr>
          <w:sz w:val="20"/>
          <w:szCs w:val="20"/>
        </w:rPr>
      </w:pPr>
      <w:r>
        <w:rPr>
          <w:sz w:val="20"/>
          <w:szCs w:val="20"/>
        </w:rPr>
        <w:t>Distribution Amounts and Dates Declared for:</w:t>
      </w:r>
    </w:p>
    <w:p w14:paraId="0FEFB256" w14:textId="65FC6F81" w:rsidR="004B0DFC" w:rsidRDefault="004B0DFC" w:rsidP="00624FE2">
      <w:pPr>
        <w:pStyle w:val="Default"/>
        <w:ind w:right="180"/>
        <w:rPr>
          <w:sz w:val="20"/>
          <w:szCs w:val="20"/>
        </w:rPr>
      </w:pPr>
      <w:r>
        <w:rPr>
          <w:sz w:val="20"/>
          <w:szCs w:val="20"/>
        </w:rPr>
        <w:t>Tortoise Energy Infrastructure Corp. (NYSE: TYG)</w:t>
      </w:r>
    </w:p>
    <w:p w14:paraId="204EA346" w14:textId="60E23491" w:rsidR="004B0DFC" w:rsidRDefault="004B0DFC" w:rsidP="00624FE2">
      <w:pPr>
        <w:pStyle w:val="Default"/>
        <w:ind w:right="180"/>
        <w:rPr>
          <w:sz w:val="20"/>
          <w:szCs w:val="20"/>
        </w:rPr>
      </w:pPr>
      <w:r>
        <w:rPr>
          <w:sz w:val="20"/>
          <w:szCs w:val="20"/>
        </w:rPr>
        <w:t>Tortoise Midstream Energy Fund, Inc. (NYSE: NTG)</w:t>
      </w:r>
    </w:p>
    <w:p w14:paraId="61077631" w14:textId="036B92B9" w:rsidR="004B0DFC" w:rsidRDefault="004B0DFC" w:rsidP="00624FE2">
      <w:pPr>
        <w:pStyle w:val="Default"/>
        <w:ind w:right="180"/>
        <w:rPr>
          <w:sz w:val="20"/>
          <w:szCs w:val="20"/>
        </w:rPr>
      </w:pPr>
      <w:r>
        <w:rPr>
          <w:sz w:val="20"/>
          <w:szCs w:val="20"/>
        </w:rPr>
        <w:t>Tortoise Pipeline &amp; Energy Fund, Inc. (NYSE: TTP)</w:t>
      </w:r>
    </w:p>
    <w:p w14:paraId="50E874E2" w14:textId="1DE2A4C6" w:rsidR="004B0DFC" w:rsidRDefault="004B0DFC" w:rsidP="00624FE2">
      <w:pPr>
        <w:pStyle w:val="Default"/>
        <w:ind w:right="180"/>
        <w:rPr>
          <w:sz w:val="20"/>
          <w:szCs w:val="20"/>
        </w:rPr>
      </w:pPr>
      <w:r>
        <w:rPr>
          <w:sz w:val="20"/>
          <w:szCs w:val="20"/>
        </w:rPr>
        <w:t>Tortoise Power and Energy Infrastructure Fund, Inc. (NYSE: TPZ)</w:t>
      </w:r>
    </w:p>
    <w:p w14:paraId="1AD8058B" w14:textId="08908730" w:rsidR="004B0DFC" w:rsidRDefault="004B0DFC" w:rsidP="00624FE2">
      <w:pPr>
        <w:pStyle w:val="Default"/>
        <w:ind w:right="180"/>
        <w:rPr>
          <w:sz w:val="20"/>
          <w:szCs w:val="20"/>
        </w:rPr>
      </w:pPr>
      <w:r>
        <w:rPr>
          <w:sz w:val="20"/>
          <w:szCs w:val="20"/>
        </w:rPr>
        <w:t>Tortoise Essential Assets Income Term Fund (NYSE: TEAF)</w:t>
      </w:r>
    </w:p>
    <w:p w14:paraId="2625BEA3" w14:textId="77777777" w:rsidR="004B0DFC" w:rsidRDefault="004B0DFC" w:rsidP="00624FE2">
      <w:pPr>
        <w:pStyle w:val="Default"/>
        <w:ind w:right="180"/>
        <w:rPr>
          <w:sz w:val="20"/>
          <w:szCs w:val="20"/>
        </w:rPr>
      </w:pPr>
    </w:p>
    <w:p w14:paraId="2EE0A1B5" w14:textId="026525F2" w:rsidR="00624FE2" w:rsidRPr="009A141C" w:rsidRDefault="00624FE2" w:rsidP="00624FE2">
      <w:pPr>
        <w:pStyle w:val="Default"/>
        <w:ind w:right="180"/>
        <w:rPr>
          <w:sz w:val="20"/>
          <w:szCs w:val="20"/>
        </w:rPr>
      </w:pPr>
      <w:r w:rsidRPr="009A141C">
        <w:rPr>
          <w:sz w:val="20"/>
          <w:szCs w:val="20"/>
        </w:rPr>
        <w:t xml:space="preserve">FOR IMMEDIATE RELEASE </w:t>
      </w:r>
    </w:p>
    <w:p w14:paraId="34B05E7F" w14:textId="77777777" w:rsidR="004B3FED" w:rsidRDefault="004B3FED" w:rsidP="004C3419">
      <w:pPr>
        <w:autoSpaceDE w:val="0"/>
        <w:autoSpaceDN w:val="0"/>
        <w:adjustRightInd w:val="0"/>
        <w:rPr>
          <w:rFonts w:ascii="Arial" w:hAnsi="Arial" w:cs="Arial"/>
          <w:b/>
          <w:sz w:val="20"/>
          <w:szCs w:val="20"/>
        </w:rPr>
      </w:pPr>
    </w:p>
    <w:p w14:paraId="66E71203" w14:textId="7446540A" w:rsidR="00A3614E" w:rsidRPr="00F84AA8" w:rsidRDefault="00624FE2" w:rsidP="00FA18A4">
      <w:pPr>
        <w:pStyle w:val="Default"/>
        <w:rPr>
          <w:b/>
          <w:sz w:val="20"/>
          <w:szCs w:val="20"/>
        </w:rPr>
      </w:pPr>
      <w:r w:rsidRPr="009A141C">
        <w:rPr>
          <w:b/>
          <w:sz w:val="20"/>
          <w:szCs w:val="20"/>
        </w:rPr>
        <w:t>LEAWOOD,</w:t>
      </w:r>
      <w:r w:rsidR="00B50E05">
        <w:rPr>
          <w:b/>
          <w:sz w:val="20"/>
          <w:szCs w:val="20"/>
        </w:rPr>
        <w:t xml:space="preserve"> KS</w:t>
      </w:r>
      <w:r w:rsidR="004B3FED">
        <w:rPr>
          <w:b/>
          <w:sz w:val="20"/>
          <w:szCs w:val="20"/>
        </w:rPr>
        <w:t xml:space="preserve"> / ACCESSWIRE / May 10, 2021 / </w:t>
      </w:r>
      <w:r w:rsidR="004B0DFC" w:rsidRPr="00A064CD">
        <w:rPr>
          <w:sz w:val="20"/>
          <w:szCs w:val="20"/>
        </w:rPr>
        <w:t>Tortoise today announced that</w:t>
      </w:r>
      <w:r w:rsidR="007D46F4">
        <w:rPr>
          <w:sz w:val="20"/>
          <w:szCs w:val="20"/>
        </w:rPr>
        <w:t>,</w:t>
      </w:r>
      <w:r w:rsidR="004B0DFC" w:rsidRPr="00A064CD">
        <w:rPr>
          <w:sz w:val="20"/>
          <w:szCs w:val="20"/>
        </w:rPr>
        <w:t xml:space="preserve"> </w:t>
      </w:r>
      <w:r w:rsidR="007D46F4">
        <w:rPr>
          <w:sz w:val="20"/>
          <w:szCs w:val="20"/>
        </w:rPr>
        <w:t>due to</w:t>
      </w:r>
      <w:r w:rsidR="00624308">
        <w:rPr>
          <w:sz w:val="20"/>
          <w:szCs w:val="20"/>
        </w:rPr>
        <w:t xml:space="preserve"> continued </w:t>
      </w:r>
      <w:r w:rsidR="007D46F4">
        <w:rPr>
          <w:sz w:val="20"/>
          <w:szCs w:val="20"/>
        </w:rPr>
        <w:t>NAV growth</w:t>
      </w:r>
      <w:r w:rsidR="00A064CD">
        <w:rPr>
          <w:sz w:val="20"/>
          <w:szCs w:val="20"/>
        </w:rPr>
        <w:t xml:space="preserve"> and </w:t>
      </w:r>
      <w:r w:rsidR="00624308">
        <w:rPr>
          <w:sz w:val="20"/>
          <w:szCs w:val="20"/>
        </w:rPr>
        <w:t>a constructive</w:t>
      </w:r>
      <w:r w:rsidR="00A064CD">
        <w:rPr>
          <w:sz w:val="20"/>
          <w:szCs w:val="20"/>
        </w:rPr>
        <w:t xml:space="preserve"> outlook </w:t>
      </w:r>
      <w:r w:rsidR="000427A1">
        <w:rPr>
          <w:sz w:val="20"/>
          <w:szCs w:val="20"/>
        </w:rPr>
        <w:t>for the energy infrastructure</w:t>
      </w:r>
      <w:r w:rsidR="00D465F4">
        <w:rPr>
          <w:sz w:val="20"/>
          <w:szCs w:val="20"/>
        </w:rPr>
        <w:t xml:space="preserve"> sector</w:t>
      </w:r>
      <w:r w:rsidR="007D46F4">
        <w:rPr>
          <w:sz w:val="20"/>
          <w:szCs w:val="20"/>
        </w:rPr>
        <w:t xml:space="preserve">, </w:t>
      </w:r>
      <w:r w:rsidR="004B0DFC" w:rsidRPr="00A064CD">
        <w:rPr>
          <w:sz w:val="20"/>
          <w:szCs w:val="20"/>
        </w:rPr>
        <w:t xml:space="preserve">the Board approved an increase to quarterly distributions for TYG </w:t>
      </w:r>
      <w:r w:rsidR="004B0DFC">
        <w:rPr>
          <w:sz w:val="20"/>
          <w:szCs w:val="20"/>
        </w:rPr>
        <w:t xml:space="preserve">of 7.9% and </w:t>
      </w:r>
      <w:r w:rsidR="004B0DFC" w:rsidRPr="00A064CD">
        <w:rPr>
          <w:sz w:val="20"/>
          <w:szCs w:val="20"/>
        </w:rPr>
        <w:t>NTG</w:t>
      </w:r>
      <w:r w:rsidR="004B0DFC">
        <w:rPr>
          <w:sz w:val="20"/>
          <w:szCs w:val="20"/>
        </w:rPr>
        <w:t xml:space="preserve"> of 9.1%.</w:t>
      </w:r>
      <w:r w:rsidR="00D75933">
        <w:rPr>
          <w:bCs/>
          <w:sz w:val="20"/>
          <w:szCs w:val="20"/>
        </w:rPr>
        <w:t xml:space="preserve"> D</w:t>
      </w:r>
      <w:r w:rsidR="00FA18A4" w:rsidRPr="00FA18A4">
        <w:rPr>
          <w:bCs/>
          <w:sz w:val="20"/>
          <w:szCs w:val="20"/>
        </w:rPr>
        <w:t xml:space="preserve">istributions </w:t>
      </w:r>
      <w:r w:rsidR="00D75933">
        <w:rPr>
          <w:bCs/>
          <w:sz w:val="20"/>
          <w:szCs w:val="20"/>
        </w:rPr>
        <w:t>for Tortoise closed-end funds are</w:t>
      </w:r>
      <w:r w:rsidR="00652E51">
        <w:rPr>
          <w:bCs/>
          <w:sz w:val="20"/>
          <w:szCs w:val="20"/>
        </w:rPr>
        <w:t xml:space="preserve"> </w:t>
      </w:r>
      <w:r w:rsidR="00FA18A4" w:rsidRPr="00FA18A4">
        <w:rPr>
          <w:bCs/>
          <w:sz w:val="20"/>
          <w:szCs w:val="20"/>
        </w:rPr>
        <w:t xml:space="preserve">detailed below.  </w:t>
      </w:r>
    </w:p>
    <w:tbl>
      <w:tblPr>
        <w:tblW w:w="8010" w:type="dxa"/>
        <w:tblLook w:val="04A0" w:firstRow="1" w:lastRow="0" w:firstColumn="1" w:lastColumn="0" w:noHBand="0" w:noVBand="1"/>
      </w:tblPr>
      <w:tblGrid>
        <w:gridCol w:w="5040"/>
        <w:gridCol w:w="1080"/>
        <w:gridCol w:w="1890"/>
      </w:tblGrid>
      <w:tr w:rsidR="004C3419" w:rsidRPr="00A759E8" w14:paraId="3C6ADE80" w14:textId="6F26CA21" w:rsidTr="00A1078F">
        <w:trPr>
          <w:trHeight w:val="551"/>
        </w:trPr>
        <w:tc>
          <w:tcPr>
            <w:tcW w:w="5040" w:type="dxa"/>
            <w:shd w:val="clear" w:color="auto" w:fill="auto"/>
            <w:vAlign w:val="bottom"/>
          </w:tcPr>
          <w:p w14:paraId="3A7CF4B4" w14:textId="77777777" w:rsidR="004C3419" w:rsidRPr="00A759E8" w:rsidRDefault="004C3419" w:rsidP="00313C1E">
            <w:pPr>
              <w:suppressAutoHyphens/>
              <w:autoSpaceDE w:val="0"/>
              <w:autoSpaceDN w:val="0"/>
              <w:adjustRightInd w:val="0"/>
              <w:rPr>
                <w:rFonts w:ascii="Arial" w:hAnsi="Arial" w:cs="Arial"/>
                <w:sz w:val="20"/>
                <w:szCs w:val="20"/>
              </w:rPr>
            </w:pPr>
            <w:r w:rsidRPr="00A759E8">
              <w:rPr>
                <w:rFonts w:ascii="Arial" w:hAnsi="Arial" w:cs="Arial"/>
                <w:b/>
                <w:bCs/>
                <w:sz w:val="20"/>
                <w:szCs w:val="20"/>
              </w:rPr>
              <w:t>Fund</w:t>
            </w:r>
          </w:p>
        </w:tc>
        <w:tc>
          <w:tcPr>
            <w:tcW w:w="1080" w:type="dxa"/>
            <w:shd w:val="clear" w:color="auto" w:fill="auto"/>
            <w:vAlign w:val="bottom"/>
          </w:tcPr>
          <w:p w14:paraId="66C46326" w14:textId="77777777" w:rsidR="004C3419" w:rsidRPr="00A759E8" w:rsidRDefault="004C3419" w:rsidP="00A63AC8">
            <w:pPr>
              <w:suppressAutoHyphens/>
              <w:autoSpaceDE w:val="0"/>
              <w:autoSpaceDN w:val="0"/>
              <w:adjustRightInd w:val="0"/>
              <w:jc w:val="center"/>
              <w:rPr>
                <w:rFonts w:ascii="Arial" w:hAnsi="Arial" w:cs="Arial"/>
                <w:sz w:val="20"/>
                <w:szCs w:val="20"/>
              </w:rPr>
            </w:pPr>
            <w:r w:rsidRPr="00A759E8">
              <w:rPr>
                <w:rFonts w:ascii="Arial" w:hAnsi="Arial" w:cs="Arial"/>
                <w:b/>
                <w:bCs/>
                <w:sz w:val="20"/>
                <w:szCs w:val="20"/>
              </w:rPr>
              <w:t>Ticker</w:t>
            </w:r>
          </w:p>
        </w:tc>
        <w:tc>
          <w:tcPr>
            <w:tcW w:w="1890" w:type="dxa"/>
            <w:shd w:val="clear" w:color="auto" w:fill="auto"/>
            <w:vAlign w:val="bottom"/>
          </w:tcPr>
          <w:p w14:paraId="171C86C5" w14:textId="1EDA43DD" w:rsidR="004C3419" w:rsidRPr="00A759E8" w:rsidRDefault="004C3419" w:rsidP="00A63AC8">
            <w:pPr>
              <w:suppressAutoHyphens/>
              <w:autoSpaceDE w:val="0"/>
              <w:autoSpaceDN w:val="0"/>
              <w:adjustRightInd w:val="0"/>
              <w:jc w:val="center"/>
              <w:rPr>
                <w:rFonts w:ascii="Arial" w:hAnsi="Arial" w:cs="Arial"/>
                <w:sz w:val="20"/>
                <w:szCs w:val="20"/>
              </w:rPr>
            </w:pPr>
            <w:r w:rsidRPr="00A759E8">
              <w:rPr>
                <w:rFonts w:ascii="Arial" w:hAnsi="Arial" w:cs="Arial"/>
                <w:b/>
                <w:bCs/>
                <w:sz w:val="20"/>
                <w:szCs w:val="20"/>
              </w:rPr>
              <w:t>Distribution Amount</w:t>
            </w:r>
          </w:p>
        </w:tc>
      </w:tr>
      <w:tr w:rsidR="004C3419" w:rsidRPr="00A759E8" w14:paraId="71D3537B" w14:textId="3541B9D5" w:rsidTr="001B55D5">
        <w:trPr>
          <w:trHeight w:val="308"/>
        </w:trPr>
        <w:tc>
          <w:tcPr>
            <w:tcW w:w="5040" w:type="dxa"/>
            <w:shd w:val="clear" w:color="auto" w:fill="auto"/>
            <w:vAlign w:val="center"/>
          </w:tcPr>
          <w:p w14:paraId="6AE6B169" w14:textId="77777777" w:rsidR="004C3419" w:rsidRPr="00C826E5" w:rsidRDefault="004C3419" w:rsidP="001B55D5">
            <w:pPr>
              <w:suppressAutoHyphens/>
              <w:autoSpaceDE w:val="0"/>
              <w:autoSpaceDN w:val="0"/>
              <w:adjustRightInd w:val="0"/>
              <w:rPr>
                <w:rFonts w:ascii="Arial" w:hAnsi="Arial" w:cs="Arial"/>
                <w:sz w:val="20"/>
                <w:szCs w:val="20"/>
              </w:rPr>
            </w:pPr>
            <w:r w:rsidRPr="00DB7CF8">
              <w:rPr>
                <w:rFonts w:ascii="Arial" w:hAnsi="Arial" w:cs="Arial"/>
                <w:sz w:val="20"/>
                <w:szCs w:val="20"/>
              </w:rPr>
              <w:t>Tortoise Energy Infrastructure Corp.</w:t>
            </w:r>
          </w:p>
        </w:tc>
        <w:tc>
          <w:tcPr>
            <w:tcW w:w="1080" w:type="dxa"/>
            <w:shd w:val="clear" w:color="auto" w:fill="auto"/>
            <w:vAlign w:val="center"/>
          </w:tcPr>
          <w:p w14:paraId="2F30EBFA" w14:textId="77777777" w:rsidR="004C3419" w:rsidRPr="00C826E5" w:rsidRDefault="004C3419" w:rsidP="001B55D5">
            <w:pPr>
              <w:suppressAutoHyphens/>
              <w:autoSpaceDE w:val="0"/>
              <w:autoSpaceDN w:val="0"/>
              <w:adjustRightInd w:val="0"/>
              <w:jc w:val="center"/>
              <w:rPr>
                <w:rFonts w:ascii="Arial" w:hAnsi="Arial" w:cs="Arial"/>
                <w:sz w:val="20"/>
                <w:szCs w:val="20"/>
              </w:rPr>
            </w:pPr>
            <w:r>
              <w:rPr>
                <w:rFonts w:ascii="Arial" w:hAnsi="Arial" w:cs="Arial"/>
                <w:sz w:val="20"/>
                <w:szCs w:val="20"/>
              </w:rPr>
              <w:t>TYG</w:t>
            </w:r>
          </w:p>
        </w:tc>
        <w:tc>
          <w:tcPr>
            <w:tcW w:w="1890" w:type="dxa"/>
            <w:shd w:val="clear" w:color="auto" w:fill="auto"/>
            <w:vAlign w:val="center"/>
          </w:tcPr>
          <w:p w14:paraId="02D99FC7" w14:textId="613B1FE4" w:rsidR="004C3419" w:rsidRPr="007A2ADF" w:rsidRDefault="004C3419" w:rsidP="008962D6">
            <w:pPr>
              <w:suppressAutoHyphens/>
              <w:autoSpaceDE w:val="0"/>
              <w:autoSpaceDN w:val="0"/>
              <w:adjustRightInd w:val="0"/>
              <w:jc w:val="center"/>
              <w:rPr>
                <w:rFonts w:ascii="Arial" w:hAnsi="Arial" w:cs="Arial"/>
                <w:sz w:val="20"/>
                <w:szCs w:val="20"/>
                <w:highlight w:val="yellow"/>
              </w:rPr>
            </w:pPr>
            <w:r w:rsidRPr="0082449E">
              <w:rPr>
                <w:rFonts w:ascii="Arial" w:hAnsi="Arial" w:cs="Arial"/>
                <w:sz w:val="20"/>
                <w:szCs w:val="20"/>
              </w:rPr>
              <w:t>$0.3</w:t>
            </w:r>
            <w:r w:rsidR="008962D6">
              <w:rPr>
                <w:rFonts w:ascii="Arial" w:hAnsi="Arial" w:cs="Arial"/>
                <w:sz w:val="20"/>
                <w:szCs w:val="20"/>
              </w:rPr>
              <w:t>4</w:t>
            </w:r>
            <w:r w:rsidR="00923FDD">
              <w:rPr>
                <w:rFonts w:ascii="Arial" w:hAnsi="Arial" w:cs="Arial"/>
                <w:sz w:val="20"/>
                <w:szCs w:val="20"/>
              </w:rPr>
              <w:t>0</w:t>
            </w:r>
          </w:p>
        </w:tc>
      </w:tr>
      <w:tr w:rsidR="004C3419" w:rsidRPr="00A759E8" w14:paraId="758344E0" w14:textId="7BD1B301" w:rsidTr="001B55D5">
        <w:trPr>
          <w:trHeight w:val="308"/>
        </w:trPr>
        <w:tc>
          <w:tcPr>
            <w:tcW w:w="5040" w:type="dxa"/>
            <w:shd w:val="clear" w:color="auto" w:fill="auto"/>
            <w:vAlign w:val="center"/>
          </w:tcPr>
          <w:p w14:paraId="53368CBF" w14:textId="77777777" w:rsidR="004C3419" w:rsidRPr="00C826E5" w:rsidRDefault="004C3419" w:rsidP="001B55D5">
            <w:pPr>
              <w:suppressAutoHyphens/>
              <w:autoSpaceDE w:val="0"/>
              <w:autoSpaceDN w:val="0"/>
              <w:adjustRightInd w:val="0"/>
              <w:rPr>
                <w:rFonts w:ascii="Arial" w:hAnsi="Arial" w:cs="Arial"/>
                <w:sz w:val="20"/>
                <w:szCs w:val="20"/>
              </w:rPr>
            </w:pPr>
            <w:r w:rsidRPr="00DB7CF8">
              <w:rPr>
                <w:rFonts w:ascii="Arial" w:hAnsi="Arial" w:cs="Arial"/>
                <w:sz w:val="20"/>
                <w:szCs w:val="20"/>
              </w:rPr>
              <w:t>Tortoise Midstream Energy Fund, Inc.</w:t>
            </w:r>
          </w:p>
        </w:tc>
        <w:tc>
          <w:tcPr>
            <w:tcW w:w="1080" w:type="dxa"/>
            <w:shd w:val="clear" w:color="auto" w:fill="auto"/>
            <w:vAlign w:val="center"/>
          </w:tcPr>
          <w:p w14:paraId="6EC25DEA" w14:textId="77777777" w:rsidR="004C3419" w:rsidRPr="00C826E5" w:rsidRDefault="004C3419" w:rsidP="001B55D5">
            <w:pPr>
              <w:suppressAutoHyphens/>
              <w:autoSpaceDE w:val="0"/>
              <w:autoSpaceDN w:val="0"/>
              <w:adjustRightInd w:val="0"/>
              <w:jc w:val="center"/>
              <w:rPr>
                <w:rFonts w:ascii="Arial" w:hAnsi="Arial" w:cs="Arial"/>
                <w:sz w:val="20"/>
                <w:szCs w:val="20"/>
              </w:rPr>
            </w:pPr>
            <w:r>
              <w:rPr>
                <w:rFonts w:ascii="Arial" w:hAnsi="Arial" w:cs="Arial"/>
                <w:sz w:val="20"/>
                <w:szCs w:val="20"/>
              </w:rPr>
              <w:t>NTG</w:t>
            </w:r>
          </w:p>
        </w:tc>
        <w:tc>
          <w:tcPr>
            <w:tcW w:w="1890" w:type="dxa"/>
            <w:shd w:val="clear" w:color="auto" w:fill="auto"/>
            <w:vAlign w:val="center"/>
          </w:tcPr>
          <w:p w14:paraId="3199D4BE" w14:textId="34436006" w:rsidR="004C3419" w:rsidRPr="007A2ADF" w:rsidRDefault="004C3419" w:rsidP="008962D6">
            <w:pPr>
              <w:suppressAutoHyphens/>
              <w:autoSpaceDE w:val="0"/>
              <w:autoSpaceDN w:val="0"/>
              <w:adjustRightInd w:val="0"/>
              <w:jc w:val="center"/>
              <w:rPr>
                <w:rFonts w:ascii="Arial" w:hAnsi="Arial" w:cs="Arial"/>
                <w:sz w:val="20"/>
                <w:szCs w:val="20"/>
                <w:highlight w:val="yellow"/>
              </w:rPr>
            </w:pPr>
            <w:r w:rsidRPr="0082449E">
              <w:rPr>
                <w:rFonts w:ascii="Arial" w:hAnsi="Arial" w:cs="Arial"/>
                <w:sz w:val="20"/>
                <w:szCs w:val="20"/>
              </w:rPr>
              <w:t>$0.3</w:t>
            </w:r>
            <w:r w:rsidR="008962D6">
              <w:rPr>
                <w:rFonts w:ascii="Arial" w:hAnsi="Arial" w:cs="Arial"/>
                <w:sz w:val="20"/>
                <w:szCs w:val="20"/>
              </w:rPr>
              <w:t>6</w:t>
            </w:r>
            <w:r w:rsidR="0082449E">
              <w:rPr>
                <w:rFonts w:ascii="Arial" w:hAnsi="Arial" w:cs="Arial"/>
                <w:sz w:val="20"/>
                <w:szCs w:val="20"/>
              </w:rPr>
              <w:t>0</w:t>
            </w:r>
          </w:p>
        </w:tc>
      </w:tr>
      <w:tr w:rsidR="004C3419" w:rsidRPr="00A759E8" w14:paraId="10640F59" w14:textId="79093D75" w:rsidTr="001B55D5">
        <w:trPr>
          <w:trHeight w:val="308"/>
        </w:trPr>
        <w:tc>
          <w:tcPr>
            <w:tcW w:w="5040" w:type="dxa"/>
            <w:shd w:val="clear" w:color="auto" w:fill="auto"/>
            <w:vAlign w:val="center"/>
          </w:tcPr>
          <w:p w14:paraId="47F64CFF" w14:textId="77777777" w:rsidR="004C3419" w:rsidRPr="00A759E8" w:rsidRDefault="004C3419" w:rsidP="001B55D5">
            <w:pPr>
              <w:suppressAutoHyphens/>
              <w:autoSpaceDE w:val="0"/>
              <w:autoSpaceDN w:val="0"/>
              <w:adjustRightInd w:val="0"/>
              <w:rPr>
                <w:rFonts w:ascii="Arial" w:hAnsi="Arial" w:cs="Arial"/>
                <w:sz w:val="20"/>
                <w:szCs w:val="20"/>
              </w:rPr>
            </w:pPr>
            <w:r w:rsidRPr="00C826E5">
              <w:rPr>
                <w:rFonts w:ascii="Arial" w:hAnsi="Arial" w:cs="Arial"/>
                <w:sz w:val="20"/>
                <w:szCs w:val="20"/>
              </w:rPr>
              <w:t>Tortoise Pipeline &amp; Energy Fund, Inc.</w:t>
            </w:r>
          </w:p>
        </w:tc>
        <w:tc>
          <w:tcPr>
            <w:tcW w:w="1080" w:type="dxa"/>
            <w:shd w:val="clear" w:color="auto" w:fill="auto"/>
            <w:vAlign w:val="center"/>
          </w:tcPr>
          <w:p w14:paraId="4EF4A3C9" w14:textId="77777777" w:rsidR="004C3419" w:rsidRPr="00A759E8" w:rsidRDefault="004C3419" w:rsidP="001B55D5">
            <w:pPr>
              <w:suppressAutoHyphens/>
              <w:autoSpaceDE w:val="0"/>
              <w:autoSpaceDN w:val="0"/>
              <w:adjustRightInd w:val="0"/>
              <w:jc w:val="center"/>
              <w:rPr>
                <w:rFonts w:ascii="Arial" w:hAnsi="Arial" w:cs="Arial"/>
                <w:sz w:val="20"/>
                <w:szCs w:val="20"/>
              </w:rPr>
            </w:pPr>
            <w:r w:rsidRPr="00C826E5">
              <w:rPr>
                <w:rFonts w:ascii="Arial" w:hAnsi="Arial" w:cs="Arial"/>
                <w:sz w:val="20"/>
                <w:szCs w:val="20"/>
              </w:rPr>
              <w:t>TTP</w:t>
            </w:r>
          </w:p>
        </w:tc>
        <w:tc>
          <w:tcPr>
            <w:tcW w:w="1890" w:type="dxa"/>
            <w:shd w:val="clear" w:color="auto" w:fill="auto"/>
            <w:vAlign w:val="center"/>
          </w:tcPr>
          <w:p w14:paraId="1A3C24FF" w14:textId="237E8A8D" w:rsidR="004C3419" w:rsidRPr="00F85407" w:rsidRDefault="004C3419" w:rsidP="001B55D5">
            <w:pPr>
              <w:suppressAutoHyphens/>
              <w:autoSpaceDE w:val="0"/>
              <w:autoSpaceDN w:val="0"/>
              <w:adjustRightInd w:val="0"/>
              <w:jc w:val="center"/>
              <w:rPr>
                <w:rFonts w:ascii="Arial" w:hAnsi="Arial" w:cs="Arial"/>
                <w:sz w:val="20"/>
                <w:szCs w:val="20"/>
              </w:rPr>
            </w:pPr>
            <w:r w:rsidRPr="00036F83">
              <w:rPr>
                <w:rFonts w:ascii="Arial" w:hAnsi="Arial" w:cs="Arial"/>
                <w:sz w:val="20"/>
                <w:szCs w:val="20"/>
              </w:rPr>
              <w:t>$0.</w:t>
            </w:r>
            <w:r>
              <w:rPr>
                <w:rFonts w:ascii="Arial" w:hAnsi="Arial" w:cs="Arial"/>
                <w:sz w:val="20"/>
                <w:szCs w:val="20"/>
              </w:rPr>
              <w:t>160</w:t>
            </w:r>
          </w:p>
        </w:tc>
      </w:tr>
      <w:tr w:rsidR="004C3419" w:rsidRPr="00C826E5" w14:paraId="3BD5EE3E" w14:textId="577A83F3" w:rsidTr="001B55D5">
        <w:trPr>
          <w:trHeight w:val="335"/>
        </w:trPr>
        <w:tc>
          <w:tcPr>
            <w:tcW w:w="5040" w:type="dxa"/>
            <w:shd w:val="clear" w:color="auto" w:fill="auto"/>
            <w:vAlign w:val="center"/>
          </w:tcPr>
          <w:p w14:paraId="69AD9276" w14:textId="77777777" w:rsidR="004C3419" w:rsidRPr="00C826E5" w:rsidRDefault="004C3419" w:rsidP="001B55D5">
            <w:pPr>
              <w:suppressAutoHyphens/>
              <w:autoSpaceDE w:val="0"/>
              <w:autoSpaceDN w:val="0"/>
              <w:adjustRightInd w:val="0"/>
              <w:rPr>
                <w:rFonts w:ascii="Arial" w:hAnsi="Arial" w:cs="Arial"/>
                <w:sz w:val="20"/>
                <w:szCs w:val="20"/>
              </w:rPr>
            </w:pPr>
            <w:r w:rsidRPr="00C826E5">
              <w:rPr>
                <w:rFonts w:ascii="Arial" w:hAnsi="Arial" w:cs="Arial"/>
                <w:sz w:val="20"/>
                <w:szCs w:val="20"/>
              </w:rPr>
              <w:t>Tortoise Power and Energy Infrastructure Fund, Inc.</w:t>
            </w:r>
          </w:p>
        </w:tc>
        <w:tc>
          <w:tcPr>
            <w:tcW w:w="1080" w:type="dxa"/>
            <w:shd w:val="clear" w:color="auto" w:fill="auto"/>
            <w:vAlign w:val="center"/>
          </w:tcPr>
          <w:p w14:paraId="42D89D7F" w14:textId="77777777" w:rsidR="004C3419" w:rsidRPr="00C826E5" w:rsidRDefault="004C3419" w:rsidP="001B55D5">
            <w:pPr>
              <w:suppressAutoHyphens/>
              <w:autoSpaceDE w:val="0"/>
              <w:autoSpaceDN w:val="0"/>
              <w:adjustRightInd w:val="0"/>
              <w:jc w:val="center"/>
              <w:rPr>
                <w:rFonts w:ascii="Arial" w:hAnsi="Arial" w:cs="Arial"/>
                <w:sz w:val="20"/>
                <w:szCs w:val="20"/>
              </w:rPr>
            </w:pPr>
            <w:r w:rsidRPr="00C826E5">
              <w:rPr>
                <w:rFonts w:ascii="Arial" w:hAnsi="Arial" w:cs="Arial"/>
                <w:sz w:val="20"/>
                <w:szCs w:val="20"/>
              </w:rPr>
              <w:t>TPZ</w:t>
            </w:r>
          </w:p>
        </w:tc>
        <w:tc>
          <w:tcPr>
            <w:tcW w:w="1890" w:type="dxa"/>
            <w:shd w:val="clear" w:color="auto" w:fill="auto"/>
            <w:vAlign w:val="center"/>
          </w:tcPr>
          <w:p w14:paraId="0B1EE8CE" w14:textId="4896180B" w:rsidR="004C3419" w:rsidRPr="00036F83" w:rsidRDefault="004C3419" w:rsidP="001B55D5">
            <w:pPr>
              <w:suppressAutoHyphens/>
              <w:autoSpaceDE w:val="0"/>
              <w:autoSpaceDN w:val="0"/>
              <w:adjustRightInd w:val="0"/>
              <w:jc w:val="center"/>
              <w:rPr>
                <w:rFonts w:ascii="Arial" w:hAnsi="Arial" w:cs="Arial"/>
                <w:sz w:val="20"/>
                <w:szCs w:val="20"/>
              </w:rPr>
            </w:pPr>
            <w:r w:rsidRPr="00036F83">
              <w:rPr>
                <w:rFonts w:ascii="Arial" w:hAnsi="Arial" w:cs="Arial"/>
                <w:sz w:val="20"/>
                <w:szCs w:val="20"/>
              </w:rPr>
              <w:t>$0.0</w:t>
            </w:r>
            <w:r>
              <w:rPr>
                <w:rFonts w:ascii="Arial" w:hAnsi="Arial" w:cs="Arial"/>
                <w:sz w:val="20"/>
                <w:szCs w:val="20"/>
              </w:rPr>
              <w:t>50</w:t>
            </w:r>
          </w:p>
        </w:tc>
      </w:tr>
      <w:tr w:rsidR="004C3419" w:rsidRPr="00C826E5" w14:paraId="59E18229" w14:textId="2D414530" w:rsidTr="001B55D5">
        <w:trPr>
          <w:trHeight w:val="335"/>
        </w:trPr>
        <w:tc>
          <w:tcPr>
            <w:tcW w:w="5040" w:type="dxa"/>
            <w:shd w:val="clear" w:color="auto" w:fill="auto"/>
            <w:vAlign w:val="center"/>
          </w:tcPr>
          <w:p w14:paraId="19219E56" w14:textId="77777777" w:rsidR="004C3419" w:rsidRPr="00C826E5" w:rsidRDefault="004C3419" w:rsidP="001B55D5">
            <w:pPr>
              <w:suppressAutoHyphens/>
              <w:autoSpaceDE w:val="0"/>
              <w:autoSpaceDN w:val="0"/>
              <w:adjustRightInd w:val="0"/>
              <w:rPr>
                <w:rFonts w:ascii="Arial" w:hAnsi="Arial" w:cs="Arial"/>
                <w:sz w:val="20"/>
                <w:szCs w:val="20"/>
              </w:rPr>
            </w:pPr>
            <w:r w:rsidRPr="00C826E5">
              <w:rPr>
                <w:rFonts w:ascii="Arial" w:hAnsi="Arial" w:cs="Arial"/>
                <w:sz w:val="20"/>
                <w:szCs w:val="20"/>
              </w:rPr>
              <w:t>Tortoise Essential Assets Income Term Fund</w:t>
            </w:r>
          </w:p>
        </w:tc>
        <w:tc>
          <w:tcPr>
            <w:tcW w:w="1080" w:type="dxa"/>
            <w:shd w:val="clear" w:color="auto" w:fill="auto"/>
            <w:vAlign w:val="center"/>
          </w:tcPr>
          <w:p w14:paraId="39C40C9A" w14:textId="77777777" w:rsidR="004C3419" w:rsidRPr="00C826E5" w:rsidRDefault="004C3419" w:rsidP="001B55D5">
            <w:pPr>
              <w:suppressAutoHyphens/>
              <w:autoSpaceDE w:val="0"/>
              <w:autoSpaceDN w:val="0"/>
              <w:adjustRightInd w:val="0"/>
              <w:jc w:val="center"/>
              <w:rPr>
                <w:rFonts w:ascii="Arial" w:hAnsi="Arial" w:cs="Arial"/>
                <w:sz w:val="20"/>
                <w:szCs w:val="20"/>
              </w:rPr>
            </w:pPr>
            <w:r w:rsidRPr="00C826E5">
              <w:rPr>
                <w:rFonts w:ascii="Arial" w:hAnsi="Arial" w:cs="Arial"/>
                <w:sz w:val="20"/>
                <w:szCs w:val="20"/>
              </w:rPr>
              <w:t>TEAF</w:t>
            </w:r>
          </w:p>
        </w:tc>
        <w:tc>
          <w:tcPr>
            <w:tcW w:w="1890" w:type="dxa"/>
            <w:shd w:val="clear" w:color="auto" w:fill="auto"/>
            <w:vAlign w:val="center"/>
          </w:tcPr>
          <w:p w14:paraId="3124551A" w14:textId="41252926" w:rsidR="004C3419" w:rsidRPr="00036F83" w:rsidRDefault="004C3419" w:rsidP="001B55D5">
            <w:pPr>
              <w:suppressAutoHyphens/>
              <w:autoSpaceDE w:val="0"/>
              <w:autoSpaceDN w:val="0"/>
              <w:adjustRightInd w:val="0"/>
              <w:jc w:val="center"/>
              <w:rPr>
                <w:rFonts w:ascii="Arial" w:hAnsi="Arial" w:cs="Arial"/>
                <w:sz w:val="20"/>
                <w:szCs w:val="20"/>
              </w:rPr>
            </w:pPr>
            <w:r w:rsidRPr="00036F83">
              <w:rPr>
                <w:rFonts w:ascii="Arial" w:hAnsi="Arial" w:cs="Arial"/>
                <w:sz w:val="20"/>
                <w:szCs w:val="20"/>
              </w:rPr>
              <w:t>$0.</w:t>
            </w:r>
            <w:r>
              <w:rPr>
                <w:rFonts w:ascii="Arial" w:hAnsi="Arial" w:cs="Arial"/>
                <w:sz w:val="20"/>
                <w:szCs w:val="20"/>
              </w:rPr>
              <w:t>075</w:t>
            </w:r>
          </w:p>
        </w:tc>
      </w:tr>
    </w:tbl>
    <w:p w14:paraId="0EEC8966" w14:textId="77777777" w:rsidR="00A1078F" w:rsidRDefault="00A1078F" w:rsidP="00A3614E">
      <w:pPr>
        <w:autoSpaceDE w:val="0"/>
        <w:autoSpaceDN w:val="0"/>
        <w:adjustRightInd w:val="0"/>
        <w:rPr>
          <w:rFonts w:ascii="Arial" w:hAnsi="Arial" w:cs="Arial"/>
          <w:sz w:val="20"/>
          <w:szCs w:val="20"/>
        </w:rPr>
      </w:pPr>
    </w:p>
    <w:p w14:paraId="16A667CC" w14:textId="00F778D5" w:rsidR="00A575DE" w:rsidRDefault="008962D6" w:rsidP="002156DE">
      <w:pPr>
        <w:autoSpaceDE w:val="0"/>
        <w:autoSpaceDN w:val="0"/>
        <w:adjustRightInd w:val="0"/>
        <w:rPr>
          <w:rFonts w:ascii="Arial" w:hAnsi="Arial" w:cs="Arial"/>
          <w:sz w:val="20"/>
          <w:szCs w:val="20"/>
        </w:rPr>
      </w:pPr>
      <w:r>
        <w:rPr>
          <w:rFonts w:ascii="Arial" w:hAnsi="Arial" w:cs="Arial"/>
          <w:sz w:val="20"/>
          <w:szCs w:val="20"/>
        </w:rPr>
        <w:t>As previously disclosed, TYG and NTG continue to transition their distribution policies to shift to a NAV-based distribution. Distribution amounts are generally expected to fall in the range of 5% to 7% of trailing average NAV. The NAV</w:t>
      </w:r>
      <w:r w:rsidR="00923FDD">
        <w:rPr>
          <w:rFonts w:ascii="Arial" w:hAnsi="Arial" w:cs="Arial"/>
          <w:sz w:val="20"/>
          <w:szCs w:val="20"/>
        </w:rPr>
        <w:t>-</w:t>
      </w:r>
      <w:r>
        <w:rPr>
          <w:rFonts w:ascii="Arial" w:hAnsi="Arial" w:cs="Arial"/>
          <w:sz w:val="20"/>
          <w:szCs w:val="20"/>
        </w:rPr>
        <w:t xml:space="preserve">based distributions for TYG and NTG align with the goal of maximizing NAV and provides the portfolio management team the flexibility to own investments with the most compelling total return potential across a broader set of energy infrastructure companies. Net cash flow not distributed can be used to fund share repurchases, reinvest in portfolio </w:t>
      </w:r>
      <w:proofErr w:type="gramStart"/>
      <w:r>
        <w:rPr>
          <w:rFonts w:ascii="Arial" w:hAnsi="Arial" w:cs="Arial"/>
          <w:sz w:val="20"/>
          <w:szCs w:val="20"/>
        </w:rPr>
        <w:t>securities</w:t>
      </w:r>
      <w:proofErr w:type="gramEnd"/>
      <w:r>
        <w:rPr>
          <w:rFonts w:ascii="Arial" w:hAnsi="Arial" w:cs="Arial"/>
          <w:sz w:val="20"/>
          <w:szCs w:val="20"/>
        </w:rPr>
        <w:t xml:space="preserve"> or reduce leverage. </w:t>
      </w:r>
    </w:p>
    <w:p w14:paraId="64F8B790" w14:textId="77777777" w:rsidR="00A575DE" w:rsidRDefault="00A575DE" w:rsidP="002156DE">
      <w:pPr>
        <w:autoSpaceDE w:val="0"/>
        <w:autoSpaceDN w:val="0"/>
        <w:adjustRightInd w:val="0"/>
        <w:rPr>
          <w:rFonts w:ascii="Arial" w:hAnsi="Arial" w:cs="Arial"/>
          <w:sz w:val="20"/>
          <w:szCs w:val="20"/>
        </w:rPr>
      </w:pPr>
    </w:p>
    <w:p w14:paraId="7B67A896" w14:textId="08E8C5CB" w:rsidR="00360015" w:rsidRDefault="00C5029E" w:rsidP="002156DE">
      <w:pPr>
        <w:autoSpaceDE w:val="0"/>
        <w:autoSpaceDN w:val="0"/>
        <w:adjustRightInd w:val="0"/>
        <w:rPr>
          <w:rFonts w:ascii="Arial" w:hAnsi="Arial" w:cs="Arial"/>
          <w:sz w:val="20"/>
          <w:szCs w:val="20"/>
        </w:rPr>
      </w:pPr>
      <w:r>
        <w:rPr>
          <w:rFonts w:ascii="Arial" w:hAnsi="Arial" w:cs="Arial"/>
          <w:sz w:val="20"/>
          <w:szCs w:val="20"/>
        </w:rPr>
        <w:t xml:space="preserve">The TYG, NTG and TTP distributions are payable on </w:t>
      </w:r>
      <w:r w:rsidR="004B3FED">
        <w:rPr>
          <w:rFonts w:ascii="Arial" w:hAnsi="Arial" w:cs="Arial"/>
          <w:sz w:val="20"/>
          <w:szCs w:val="20"/>
        </w:rPr>
        <w:t>May</w:t>
      </w:r>
      <w:r>
        <w:rPr>
          <w:rFonts w:ascii="Arial" w:hAnsi="Arial" w:cs="Arial"/>
          <w:sz w:val="20"/>
          <w:szCs w:val="20"/>
        </w:rPr>
        <w:t xml:space="preserve"> 2</w:t>
      </w:r>
      <w:r w:rsidR="004B3FED">
        <w:rPr>
          <w:rFonts w:ascii="Arial" w:hAnsi="Arial" w:cs="Arial"/>
          <w:sz w:val="20"/>
          <w:szCs w:val="20"/>
        </w:rPr>
        <w:t>8</w:t>
      </w:r>
      <w:r>
        <w:rPr>
          <w:rFonts w:ascii="Arial" w:hAnsi="Arial" w:cs="Arial"/>
          <w:sz w:val="20"/>
          <w:szCs w:val="20"/>
        </w:rPr>
        <w:t xml:space="preserve">, 2021 to shareholders of record on </w:t>
      </w:r>
      <w:r w:rsidR="004B3FED">
        <w:rPr>
          <w:rFonts w:ascii="Arial" w:hAnsi="Arial" w:cs="Arial"/>
          <w:sz w:val="20"/>
          <w:szCs w:val="20"/>
        </w:rPr>
        <w:t>May</w:t>
      </w:r>
      <w:r>
        <w:rPr>
          <w:rFonts w:ascii="Arial" w:hAnsi="Arial" w:cs="Arial"/>
          <w:sz w:val="20"/>
          <w:szCs w:val="20"/>
        </w:rPr>
        <w:t xml:space="preserve"> </w:t>
      </w:r>
      <w:r w:rsidR="004B3FED">
        <w:rPr>
          <w:rFonts w:ascii="Arial" w:hAnsi="Arial" w:cs="Arial"/>
          <w:sz w:val="20"/>
          <w:szCs w:val="20"/>
        </w:rPr>
        <w:t>21</w:t>
      </w:r>
      <w:r>
        <w:rPr>
          <w:rFonts w:ascii="Arial" w:hAnsi="Arial" w:cs="Arial"/>
          <w:sz w:val="20"/>
          <w:szCs w:val="20"/>
        </w:rPr>
        <w:t xml:space="preserve">, 2021. TPZ </w:t>
      </w:r>
      <w:r w:rsidR="006D5D65">
        <w:rPr>
          <w:rFonts w:ascii="Arial" w:hAnsi="Arial" w:cs="Arial"/>
          <w:sz w:val="20"/>
          <w:szCs w:val="20"/>
        </w:rPr>
        <w:t>is expected to</w:t>
      </w:r>
      <w:r>
        <w:rPr>
          <w:rFonts w:ascii="Arial" w:hAnsi="Arial" w:cs="Arial"/>
          <w:sz w:val="20"/>
          <w:szCs w:val="20"/>
        </w:rPr>
        <w:t xml:space="preserve"> continue to declare distributions monthly, with the </w:t>
      </w:r>
      <w:r w:rsidR="004B3FED">
        <w:rPr>
          <w:rFonts w:ascii="Arial" w:hAnsi="Arial" w:cs="Arial"/>
          <w:sz w:val="20"/>
          <w:szCs w:val="20"/>
        </w:rPr>
        <w:t>May</w:t>
      </w:r>
      <w:r>
        <w:rPr>
          <w:rFonts w:ascii="Arial" w:hAnsi="Arial" w:cs="Arial"/>
          <w:sz w:val="20"/>
          <w:szCs w:val="20"/>
        </w:rPr>
        <w:t xml:space="preserve"> distribution payable on </w:t>
      </w:r>
      <w:r w:rsidR="004B3FED">
        <w:rPr>
          <w:rFonts w:ascii="Arial" w:hAnsi="Arial" w:cs="Arial"/>
          <w:sz w:val="20"/>
          <w:szCs w:val="20"/>
        </w:rPr>
        <w:t>May</w:t>
      </w:r>
      <w:r>
        <w:rPr>
          <w:rFonts w:ascii="Arial" w:hAnsi="Arial" w:cs="Arial"/>
          <w:sz w:val="20"/>
          <w:szCs w:val="20"/>
        </w:rPr>
        <w:t xml:space="preserve"> </w:t>
      </w:r>
      <w:r w:rsidR="004B3FED">
        <w:rPr>
          <w:rFonts w:ascii="Arial" w:hAnsi="Arial" w:cs="Arial"/>
          <w:sz w:val="20"/>
          <w:szCs w:val="20"/>
        </w:rPr>
        <w:t>28</w:t>
      </w:r>
      <w:r>
        <w:rPr>
          <w:rFonts w:ascii="Arial" w:hAnsi="Arial" w:cs="Arial"/>
          <w:sz w:val="20"/>
          <w:szCs w:val="20"/>
        </w:rPr>
        <w:t xml:space="preserve">, 2021 to shareholders of record on </w:t>
      </w:r>
      <w:r w:rsidR="004B3FED">
        <w:rPr>
          <w:rFonts w:ascii="Arial" w:hAnsi="Arial" w:cs="Arial"/>
          <w:sz w:val="20"/>
          <w:szCs w:val="20"/>
        </w:rPr>
        <w:t>May</w:t>
      </w:r>
      <w:r>
        <w:rPr>
          <w:rFonts w:ascii="Arial" w:hAnsi="Arial" w:cs="Arial"/>
          <w:sz w:val="20"/>
          <w:szCs w:val="20"/>
        </w:rPr>
        <w:t xml:space="preserve"> </w:t>
      </w:r>
      <w:r w:rsidR="004B3FED">
        <w:rPr>
          <w:rFonts w:ascii="Arial" w:hAnsi="Arial" w:cs="Arial"/>
          <w:sz w:val="20"/>
          <w:szCs w:val="20"/>
        </w:rPr>
        <w:t>21</w:t>
      </w:r>
      <w:r>
        <w:rPr>
          <w:rFonts w:ascii="Arial" w:hAnsi="Arial" w:cs="Arial"/>
          <w:sz w:val="20"/>
          <w:szCs w:val="20"/>
        </w:rPr>
        <w:t xml:space="preserve">, 2021. TEAF monthly distributions are payable on </w:t>
      </w:r>
      <w:r w:rsidR="004B3FED">
        <w:rPr>
          <w:rFonts w:ascii="Arial" w:hAnsi="Arial" w:cs="Arial"/>
          <w:sz w:val="20"/>
          <w:szCs w:val="20"/>
        </w:rPr>
        <w:t>June</w:t>
      </w:r>
      <w:r>
        <w:rPr>
          <w:rFonts w:ascii="Arial" w:hAnsi="Arial" w:cs="Arial"/>
          <w:sz w:val="20"/>
          <w:szCs w:val="20"/>
        </w:rPr>
        <w:t xml:space="preserve"> </w:t>
      </w:r>
      <w:r w:rsidR="004B3FED">
        <w:rPr>
          <w:rFonts w:ascii="Arial" w:hAnsi="Arial" w:cs="Arial"/>
          <w:sz w:val="20"/>
          <w:szCs w:val="20"/>
        </w:rPr>
        <w:t>30</w:t>
      </w:r>
      <w:r>
        <w:rPr>
          <w:rFonts w:ascii="Arial" w:hAnsi="Arial" w:cs="Arial"/>
          <w:sz w:val="20"/>
          <w:szCs w:val="20"/>
        </w:rPr>
        <w:t xml:space="preserve">, 2021, </w:t>
      </w:r>
      <w:r w:rsidR="004B3FED">
        <w:rPr>
          <w:rFonts w:ascii="Arial" w:hAnsi="Arial" w:cs="Arial"/>
          <w:sz w:val="20"/>
          <w:szCs w:val="20"/>
        </w:rPr>
        <w:t>July</w:t>
      </w:r>
      <w:r>
        <w:rPr>
          <w:rFonts w:ascii="Arial" w:hAnsi="Arial" w:cs="Arial"/>
          <w:sz w:val="20"/>
          <w:szCs w:val="20"/>
        </w:rPr>
        <w:t xml:space="preserve"> </w:t>
      </w:r>
      <w:r w:rsidR="004B3FED">
        <w:rPr>
          <w:rFonts w:ascii="Arial" w:hAnsi="Arial" w:cs="Arial"/>
          <w:sz w:val="20"/>
          <w:szCs w:val="20"/>
        </w:rPr>
        <w:t>30</w:t>
      </w:r>
      <w:r>
        <w:rPr>
          <w:rFonts w:ascii="Arial" w:hAnsi="Arial" w:cs="Arial"/>
          <w:sz w:val="20"/>
          <w:szCs w:val="20"/>
        </w:rPr>
        <w:t xml:space="preserve">, </w:t>
      </w:r>
      <w:proofErr w:type="gramStart"/>
      <w:r>
        <w:rPr>
          <w:rFonts w:ascii="Arial" w:hAnsi="Arial" w:cs="Arial"/>
          <w:sz w:val="20"/>
          <w:szCs w:val="20"/>
        </w:rPr>
        <w:t>2021</w:t>
      </w:r>
      <w:proofErr w:type="gramEnd"/>
      <w:r>
        <w:rPr>
          <w:rFonts w:ascii="Arial" w:hAnsi="Arial" w:cs="Arial"/>
          <w:sz w:val="20"/>
          <w:szCs w:val="20"/>
        </w:rPr>
        <w:t xml:space="preserve"> and </w:t>
      </w:r>
      <w:r w:rsidR="004B3FED">
        <w:rPr>
          <w:rFonts w:ascii="Arial" w:hAnsi="Arial" w:cs="Arial"/>
          <w:sz w:val="20"/>
          <w:szCs w:val="20"/>
        </w:rPr>
        <w:t>August</w:t>
      </w:r>
      <w:r>
        <w:rPr>
          <w:rFonts w:ascii="Arial" w:hAnsi="Arial" w:cs="Arial"/>
          <w:sz w:val="20"/>
          <w:szCs w:val="20"/>
        </w:rPr>
        <w:t xml:space="preserve"> </w:t>
      </w:r>
      <w:r w:rsidR="004B3FED">
        <w:rPr>
          <w:rFonts w:ascii="Arial" w:hAnsi="Arial" w:cs="Arial"/>
          <w:sz w:val="20"/>
          <w:szCs w:val="20"/>
        </w:rPr>
        <w:t>31</w:t>
      </w:r>
      <w:r>
        <w:rPr>
          <w:rFonts w:ascii="Arial" w:hAnsi="Arial" w:cs="Arial"/>
          <w:sz w:val="20"/>
          <w:szCs w:val="20"/>
        </w:rPr>
        <w:t xml:space="preserve">, 2021 to shareholders of record on the respective dates of </w:t>
      </w:r>
      <w:r w:rsidR="004B3FED">
        <w:rPr>
          <w:rFonts w:ascii="Arial" w:hAnsi="Arial" w:cs="Arial"/>
          <w:sz w:val="20"/>
          <w:szCs w:val="20"/>
        </w:rPr>
        <w:t>June</w:t>
      </w:r>
      <w:r>
        <w:rPr>
          <w:rFonts w:ascii="Arial" w:hAnsi="Arial" w:cs="Arial"/>
          <w:sz w:val="20"/>
          <w:szCs w:val="20"/>
        </w:rPr>
        <w:t xml:space="preserve"> 2</w:t>
      </w:r>
      <w:r w:rsidR="004B3FED">
        <w:rPr>
          <w:rFonts w:ascii="Arial" w:hAnsi="Arial" w:cs="Arial"/>
          <w:sz w:val="20"/>
          <w:szCs w:val="20"/>
        </w:rPr>
        <w:t>3</w:t>
      </w:r>
      <w:r>
        <w:rPr>
          <w:rFonts w:ascii="Arial" w:hAnsi="Arial" w:cs="Arial"/>
          <w:sz w:val="20"/>
          <w:szCs w:val="20"/>
        </w:rPr>
        <w:t xml:space="preserve">, 2021, </w:t>
      </w:r>
      <w:r w:rsidR="004B3FED">
        <w:rPr>
          <w:rFonts w:ascii="Arial" w:hAnsi="Arial" w:cs="Arial"/>
          <w:sz w:val="20"/>
          <w:szCs w:val="20"/>
        </w:rPr>
        <w:t>July</w:t>
      </w:r>
      <w:r>
        <w:rPr>
          <w:rFonts w:ascii="Arial" w:hAnsi="Arial" w:cs="Arial"/>
          <w:sz w:val="20"/>
          <w:szCs w:val="20"/>
        </w:rPr>
        <w:t xml:space="preserve"> 23, 2021 and </w:t>
      </w:r>
      <w:r w:rsidR="004B3FED">
        <w:rPr>
          <w:rFonts w:ascii="Arial" w:hAnsi="Arial" w:cs="Arial"/>
          <w:sz w:val="20"/>
          <w:szCs w:val="20"/>
        </w:rPr>
        <w:t>August</w:t>
      </w:r>
      <w:r>
        <w:rPr>
          <w:rFonts w:ascii="Arial" w:hAnsi="Arial" w:cs="Arial"/>
          <w:sz w:val="20"/>
          <w:szCs w:val="20"/>
        </w:rPr>
        <w:t xml:space="preserve"> 2</w:t>
      </w:r>
      <w:r w:rsidR="004B3FED">
        <w:rPr>
          <w:rFonts w:ascii="Arial" w:hAnsi="Arial" w:cs="Arial"/>
          <w:sz w:val="20"/>
          <w:szCs w:val="20"/>
        </w:rPr>
        <w:t>4</w:t>
      </w:r>
      <w:r>
        <w:rPr>
          <w:rFonts w:ascii="Arial" w:hAnsi="Arial" w:cs="Arial"/>
          <w:sz w:val="20"/>
          <w:szCs w:val="20"/>
        </w:rPr>
        <w:t xml:space="preserve">, 2021. </w:t>
      </w:r>
    </w:p>
    <w:p w14:paraId="6E1D2B0F" w14:textId="7009CB78" w:rsidR="00FA18A4" w:rsidRDefault="00FA18A4" w:rsidP="002156DE">
      <w:pPr>
        <w:autoSpaceDE w:val="0"/>
        <w:autoSpaceDN w:val="0"/>
        <w:adjustRightInd w:val="0"/>
        <w:rPr>
          <w:rFonts w:ascii="Arial" w:hAnsi="Arial" w:cs="Arial"/>
          <w:sz w:val="20"/>
          <w:szCs w:val="20"/>
        </w:rPr>
      </w:pPr>
    </w:p>
    <w:p w14:paraId="3227A4EF" w14:textId="493DA47F" w:rsidR="00FA18A4" w:rsidRDefault="00FA18A4" w:rsidP="00FA18A4">
      <w:pPr>
        <w:rPr>
          <w:rFonts w:ascii="Arial" w:hAnsi="Arial" w:cs="Arial"/>
          <w:sz w:val="20"/>
          <w:szCs w:val="20"/>
        </w:rPr>
      </w:pPr>
      <w:r>
        <w:rPr>
          <w:rFonts w:ascii="Arial" w:hAnsi="Arial" w:cs="Arial"/>
          <w:sz w:val="20"/>
          <w:szCs w:val="20"/>
        </w:rPr>
        <w:t xml:space="preserve">Additionally, an update on TEAF’s direct </w:t>
      </w:r>
      <w:r w:rsidRPr="005210F5">
        <w:rPr>
          <w:rFonts w:ascii="Arial" w:hAnsi="Arial" w:cs="Arial"/>
          <w:sz w:val="20"/>
          <w:szCs w:val="20"/>
        </w:rPr>
        <w:t xml:space="preserve">investments, portfolio asset allocation, structure types and impact statistics as of </w:t>
      </w:r>
      <w:r>
        <w:rPr>
          <w:rFonts w:ascii="Arial" w:hAnsi="Arial" w:cs="Arial"/>
          <w:sz w:val="20"/>
          <w:szCs w:val="20"/>
        </w:rPr>
        <w:t>April</w:t>
      </w:r>
      <w:r w:rsidRPr="005210F5">
        <w:rPr>
          <w:rFonts w:ascii="Arial" w:hAnsi="Arial" w:cs="Arial"/>
          <w:sz w:val="20"/>
          <w:szCs w:val="20"/>
        </w:rPr>
        <w:t xml:space="preserve"> </w:t>
      </w:r>
      <w:r>
        <w:rPr>
          <w:rFonts w:ascii="Arial" w:hAnsi="Arial" w:cs="Arial"/>
          <w:sz w:val="20"/>
          <w:szCs w:val="20"/>
        </w:rPr>
        <w:t>30</w:t>
      </w:r>
      <w:r w:rsidRPr="005210F5">
        <w:rPr>
          <w:rFonts w:ascii="Arial" w:hAnsi="Arial" w:cs="Arial"/>
          <w:sz w:val="20"/>
          <w:szCs w:val="20"/>
        </w:rPr>
        <w:t>, 202</w:t>
      </w:r>
      <w:r>
        <w:rPr>
          <w:rFonts w:ascii="Arial" w:hAnsi="Arial" w:cs="Arial"/>
          <w:sz w:val="20"/>
          <w:szCs w:val="20"/>
        </w:rPr>
        <w:t>1</w:t>
      </w:r>
      <w:r w:rsidRPr="005210F5">
        <w:rPr>
          <w:rFonts w:ascii="Arial" w:hAnsi="Arial" w:cs="Arial"/>
          <w:sz w:val="20"/>
          <w:szCs w:val="20"/>
        </w:rPr>
        <w:t xml:space="preserve"> </w:t>
      </w:r>
      <w:r>
        <w:rPr>
          <w:rFonts w:ascii="Arial" w:hAnsi="Arial" w:cs="Arial"/>
          <w:sz w:val="20"/>
          <w:szCs w:val="20"/>
        </w:rPr>
        <w:t xml:space="preserve">are provided </w:t>
      </w:r>
      <w:r w:rsidRPr="005210F5">
        <w:rPr>
          <w:rFonts w:ascii="Arial" w:hAnsi="Arial" w:cs="Arial"/>
          <w:sz w:val="20"/>
          <w:szCs w:val="20"/>
        </w:rPr>
        <w:t xml:space="preserve">on the company website </w:t>
      </w:r>
      <w:hyperlink r:id="rId8" w:anchor="portfolio" w:history="1">
        <w:r w:rsidRPr="005210F5">
          <w:rPr>
            <w:rStyle w:val="Hyperlink"/>
            <w:rFonts w:ascii="Arial" w:hAnsi="Arial" w:cs="Arial"/>
            <w:color w:val="auto"/>
            <w:sz w:val="20"/>
            <w:szCs w:val="20"/>
          </w:rPr>
          <w:t>here</w:t>
        </w:r>
      </w:hyperlink>
      <w:r w:rsidRPr="005210F5">
        <w:rPr>
          <w:rFonts w:ascii="Arial" w:hAnsi="Arial" w:cs="Arial"/>
          <w:sz w:val="20"/>
          <w:szCs w:val="20"/>
        </w:rPr>
        <w:t xml:space="preserve">. </w:t>
      </w:r>
      <w:r>
        <w:rPr>
          <w:rFonts w:ascii="Arial" w:hAnsi="Arial" w:cs="Arial"/>
          <w:sz w:val="20"/>
          <w:szCs w:val="20"/>
        </w:rPr>
        <w:t>O</w:t>
      </w:r>
      <w:r w:rsidRPr="005210F5">
        <w:rPr>
          <w:rFonts w:ascii="Arial" w:hAnsi="Arial" w:cs="Arial"/>
          <w:sz w:val="20"/>
          <w:szCs w:val="20"/>
        </w:rPr>
        <w:t xml:space="preserve">n a monthly basis, details on each private deal that has taken place over the prior month will be published </w:t>
      </w:r>
      <w:hyperlink r:id="rId9" w:anchor="deal-summaries-list" w:history="1">
        <w:r w:rsidRPr="005210F5">
          <w:rPr>
            <w:rStyle w:val="Hyperlink"/>
            <w:rFonts w:ascii="Arial" w:hAnsi="Arial" w:cs="Arial"/>
            <w:color w:val="auto"/>
            <w:sz w:val="20"/>
            <w:szCs w:val="20"/>
          </w:rPr>
          <w:t>here</w:t>
        </w:r>
      </w:hyperlink>
      <w:r w:rsidRPr="005210F5">
        <w:rPr>
          <w:rFonts w:ascii="Arial" w:hAnsi="Arial" w:cs="Arial"/>
          <w:sz w:val="20"/>
          <w:szCs w:val="20"/>
        </w:rPr>
        <w:t xml:space="preserve">. The </w:t>
      </w:r>
      <w:r>
        <w:rPr>
          <w:rFonts w:ascii="Arial" w:hAnsi="Arial" w:cs="Arial"/>
          <w:sz w:val="20"/>
          <w:szCs w:val="20"/>
        </w:rPr>
        <w:t>list includes all deals completed since the fund’s inception through April 30, 2021.</w:t>
      </w:r>
      <w:r w:rsidRPr="005210F5">
        <w:rPr>
          <w:rFonts w:ascii="Arial" w:hAnsi="Arial" w:cs="Arial"/>
          <w:sz w:val="20"/>
          <w:szCs w:val="20"/>
        </w:rPr>
        <w:t xml:space="preserve">Updates will continue to be posted </w:t>
      </w:r>
      <w:proofErr w:type="gramStart"/>
      <w:r w:rsidRPr="003F7CE4">
        <w:rPr>
          <w:rStyle w:val="Hyperlink"/>
          <w:rFonts w:ascii="Arial" w:hAnsi="Arial" w:cs="Arial"/>
          <w:color w:val="auto"/>
          <w:sz w:val="20"/>
          <w:szCs w:val="20"/>
          <w:u w:val="none"/>
        </w:rPr>
        <w:t>on a monthly basis</w:t>
      </w:r>
      <w:proofErr w:type="gramEnd"/>
      <w:r w:rsidRPr="003F7CE4">
        <w:rPr>
          <w:rStyle w:val="Hyperlink"/>
          <w:rFonts w:ascii="Arial" w:hAnsi="Arial" w:cs="Arial"/>
          <w:color w:val="auto"/>
          <w:sz w:val="20"/>
          <w:szCs w:val="20"/>
          <w:u w:val="none"/>
        </w:rPr>
        <w:t xml:space="preserve"> </w:t>
      </w:r>
      <w:r w:rsidRPr="005210F5">
        <w:rPr>
          <w:rFonts w:ascii="Arial" w:hAnsi="Arial" w:cs="Arial"/>
          <w:sz w:val="20"/>
          <w:szCs w:val="20"/>
        </w:rPr>
        <w:t xml:space="preserve">until the fund reaches its target of 60% direct investments. </w:t>
      </w:r>
      <w:r>
        <w:rPr>
          <w:rFonts w:ascii="Arial" w:hAnsi="Arial" w:cs="Arial"/>
          <w:sz w:val="20"/>
          <w:szCs w:val="20"/>
        </w:rPr>
        <w:t xml:space="preserve"> </w:t>
      </w:r>
    </w:p>
    <w:p w14:paraId="7FD3A9EC" w14:textId="77777777" w:rsidR="00360015" w:rsidRDefault="00360015" w:rsidP="000D63D8">
      <w:pPr>
        <w:autoSpaceDE w:val="0"/>
        <w:autoSpaceDN w:val="0"/>
        <w:adjustRightInd w:val="0"/>
        <w:rPr>
          <w:rFonts w:ascii="Arial" w:hAnsi="Arial" w:cs="Arial"/>
          <w:b/>
          <w:bCs/>
          <w:sz w:val="20"/>
          <w:szCs w:val="20"/>
        </w:rPr>
      </w:pPr>
    </w:p>
    <w:p w14:paraId="5D24037B" w14:textId="77777777" w:rsidR="002156DE" w:rsidRPr="00F85407" w:rsidRDefault="008D45FB" w:rsidP="002156DE">
      <w:pPr>
        <w:autoSpaceDE w:val="0"/>
        <w:autoSpaceDN w:val="0"/>
        <w:adjustRightInd w:val="0"/>
        <w:rPr>
          <w:rFonts w:ascii="Arial" w:hAnsi="Arial" w:cs="Arial"/>
          <w:sz w:val="20"/>
          <w:szCs w:val="20"/>
        </w:rPr>
      </w:pPr>
      <w:r w:rsidRPr="0039340C">
        <w:rPr>
          <w:rFonts w:ascii="Arial" w:hAnsi="Arial" w:cs="Arial"/>
          <w:sz w:val="20"/>
          <w:szCs w:val="20"/>
        </w:rPr>
        <w:t xml:space="preserve">For book purposes, the source of distributions for TYG and NTG is estimated to be </w:t>
      </w:r>
      <w:r>
        <w:rPr>
          <w:rFonts w:ascii="Arial" w:hAnsi="Arial" w:cs="Arial"/>
          <w:sz w:val="20"/>
          <w:szCs w:val="20"/>
        </w:rPr>
        <w:t>100</w:t>
      </w:r>
      <w:r w:rsidRPr="0039340C">
        <w:rPr>
          <w:rFonts w:ascii="Arial" w:hAnsi="Arial" w:cs="Arial"/>
          <w:sz w:val="20"/>
          <w:szCs w:val="20"/>
        </w:rPr>
        <w:t>% return of capital,</w:t>
      </w:r>
      <w:r>
        <w:rPr>
          <w:rFonts w:ascii="Arial" w:hAnsi="Arial" w:cs="Arial"/>
          <w:sz w:val="20"/>
          <w:szCs w:val="20"/>
        </w:rPr>
        <w:t xml:space="preserve"> and</w:t>
      </w:r>
      <w:r w:rsidRPr="0039340C">
        <w:rPr>
          <w:rFonts w:ascii="Arial" w:hAnsi="Arial" w:cs="Arial"/>
          <w:sz w:val="20"/>
          <w:szCs w:val="20"/>
        </w:rPr>
        <w:t xml:space="preserve"> the source </w:t>
      </w:r>
      <w:r w:rsidRPr="00821186">
        <w:rPr>
          <w:rFonts w:ascii="Arial" w:hAnsi="Arial" w:cs="Arial"/>
          <w:sz w:val="20"/>
          <w:szCs w:val="20"/>
        </w:rPr>
        <w:t>of distributions for TEAF</w:t>
      </w:r>
      <w:r w:rsidRPr="0039340C">
        <w:rPr>
          <w:rFonts w:ascii="Arial" w:hAnsi="Arial" w:cs="Arial"/>
          <w:sz w:val="20"/>
          <w:szCs w:val="20"/>
        </w:rPr>
        <w:t xml:space="preserve"> is estimated to be approximately </w:t>
      </w:r>
      <w:r>
        <w:rPr>
          <w:rFonts w:ascii="Arial" w:hAnsi="Arial" w:cs="Arial"/>
          <w:sz w:val="20"/>
          <w:szCs w:val="20"/>
        </w:rPr>
        <w:t>90</w:t>
      </w:r>
      <w:r w:rsidRPr="0039340C">
        <w:rPr>
          <w:rFonts w:ascii="Arial" w:hAnsi="Arial" w:cs="Arial"/>
          <w:sz w:val="20"/>
          <w:szCs w:val="20"/>
        </w:rPr>
        <w:t xml:space="preserve"> to </w:t>
      </w:r>
      <w:r>
        <w:rPr>
          <w:rFonts w:ascii="Arial" w:hAnsi="Arial" w:cs="Arial"/>
          <w:sz w:val="20"/>
          <w:szCs w:val="20"/>
        </w:rPr>
        <w:t>100</w:t>
      </w:r>
      <w:r w:rsidRPr="0039340C">
        <w:rPr>
          <w:rFonts w:ascii="Arial" w:hAnsi="Arial" w:cs="Arial"/>
          <w:sz w:val="20"/>
          <w:szCs w:val="20"/>
        </w:rPr>
        <w:t>% ordinary income, with the remainder as return of capital. </w:t>
      </w:r>
      <w:r w:rsidR="002156DE" w:rsidRPr="00F85407">
        <w:rPr>
          <w:rFonts w:ascii="Arial" w:hAnsi="Arial" w:cs="Arial"/>
          <w:sz w:val="20"/>
          <w:szCs w:val="20"/>
        </w:rPr>
        <w:t>For tax purposes, the characterization will not be made until determination of earnings and profits after year end.</w:t>
      </w:r>
    </w:p>
    <w:p w14:paraId="2F5CC715" w14:textId="77777777" w:rsidR="008D45FB" w:rsidRPr="0039340C" w:rsidRDefault="008D45FB" w:rsidP="008D45FB">
      <w:pPr>
        <w:autoSpaceDE w:val="0"/>
        <w:autoSpaceDN w:val="0"/>
        <w:adjustRightInd w:val="0"/>
        <w:rPr>
          <w:rFonts w:ascii="Arial" w:hAnsi="Arial" w:cs="Arial"/>
          <w:sz w:val="20"/>
          <w:szCs w:val="20"/>
        </w:rPr>
      </w:pPr>
    </w:p>
    <w:p w14:paraId="154E4394" w14:textId="77777777" w:rsidR="008D45FB" w:rsidRPr="0039340C" w:rsidRDefault="008D45FB" w:rsidP="008D45FB">
      <w:pPr>
        <w:shd w:val="clear" w:color="auto" w:fill="FFFFFF"/>
        <w:spacing w:after="100" w:afterAutospacing="1"/>
        <w:rPr>
          <w:rFonts w:ascii="Arial" w:hAnsi="Arial" w:cs="Arial"/>
          <w:sz w:val="20"/>
          <w:szCs w:val="20"/>
        </w:rPr>
      </w:pPr>
      <w:r w:rsidRPr="0039340C">
        <w:rPr>
          <w:rFonts w:ascii="Arial" w:hAnsi="Arial" w:cs="Arial"/>
          <w:sz w:val="20"/>
          <w:szCs w:val="20"/>
        </w:rPr>
        <w:t>You should not draw any conclusions about TTP’s or TPZ’s investment performance from the amount of these distributions or from the terms of TTP’s or TPZ’s distribution policy.  </w:t>
      </w:r>
    </w:p>
    <w:p w14:paraId="76833B29" w14:textId="77777777" w:rsidR="008D45FB" w:rsidRPr="00117868" w:rsidRDefault="008D45FB" w:rsidP="008D45FB">
      <w:pPr>
        <w:shd w:val="clear" w:color="auto" w:fill="FFFFFF"/>
        <w:spacing w:after="100" w:afterAutospacing="1"/>
        <w:rPr>
          <w:rFonts w:ascii="Arial" w:hAnsi="Arial" w:cs="Arial"/>
          <w:sz w:val="20"/>
          <w:szCs w:val="20"/>
        </w:rPr>
      </w:pPr>
      <w:r w:rsidRPr="0039340C">
        <w:rPr>
          <w:rFonts w:ascii="Arial" w:hAnsi="Arial" w:cs="Arial"/>
          <w:sz w:val="20"/>
          <w:szCs w:val="20"/>
        </w:rPr>
        <w:t xml:space="preserve">TTP and TPZ estimate that they have distributed more than their income and net realized capital gains; therefore, a portion of the distribution may be return of capital. A return of capital may occur, for example, when some or </w:t>
      </w:r>
      <w:proofErr w:type="gramStart"/>
      <w:r w:rsidRPr="0039340C">
        <w:rPr>
          <w:rFonts w:ascii="Arial" w:hAnsi="Arial" w:cs="Arial"/>
          <w:sz w:val="20"/>
          <w:szCs w:val="20"/>
        </w:rPr>
        <w:t>all of</w:t>
      </w:r>
      <w:proofErr w:type="gramEnd"/>
      <w:r w:rsidRPr="0039340C">
        <w:rPr>
          <w:rFonts w:ascii="Arial" w:hAnsi="Arial" w:cs="Arial"/>
          <w:sz w:val="20"/>
          <w:szCs w:val="20"/>
        </w:rPr>
        <w:t xml:space="preserve"> the money that you invested in TTP and TPZ is paid back to you. A return of capital distribution does not necessarily reflect TTP’s and TPZ’s investment performance and should not be confused with “yield” or “income.”</w:t>
      </w:r>
    </w:p>
    <w:p w14:paraId="2A9008DE" w14:textId="15AC6465" w:rsidR="003A2EE5" w:rsidRPr="003A2EE5" w:rsidRDefault="008D45FB" w:rsidP="003A2EE5">
      <w:pPr>
        <w:autoSpaceDE w:val="0"/>
        <w:autoSpaceDN w:val="0"/>
        <w:adjustRightInd w:val="0"/>
        <w:rPr>
          <w:rFonts w:ascii="Arial" w:hAnsi="Arial" w:cs="Arial"/>
          <w:sz w:val="20"/>
          <w:szCs w:val="20"/>
        </w:rPr>
      </w:pPr>
      <w:r w:rsidRPr="003A2EE5">
        <w:rPr>
          <w:rFonts w:ascii="Arial" w:hAnsi="Arial" w:cs="Arial"/>
          <w:sz w:val="20"/>
          <w:szCs w:val="20"/>
        </w:rPr>
        <w:lastRenderedPageBreak/>
        <w:t>TTP and TPZ will report the sources for their distributions at the time of the payment in the applicable Section 19(a) Notice.  The amounts and sources of distributions TTP and TPZ report are only estimates and are not being provided for tax reporting purposes.  The actual amounts and sources of the amounts for tax reporting purposes will depend upon TTP’s and TPZ’s investment experience during the remainder of their fiscal years and may be subject to changes based on tax regulations.</w:t>
      </w:r>
    </w:p>
    <w:p w14:paraId="7C5E8C22" w14:textId="5232F467" w:rsidR="003F6072" w:rsidRDefault="003F6072" w:rsidP="009A141C">
      <w:pPr>
        <w:autoSpaceDE w:val="0"/>
        <w:autoSpaceDN w:val="0"/>
        <w:adjustRightInd w:val="0"/>
        <w:rPr>
          <w:rFonts w:ascii="Arial" w:hAnsi="Arial" w:cs="Arial"/>
          <w:sz w:val="20"/>
          <w:szCs w:val="20"/>
        </w:rPr>
      </w:pPr>
    </w:p>
    <w:p w14:paraId="60F2BBDB" w14:textId="747797D9" w:rsidR="003F6072" w:rsidRPr="009263E6" w:rsidRDefault="009263E6" w:rsidP="009263E6">
      <w:pPr>
        <w:rPr>
          <w:rFonts w:ascii="Arial" w:hAnsi="Arial" w:cs="Arial"/>
          <w:sz w:val="18"/>
          <w:szCs w:val="18"/>
        </w:rPr>
      </w:pPr>
      <w:r w:rsidRPr="009263E6">
        <w:rPr>
          <w:rFonts w:ascii="Arial" w:hAnsi="Arial" w:cs="Arial"/>
          <w:sz w:val="18"/>
          <w:szCs w:val="18"/>
        </w:rPr>
        <w:t xml:space="preserve">Tortoise Capital Advisors, L.L.C. is the </w:t>
      </w:r>
      <w:r>
        <w:rPr>
          <w:rFonts w:ascii="Arial" w:hAnsi="Arial" w:cs="Arial"/>
          <w:sz w:val="18"/>
          <w:szCs w:val="18"/>
        </w:rPr>
        <w:t>a</w:t>
      </w:r>
      <w:r w:rsidRPr="009263E6">
        <w:rPr>
          <w:rFonts w:ascii="Arial" w:hAnsi="Arial" w:cs="Arial"/>
          <w:sz w:val="18"/>
          <w:szCs w:val="18"/>
        </w:rPr>
        <w:t>dviser to Tortoise Energy Infrastructure Corp., Tortoise Midstream Energy Fund, Inc., Tortoise Pipeline &amp; Energy Fund, Inc., Tortoise Power and Energy Infrastructure Fund, Inc.</w:t>
      </w:r>
      <w:r w:rsidR="00102C5B">
        <w:rPr>
          <w:rFonts w:ascii="Arial" w:hAnsi="Arial" w:cs="Arial"/>
          <w:sz w:val="18"/>
          <w:szCs w:val="18"/>
        </w:rPr>
        <w:t xml:space="preserve">, Tortoise Energy Independence Fund, </w:t>
      </w:r>
      <w:proofErr w:type="gramStart"/>
      <w:r w:rsidR="00102C5B">
        <w:rPr>
          <w:rFonts w:ascii="Arial" w:hAnsi="Arial" w:cs="Arial"/>
          <w:sz w:val="18"/>
          <w:szCs w:val="18"/>
        </w:rPr>
        <w:t>Inc.</w:t>
      </w:r>
      <w:proofErr w:type="gramEnd"/>
      <w:r w:rsidRPr="009263E6">
        <w:rPr>
          <w:rFonts w:ascii="Arial" w:hAnsi="Arial" w:cs="Arial"/>
          <w:sz w:val="18"/>
          <w:szCs w:val="18"/>
        </w:rPr>
        <w:t xml:space="preserve"> and Tortoise Essential Assets Income Term Fund. Ecofin Advisors Limited is a sub-adviser to Tortoise Essential Assets Income Term Fund.</w:t>
      </w:r>
    </w:p>
    <w:p w14:paraId="256FAD50" w14:textId="77777777" w:rsidR="009263E6" w:rsidRDefault="009263E6" w:rsidP="003F6072">
      <w:pPr>
        <w:autoSpaceDE w:val="0"/>
        <w:autoSpaceDN w:val="0"/>
        <w:adjustRightInd w:val="0"/>
        <w:rPr>
          <w:rFonts w:ascii="Arial" w:hAnsi="Arial" w:cs="Arial"/>
          <w:sz w:val="18"/>
          <w:szCs w:val="18"/>
        </w:rPr>
      </w:pPr>
    </w:p>
    <w:p w14:paraId="5B1DBA17" w14:textId="3D44C056" w:rsidR="003F6072" w:rsidRPr="00D50AFF" w:rsidRDefault="003F6072" w:rsidP="003F6072">
      <w:pPr>
        <w:rPr>
          <w:rStyle w:val="Hyperlink"/>
          <w:rFonts w:ascii="Arial" w:hAnsi="Arial" w:cs="Arial"/>
          <w:bCs/>
          <w:iCs/>
          <w:color w:val="auto"/>
          <w:u w:val="none"/>
        </w:rPr>
      </w:pPr>
      <w:r>
        <w:rPr>
          <w:rFonts w:ascii="Arial" w:hAnsi="Arial" w:cs="Arial"/>
          <w:sz w:val="18"/>
          <w:szCs w:val="18"/>
        </w:rPr>
        <w:t>For additional information on these funds, please visit</w:t>
      </w:r>
      <w:r w:rsidR="000E7208">
        <w:rPr>
          <w:rFonts w:ascii="Arial" w:hAnsi="Arial" w:cs="Arial"/>
          <w:sz w:val="18"/>
          <w:szCs w:val="18"/>
        </w:rPr>
        <w:t xml:space="preserve"> </w:t>
      </w:r>
      <w:hyperlink r:id="rId10" w:history="1">
        <w:r w:rsidR="000E7208">
          <w:rPr>
            <w:rStyle w:val="Hyperlink"/>
            <w:rFonts w:ascii="Arial" w:hAnsi="Arial" w:cs="Arial"/>
            <w:sz w:val="18"/>
            <w:szCs w:val="18"/>
          </w:rPr>
          <w:t>cef.tortoiseecofin.com</w:t>
        </w:r>
      </w:hyperlink>
      <w:r>
        <w:rPr>
          <w:rStyle w:val="Hyperlink"/>
          <w:rFonts w:ascii="Arial" w:hAnsi="Arial" w:cs="Arial"/>
          <w:bCs/>
          <w:iCs/>
          <w:color w:val="auto"/>
          <w:sz w:val="18"/>
          <w:szCs w:val="18"/>
          <w:u w:val="none"/>
        </w:rPr>
        <w:t>.</w:t>
      </w:r>
    </w:p>
    <w:p w14:paraId="44E37777" w14:textId="77777777" w:rsidR="00AC725B" w:rsidRPr="009C7C6C" w:rsidRDefault="00AC725B" w:rsidP="00AC725B">
      <w:pPr>
        <w:autoSpaceDE w:val="0"/>
        <w:autoSpaceDN w:val="0"/>
        <w:adjustRightInd w:val="0"/>
        <w:rPr>
          <w:rFonts w:ascii="Arial" w:hAnsi="Arial" w:cs="Arial"/>
          <w:sz w:val="20"/>
          <w:szCs w:val="20"/>
        </w:rPr>
      </w:pPr>
      <w:r w:rsidRPr="009C7C6C">
        <w:rPr>
          <w:rFonts w:ascii="Arial" w:hAnsi="Arial" w:cs="Arial"/>
          <w:sz w:val="20"/>
          <w:szCs w:val="20"/>
        </w:rPr>
        <w:t xml:space="preserve"> </w:t>
      </w:r>
    </w:p>
    <w:p w14:paraId="656AEAD1" w14:textId="411F25C3" w:rsidR="00AC725B" w:rsidRPr="009C7C6C" w:rsidRDefault="00C6307A" w:rsidP="000D63D8">
      <w:pPr>
        <w:rPr>
          <w:b/>
          <w:bCs/>
          <w:sz w:val="18"/>
          <w:szCs w:val="18"/>
        </w:rPr>
      </w:pPr>
      <w:bookmarkStart w:id="0" w:name="_Hlk55820654"/>
      <w:r w:rsidRPr="000D63D8">
        <w:rPr>
          <w:rStyle w:val="Strong"/>
          <w:rFonts w:ascii="Arial" w:hAnsi="Arial" w:cs="Arial"/>
          <w:sz w:val="18"/>
          <w:szCs w:val="18"/>
        </w:rPr>
        <w:t>About Tortoise</w:t>
      </w:r>
      <w:r w:rsidRPr="000D63D8">
        <w:rPr>
          <w:rFonts w:ascii="Arial" w:hAnsi="Arial" w:cs="Arial"/>
          <w:sz w:val="18"/>
          <w:szCs w:val="18"/>
        </w:rPr>
        <w:br/>
      </w:r>
      <w:proofErr w:type="spellStart"/>
      <w:r w:rsidR="000D63D8" w:rsidRPr="000D63D8">
        <w:rPr>
          <w:rFonts w:ascii="Arial" w:hAnsi="Arial" w:cs="Arial"/>
          <w:sz w:val="18"/>
          <w:szCs w:val="18"/>
        </w:rPr>
        <w:t>Tortoise</w:t>
      </w:r>
      <w:proofErr w:type="spellEnd"/>
      <w:r w:rsidR="000D63D8" w:rsidRPr="000D63D8">
        <w:rPr>
          <w:rFonts w:ascii="Arial" w:hAnsi="Arial" w:cs="Arial"/>
          <w:sz w:val="18"/>
          <w:szCs w:val="18"/>
        </w:rPr>
        <w:t xml:space="preserve"> focuses on energy</w:t>
      </w:r>
      <w:r w:rsidR="00696171">
        <w:rPr>
          <w:rFonts w:ascii="Arial" w:hAnsi="Arial" w:cs="Arial"/>
          <w:sz w:val="18"/>
          <w:szCs w:val="18"/>
        </w:rPr>
        <w:t xml:space="preserve"> </w:t>
      </w:r>
      <w:r w:rsidR="008E0FC7">
        <w:rPr>
          <w:rFonts w:ascii="Arial" w:hAnsi="Arial" w:cs="Arial"/>
          <w:sz w:val="18"/>
          <w:szCs w:val="18"/>
        </w:rPr>
        <w:t>&amp;</w:t>
      </w:r>
      <w:r w:rsidR="00102C5B">
        <w:rPr>
          <w:rFonts w:ascii="Arial" w:hAnsi="Arial" w:cs="Arial"/>
          <w:sz w:val="18"/>
          <w:szCs w:val="18"/>
        </w:rPr>
        <w:t xml:space="preserve"> </w:t>
      </w:r>
      <w:r w:rsidR="00696171">
        <w:rPr>
          <w:rFonts w:ascii="Arial" w:hAnsi="Arial" w:cs="Arial"/>
          <w:sz w:val="18"/>
          <w:szCs w:val="18"/>
        </w:rPr>
        <w:t>power</w:t>
      </w:r>
      <w:r w:rsidR="000D63D8" w:rsidRPr="000D63D8">
        <w:rPr>
          <w:rFonts w:ascii="Arial" w:hAnsi="Arial" w:cs="Arial"/>
          <w:sz w:val="18"/>
          <w:szCs w:val="18"/>
        </w:rPr>
        <w:t xml:space="preserve"> infrastructure and the transition to cleaner energy. Tortoise’s solid track record of energy value chain investment experience and research dates back more than 20 years. As one of the earliest investors in midstream energy, Tortoise believes it is well-positioned to be at the forefront of the global energy evolution that is underway. With a steady </w:t>
      </w:r>
      <w:proofErr w:type="gramStart"/>
      <w:r w:rsidR="000D63D8" w:rsidRPr="000D63D8">
        <w:rPr>
          <w:rFonts w:ascii="Arial" w:hAnsi="Arial" w:cs="Arial"/>
          <w:sz w:val="18"/>
          <w:szCs w:val="18"/>
        </w:rPr>
        <w:t>wins</w:t>
      </w:r>
      <w:proofErr w:type="gramEnd"/>
      <w:r w:rsidR="000D63D8" w:rsidRPr="000D63D8">
        <w:rPr>
          <w:rFonts w:ascii="Arial" w:hAnsi="Arial" w:cs="Arial"/>
          <w:sz w:val="18"/>
          <w:szCs w:val="18"/>
        </w:rPr>
        <w:t xml:space="preserve"> approach and a long-term perspective, Tortoise strives to make a positive impact on clients and communities. </w:t>
      </w:r>
      <w:bookmarkEnd w:id="0"/>
      <w:r w:rsidR="000D63D8" w:rsidRPr="000D63D8">
        <w:rPr>
          <w:rFonts w:ascii="Arial" w:hAnsi="Arial" w:cs="Arial"/>
          <w:sz w:val="18"/>
          <w:szCs w:val="18"/>
        </w:rPr>
        <w:t xml:space="preserve">To learn more, visit </w:t>
      </w:r>
      <w:hyperlink r:id="rId11" w:history="1">
        <w:r w:rsidR="000D63D8" w:rsidRPr="000D63D8">
          <w:rPr>
            <w:rStyle w:val="Hyperlink"/>
            <w:rFonts w:ascii="Arial" w:hAnsi="Arial" w:cs="Arial"/>
            <w:sz w:val="18"/>
            <w:szCs w:val="18"/>
          </w:rPr>
          <w:t>www.TortoiseEcofin.com</w:t>
        </w:r>
      </w:hyperlink>
      <w:r w:rsidR="000D63D8" w:rsidRPr="000D63D8">
        <w:rPr>
          <w:rFonts w:ascii="Arial" w:hAnsi="Arial" w:cs="Arial"/>
          <w:sz w:val="18"/>
          <w:szCs w:val="18"/>
        </w:rPr>
        <w:t>.</w:t>
      </w:r>
      <w:r w:rsidRPr="009C7C6C">
        <w:rPr>
          <w:sz w:val="18"/>
          <w:szCs w:val="18"/>
        </w:rPr>
        <w:br/>
      </w:r>
    </w:p>
    <w:p w14:paraId="2E530F16" w14:textId="77777777" w:rsidR="00EF3D1F" w:rsidRPr="009C7C6C" w:rsidRDefault="00EF3D1F" w:rsidP="00EF3D1F">
      <w:pPr>
        <w:ind w:right="180"/>
        <w:rPr>
          <w:rFonts w:ascii="Arial" w:hAnsi="Arial" w:cs="Arial"/>
          <w:b/>
          <w:sz w:val="18"/>
          <w:szCs w:val="18"/>
        </w:rPr>
      </w:pPr>
      <w:r w:rsidRPr="009C7C6C">
        <w:rPr>
          <w:rFonts w:ascii="Arial" w:hAnsi="Arial" w:cs="Arial"/>
          <w:b/>
          <w:sz w:val="18"/>
          <w:szCs w:val="18"/>
        </w:rPr>
        <w:t>Cautionary Statement Regarding Forward-Looking Statements</w:t>
      </w:r>
    </w:p>
    <w:p w14:paraId="43767CBC" w14:textId="4689D960" w:rsidR="00EF3D1F" w:rsidRDefault="00EF3D1F" w:rsidP="00EF3D1F">
      <w:pPr>
        <w:ind w:right="180"/>
        <w:rPr>
          <w:rFonts w:ascii="Arial" w:hAnsi="Arial" w:cs="Arial"/>
          <w:sz w:val="18"/>
          <w:szCs w:val="18"/>
        </w:rPr>
      </w:pPr>
      <w:r w:rsidRPr="009C7C6C">
        <w:rPr>
          <w:rFonts w:ascii="Arial" w:hAnsi="Arial" w:cs="Arial"/>
          <w:sz w:val="18"/>
          <w:szCs w:val="18"/>
        </w:rPr>
        <w:t xml:space="preserve">This press release contains certain statements that may include “forward-looking statements” within the meaning of Section 27A of the Securities Act of 1933 and Section 21E of the Securities Exchange Act of 1934. All statements, other than statements of historical fact, included herein are "forward-looking statements." Although the funds and Tortoise Capital Advisors believe that the expectations reflected in these forward-looking statements are reasonable, they do involve assumptions, risks and uncertainties, and these expectations may prove to be incorrect. Actual results could differ materially from those anticipated in these forward-looking statements </w:t>
      </w:r>
      <w:proofErr w:type="gramStart"/>
      <w:r w:rsidRPr="009C7C6C">
        <w:rPr>
          <w:rFonts w:ascii="Arial" w:hAnsi="Arial" w:cs="Arial"/>
          <w:sz w:val="18"/>
          <w:szCs w:val="18"/>
        </w:rPr>
        <w:t>as a result of</w:t>
      </w:r>
      <w:proofErr w:type="gramEnd"/>
      <w:r w:rsidRPr="009C7C6C">
        <w:rPr>
          <w:rFonts w:ascii="Arial" w:hAnsi="Arial" w:cs="Arial"/>
          <w:sz w:val="18"/>
          <w:szCs w:val="18"/>
        </w:rPr>
        <w:t xml:space="preserve"> a variety of factors, including those discussed in the fund’s reports that are filed with the Securities and Exchange Commission. You should not place undue reliance on these forward-looking statements, which speak only as of the date of this press release. Other than as required by law, the funds and Tortoise Capital Advisors do not assume a duty to update this forward-looking statement. </w:t>
      </w:r>
    </w:p>
    <w:p w14:paraId="62830F19" w14:textId="58E71390" w:rsidR="003F6072" w:rsidRDefault="003F6072" w:rsidP="00EF3D1F">
      <w:pPr>
        <w:ind w:right="180"/>
        <w:rPr>
          <w:rFonts w:ascii="Arial" w:hAnsi="Arial" w:cs="Arial"/>
          <w:sz w:val="18"/>
          <w:szCs w:val="18"/>
        </w:rPr>
      </w:pPr>
    </w:p>
    <w:p w14:paraId="282C5605" w14:textId="77777777" w:rsidR="003F6072" w:rsidRPr="009C7C6C" w:rsidRDefault="003F6072" w:rsidP="003F6072">
      <w:pPr>
        <w:pStyle w:val="Default"/>
        <w:ind w:right="180"/>
        <w:rPr>
          <w:color w:val="auto"/>
          <w:sz w:val="18"/>
          <w:szCs w:val="18"/>
        </w:rPr>
      </w:pPr>
      <w:r w:rsidRPr="009C7C6C">
        <w:rPr>
          <w:b/>
          <w:bCs/>
          <w:color w:val="auto"/>
          <w:sz w:val="18"/>
          <w:szCs w:val="18"/>
        </w:rPr>
        <w:t xml:space="preserve">Safe Harbor Statement </w:t>
      </w:r>
    </w:p>
    <w:p w14:paraId="47ECCBE4" w14:textId="77777777" w:rsidR="003F6072" w:rsidRPr="009C7C6C" w:rsidRDefault="003F6072" w:rsidP="003F6072">
      <w:pPr>
        <w:pStyle w:val="Default"/>
        <w:ind w:right="180"/>
        <w:rPr>
          <w:color w:val="auto"/>
          <w:sz w:val="18"/>
          <w:szCs w:val="18"/>
        </w:rPr>
      </w:pPr>
      <w:r w:rsidRPr="009C7C6C">
        <w:rPr>
          <w:color w:val="auto"/>
          <w:sz w:val="18"/>
          <w:szCs w:val="18"/>
        </w:rPr>
        <w:t xml:space="preserve">This press release shall not constitute an offer to sell or a solicitation to buy, nor shall there be any sale of these securities in any state or jurisdiction in which such offer or solicitation or sale would be unlawful prior to registration or qualification under the laws of such state or jurisdiction. </w:t>
      </w:r>
    </w:p>
    <w:p w14:paraId="339C058D" w14:textId="77777777" w:rsidR="00405077" w:rsidRPr="009C7C6C" w:rsidRDefault="00405077" w:rsidP="00405077">
      <w:pPr>
        <w:pStyle w:val="Default"/>
        <w:ind w:left="180" w:right="180"/>
        <w:rPr>
          <w:b/>
          <w:bCs/>
          <w:color w:val="auto"/>
          <w:sz w:val="18"/>
          <w:szCs w:val="18"/>
        </w:rPr>
      </w:pPr>
    </w:p>
    <w:p w14:paraId="4F00B8D0" w14:textId="77777777" w:rsidR="003F6072" w:rsidRPr="00DA1C13" w:rsidRDefault="003F6072" w:rsidP="003F6072">
      <w:pPr>
        <w:pStyle w:val="Default"/>
        <w:ind w:right="1044"/>
        <w:rPr>
          <w:color w:val="auto"/>
          <w:sz w:val="18"/>
          <w:szCs w:val="18"/>
        </w:rPr>
      </w:pPr>
      <w:r w:rsidRPr="00DA1C13">
        <w:rPr>
          <w:b/>
          <w:bCs/>
          <w:color w:val="auto"/>
          <w:sz w:val="18"/>
          <w:szCs w:val="18"/>
        </w:rPr>
        <w:t>Contact Information</w:t>
      </w:r>
    </w:p>
    <w:p w14:paraId="69BEE3EB" w14:textId="77777777" w:rsidR="003F6072" w:rsidRPr="00B94325" w:rsidRDefault="003F6072" w:rsidP="003F6072">
      <w:pPr>
        <w:rPr>
          <w:rFonts w:ascii="Arial" w:hAnsi="Arial" w:cs="Arial"/>
          <w:sz w:val="18"/>
          <w:szCs w:val="18"/>
        </w:rPr>
      </w:pPr>
      <w:r>
        <w:rPr>
          <w:rFonts w:ascii="Arial" w:hAnsi="Arial" w:cs="Arial"/>
          <w:bCs/>
          <w:iCs/>
          <w:sz w:val="18"/>
          <w:szCs w:val="18"/>
        </w:rPr>
        <w:t xml:space="preserve">For more information contact Maggie Zastrow at (913) 981-1020 or </w:t>
      </w:r>
      <w:hyperlink r:id="rId12" w:history="1">
        <w:r w:rsidRPr="00CB36C8">
          <w:rPr>
            <w:rStyle w:val="Hyperlink"/>
            <w:rFonts w:ascii="Arial" w:hAnsi="Arial" w:cs="Arial"/>
            <w:bCs/>
            <w:iCs/>
            <w:color w:val="auto"/>
            <w:sz w:val="18"/>
            <w:szCs w:val="18"/>
          </w:rPr>
          <w:t>info@tortoiseadvisors.com</w:t>
        </w:r>
      </w:hyperlink>
      <w:r>
        <w:rPr>
          <w:rFonts w:ascii="Arial" w:hAnsi="Arial" w:cs="Arial"/>
          <w:sz w:val="18"/>
          <w:szCs w:val="18"/>
        </w:rPr>
        <w:t>.</w:t>
      </w:r>
    </w:p>
    <w:p w14:paraId="525DDC48" w14:textId="77777777" w:rsidR="00C82E81" w:rsidRDefault="00405077" w:rsidP="00CE40D3">
      <w:pPr>
        <w:tabs>
          <w:tab w:val="left" w:pos="3571"/>
        </w:tabs>
        <w:rPr>
          <w:rFonts w:ascii="Arial" w:hAnsi="Arial" w:cs="Arial"/>
          <w:sz w:val="18"/>
          <w:szCs w:val="18"/>
        </w:rPr>
      </w:pPr>
      <w:r w:rsidRPr="00A759E8">
        <w:rPr>
          <w:rFonts w:ascii="Arial" w:hAnsi="Arial" w:cs="Arial"/>
          <w:sz w:val="18"/>
          <w:szCs w:val="18"/>
        </w:rPr>
        <w:tab/>
      </w:r>
    </w:p>
    <w:p w14:paraId="75D88B1F" w14:textId="77777777" w:rsidR="00F22D87" w:rsidRDefault="00F22D87" w:rsidP="00CE40D3">
      <w:pPr>
        <w:tabs>
          <w:tab w:val="left" w:pos="3571"/>
        </w:tabs>
        <w:rPr>
          <w:rFonts w:ascii="Arial" w:hAnsi="Arial" w:cs="Arial"/>
          <w:sz w:val="18"/>
          <w:szCs w:val="18"/>
        </w:rPr>
      </w:pPr>
    </w:p>
    <w:p w14:paraId="0F5E23B8" w14:textId="77777777" w:rsidR="00F22D87" w:rsidRPr="00A759E8" w:rsidRDefault="00F22D87" w:rsidP="00B96E2D">
      <w:pPr>
        <w:tabs>
          <w:tab w:val="left" w:pos="3571"/>
        </w:tabs>
        <w:rPr>
          <w:rFonts w:ascii="Arial" w:hAnsi="Arial" w:cs="Arial"/>
          <w:sz w:val="18"/>
          <w:szCs w:val="18"/>
        </w:rPr>
      </w:pPr>
    </w:p>
    <w:sectPr w:rsidR="00F22D87" w:rsidRPr="00A759E8" w:rsidSect="00B96E2D">
      <w:footerReference w:type="default" r:id="rId13"/>
      <w:headerReference w:type="first" r:id="rId14"/>
      <w:footerReference w:type="first" r:id="rId15"/>
      <w:pgSz w:w="12240" w:h="15840"/>
      <w:pgMar w:top="1987" w:right="720" w:bottom="432" w:left="720" w:header="720"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FFF0" w14:textId="77777777" w:rsidR="001330FE" w:rsidRDefault="001330FE" w:rsidP="00D1421C">
      <w:r>
        <w:separator/>
      </w:r>
    </w:p>
  </w:endnote>
  <w:endnote w:type="continuationSeparator" w:id="0">
    <w:p w14:paraId="06440850" w14:textId="77777777" w:rsidR="001330FE" w:rsidRDefault="001330FE" w:rsidP="00D1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Univers LT Std 45 Light">
    <w:panose1 w:val="020B0403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379" w14:textId="7C338390" w:rsidR="00E079FB" w:rsidRPr="00E079FB" w:rsidRDefault="00E079FB" w:rsidP="00E079FB">
    <w:pPr>
      <w:autoSpaceDE w:val="0"/>
      <w:autoSpaceDN w:val="0"/>
      <w:spacing w:line="288" w:lineRule="auto"/>
      <w:jc w:val="center"/>
      <w:rPr>
        <w:rFonts w:ascii="Arial" w:eastAsiaTheme="minorEastAsia" w:hAnsi="Arial" w:cs="Arial"/>
        <w:noProof/>
        <w:color w:val="1E252B"/>
        <w:sz w:val="16"/>
        <w:szCs w:val="16"/>
      </w:rPr>
    </w:pPr>
    <w:r>
      <w:rPr>
        <w:rFonts w:ascii="Arial" w:eastAsiaTheme="minorEastAsia" w:hAnsi="Arial" w:cs="Arial"/>
        <w:noProof/>
        <w:color w:val="1E252B"/>
        <w:sz w:val="16"/>
        <w:szCs w:val="16"/>
      </w:rPr>
      <w:t>5100 W. 115</w:t>
    </w:r>
    <w:r>
      <w:rPr>
        <w:rFonts w:ascii="Arial" w:eastAsiaTheme="minorEastAsia" w:hAnsi="Arial" w:cs="Arial"/>
        <w:noProof/>
        <w:color w:val="1E252B"/>
        <w:sz w:val="16"/>
        <w:szCs w:val="16"/>
        <w:vertAlign w:val="superscript"/>
      </w:rPr>
      <w:t>th</w:t>
    </w:r>
    <w:r>
      <w:rPr>
        <w:rFonts w:ascii="Arial" w:eastAsiaTheme="minorEastAsia" w:hAnsi="Arial" w:cs="Arial"/>
        <w:noProof/>
        <w:color w:val="1E252B"/>
        <w:sz w:val="16"/>
        <w:szCs w:val="16"/>
      </w:rPr>
      <w:t xml:space="preserve"> Place</w:t>
    </w:r>
    <w:r w:rsidRPr="00F4701B">
      <w:rPr>
        <w:rFonts w:ascii="Arial" w:hAnsi="Arial" w:cs="Arial"/>
        <w:color w:val="595959" w:themeColor="text1" w:themeTint="A6"/>
        <w:sz w:val="18"/>
        <w:szCs w:val="18"/>
      </w:rPr>
      <w:t>,</w:t>
    </w:r>
    <w:r>
      <w:rPr>
        <w:rFonts w:ascii="Arial" w:hAnsi="Arial" w:cs="Arial"/>
        <w:color w:val="595959" w:themeColor="text1" w:themeTint="A6"/>
        <w:sz w:val="18"/>
        <w:szCs w:val="18"/>
      </w:rPr>
      <w:t xml:space="preserve"> Leawood, KS 66211   |   </w:t>
    </w:r>
    <w:r w:rsidRPr="00F4701B">
      <w:rPr>
        <w:rFonts w:ascii="Arial" w:hAnsi="Arial" w:cs="Arial"/>
        <w:color w:val="595959" w:themeColor="text1" w:themeTint="A6"/>
        <w:sz w:val="18"/>
        <w:szCs w:val="18"/>
      </w:rPr>
      <w:t xml:space="preserve">913-981-1020   |   </w:t>
    </w:r>
    <w:r>
      <w:rPr>
        <w:rFonts w:ascii="Arial" w:hAnsi="Arial" w:cs="Arial"/>
        <w:color w:val="04728A"/>
        <w:sz w:val="18"/>
        <w:szCs w:val="18"/>
      </w:rPr>
      <w:t>www.</w:t>
    </w:r>
    <w:r w:rsidR="00EE733A">
      <w:rPr>
        <w:rFonts w:ascii="Arial" w:hAnsi="Arial" w:cs="Arial"/>
        <w:color w:val="04728A"/>
        <w:sz w:val="18"/>
        <w:szCs w:val="18"/>
      </w:rPr>
      <w:t>T</w:t>
    </w:r>
    <w:r>
      <w:rPr>
        <w:rFonts w:ascii="Arial" w:hAnsi="Arial" w:cs="Arial"/>
        <w:color w:val="04728A"/>
        <w:sz w:val="18"/>
        <w:szCs w:val="18"/>
      </w:rPr>
      <w:t>ortoise</w:t>
    </w:r>
    <w:r w:rsidR="00EE733A">
      <w:rPr>
        <w:rFonts w:ascii="Arial" w:hAnsi="Arial" w:cs="Arial"/>
        <w:color w:val="04728A"/>
        <w:sz w:val="18"/>
        <w:szCs w:val="18"/>
      </w:rPr>
      <w:t>Ecofin</w:t>
    </w:r>
    <w:r w:rsidRPr="00F4701B">
      <w:rPr>
        <w:rFonts w:ascii="Arial" w:hAnsi="Arial" w:cs="Arial"/>
        <w:color w:val="04728A"/>
        <w:sz w:val="18"/>
        <w:szCs w:val="18"/>
      </w:rPr>
      <w:t>.com</w:t>
    </w:r>
  </w:p>
  <w:p w14:paraId="6A624DC8" w14:textId="77777777" w:rsidR="00E079FB" w:rsidRDefault="00E07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6CC7" w14:textId="6FBD2883" w:rsidR="00C82E81" w:rsidRPr="00E079FB" w:rsidRDefault="00E079FB" w:rsidP="00E079FB">
    <w:pPr>
      <w:autoSpaceDE w:val="0"/>
      <w:autoSpaceDN w:val="0"/>
      <w:spacing w:line="288" w:lineRule="auto"/>
      <w:jc w:val="center"/>
      <w:rPr>
        <w:rFonts w:ascii="Arial" w:eastAsiaTheme="minorEastAsia" w:hAnsi="Arial" w:cs="Arial"/>
        <w:noProof/>
        <w:color w:val="1E252B"/>
        <w:sz w:val="16"/>
        <w:szCs w:val="16"/>
      </w:rPr>
    </w:pPr>
    <w:r>
      <w:rPr>
        <w:rFonts w:ascii="Arial" w:eastAsiaTheme="minorEastAsia" w:hAnsi="Arial" w:cs="Arial"/>
        <w:noProof/>
        <w:color w:val="1E252B"/>
        <w:sz w:val="16"/>
        <w:szCs w:val="16"/>
      </w:rPr>
      <w:t>5100 W. 115</w:t>
    </w:r>
    <w:r>
      <w:rPr>
        <w:rFonts w:ascii="Arial" w:eastAsiaTheme="minorEastAsia" w:hAnsi="Arial" w:cs="Arial"/>
        <w:noProof/>
        <w:color w:val="1E252B"/>
        <w:sz w:val="16"/>
        <w:szCs w:val="16"/>
        <w:vertAlign w:val="superscript"/>
      </w:rPr>
      <w:t>th</w:t>
    </w:r>
    <w:r>
      <w:rPr>
        <w:rFonts w:ascii="Arial" w:eastAsiaTheme="minorEastAsia" w:hAnsi="Arial" w:cs="Arial"/>
        <w:noProof/>
        <w:color w:val="1E252B"/>
        <w:sz w:val="16"/>
        <w:szCs w:val="16"/>
      </w:rPr>
      <w:t xml:space="preserve"> Place</w:t>
    </w:r>
    <w:r w:rsidR="00F4701B" w:rsidRPr="00F4701B">
      <w:rPr>
        <w:rFonts w:ascii="Arial" w:hAnsi="Arial" w:cs="Arial"/>
        <w:color w:val="595959" w:themeColor="text1" w:themeTint="A6"/>
        <w:sz w:val="18"/>
        <w:szCs w:val="18"/>
      </w:rPr>
      <w:t>,</w:t>
    </w:r>
    <w:r>
      <w:rPr>
        <w:rFonts w:ascii="Arial" w:hAnsi="Arial" w:cs="Arial"/>
        <w:color w:val="595959" w:themeColor="text1" w:themeTint="A6"/>
        <w:sz w:val="18"/>
        <w:szCs w:val="18"/>
      </w:rPr>
      <w:t xml:space="preserve"> Leawood, KS 66211   |   </w:t>
    </w:r>
    <w:r w:rsidR="00F4701B" w:rsidRPr="00F4701B">
      <w:rPr>
        <w:rFonts w:ascii="Arial" w:hAnsi="Arial" w:cs="Arial"/>
        <w:color w:val="595959" w:themeColor="text1" w:themeTint="A6"/>
        <w:sz w:val="18"/>
        <w:szCs w:val="18"/>
      </w:rPr>
      <w:t xml:space="preserve">913-981-1020   |   </w:t>
    </w:r>
    <w:r>
      <w:rPr>
        <w:rFonts w:ascii="Arial" w:hAnsi="Arial" w:cs="Arial"/>
        <w:color w:val="04728A"/>
        <w:sz w:val="18"/>
        <w:szCs w:val="18"/>
      </w:rPr>
      <w:t>www.</w:t>
    </w:r>
    <w:r w:rsidR="00B731ED">
      <w:rPr>
        <w:rFonts w:ascii="Arial" w:hAnsi="Arial" w:cs="Arial"/>
        <w:color w:val="04728A"/>
        <w:sz w:val="18"/>
        <w:szCs w:val="18"/>
      </w:rPr>
      <w:t>TortoiseEcofin</w:t>
    </w:r>
    <w:r w:rsidR="00F4701B" w:rsidRPr="00F4701B">
      <w:rPr>
        <w:rFonts w:ascii="Arial" w:hAnsi="Arial" w:cs="Arial"/>
        <w:color w:val="04728A"/>
        <w:sz w:val="18"/>
        <w:szCs w:val="18"/>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6990" w14:textId="77777777" w:rsidR="001330FE" w:rsidRDefault="001330FE" w:rsidP="00D1421C">
      <w:r>
        <w:separator/>
      </w:r>
    </w:p>
  </w:footnote>
  <w:footnote w:type="continuationSeparator" w:id="0">
    <w:p w14:paraId="548548D2" w14:textId="77777777" w:rsidR="001330FE" w:rsidRDefault="001330FE" w:rsidP="00D1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5CF7" w14:textId="77777777" w:rsidR="00C82E81" w:rsidRDefault="00F4701B" w:rsidP="00122924">
    <w:pPr>
      <w:pStyle w:val="Header"/>
    </w:pPr>
    <w:r>
      <w:rPr>
        <w:rFonts w:hint="eastAsia"/>
        <w:noProof/>
        <w:lang w:eastAsia="en-US"/>
      </w:rPr>
      <mc:AlternateContent>
        <mc:Choice Requires="wps">
          <w:drawing>
            <wp:anchor distT="0" distB="0" distL="114300" distR="114300" simplePos="0" relativeHeight="251659264" behindDoc="0" locked="0" layoutInCell="1" allowOverlap="1" wp14:anchorId="3AF2C901" wp14:editId="0F16067B">
              <wp:simplePos x="0" y="0"/>
              <wp:positionH relativeFrom="column">
                <wp:posOffset>-15240</wp:posOffset>
              </wp:positionH>
              <wp:positionV relativeFrom="paragraph">
                <wp:posOffset>601980</wp:posOffset>
              </wp:positionV>
              <wp:extent cx="7010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010400" cy="0"/>
                      </a:xfrm>
                      <a:prstGeom prst="line">
                        <a:avLst/>
                      </a:prstGeom>
                      <a:ln w="12700">
                        <a:solidFill>
                          <a:srgbClr val="04728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23A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47.4pt" to="550.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" strokecolor="#04728a" strokeweight="1pt"/>
          </w:pict>
        </mc:Fallback>
      </mc:AlternateContent>
    </w:r>
    <w:r w:rsidR="00097ADC">
      <w:rPr>
        <w:rFonts w:hint="eastAsia"/>
        <w:noProof/>
        <w:lang w:eastAsia="en-US"/>
      </w:rPr>
      <w:drawing>
        <wp:inline distT="0" distB="0" distL="0" distR="0" wp14:anchorId="5B034B5D" wp14:editId="286F0ED8">
          <wp:extent cx="1790700" cy="39452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kbaldi:Desktop:tca-masthea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4635" cy="421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76D"/>
    <w:multiLevelType w:val="hybridMultilevel"/>
    <w:tmpl w:val="8BB2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2D4156"/>
    <w:multiLevelType w:val="hybridMultilevel"/>
    <w:tmpl w:val="5D4EF87C"/>
    <w:lvl w:ilvl="0" w:tplc="1DDA8C7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53F65C55"/>
    <w:multiLevelType w:val="hybridMultilevel"/>
    <w:tmpl w:val="DA44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D1421C"/>
    <w:rsid w:val="00000E1C"/>
    <w:rsid w:val="000102B4"/>
    <w:rsid w:val="00021FAB"/>
    <w:rsid w:val="000241BA"/>
    <w:rsid w:val="000268E8"/>
    <w:rsid w:val="00033093"/>
    <w:rsid w:val="00036F83"/>
    <w:rsid w:val="000427A1"/>
    <w:rsid w:val="00056692"/>
    <w:rsid w:val="00056FBB"/>
    <w:rsid w:val="0007360C"/>
    <w:rsid w:val="00080D0E"/>
    <w:rsid w:val="00095671"/>
    <w:rsid w:val="00097110"/>
    <w:rsid w:val="00097ADC"/>
    <w:rsid w:val="000A2834"/>
    <w:rsid w:val="000A3502"/>
    <w:rsid w:val="000C47DD"/>
    <w:rsid w:val="000D1E8E"/>
    <w:rsid w:val="000D63D8"/>
    <w:rsid w:val="000D6CA1"/>
    <w:rsid w:val="000E250A"/>
    <w:rsid w:val="000E7208"/>
    <w:rsid w:val="000F2CE0"/>
    <w:rsid w:val="00101CA6"/>
    <w:rsid w:val="00102C5B"/>
    <w:rsid w:val="00102CFD"/>
    <w:rsid w:val="0011255C"/>
    <w:rsid w:val="00122924"/>
    <w:rsid w:val="00130A1C"/>
    <w:rsid w:val="00130C88"/>
    <w:rsid w:val="001330FE"/>
    <w:rsid w:val="00144B5E"/>
    <w:rsid w:val="00156F5F"/>
    <w:rsid w:val="0016520B"/>
    <w:rsid w:val="001655F0"/>
    <w:rsid w:val="001668BC"/>
    <w:rsid w:val="00172D93"/>
    <w:rsid w:val="00172FF6"/>
    <w:rsid w:val="0017332A"/>
    <w:rsid w:val="00190718"/>
    <w:rsid w:val="00195350"/>
    <w:rsid w:val="001A3982"/>
    <w:rsid w:val="001A4CAB"/>
    <w:rsid w:val="001A7881"/>
    <w:rsid w:val="001B55D5"/>
    <w:rsid w:val="001C0572"/>
    <w:rsid w:val="001D6D07"/>
    <w:rsid w:val="001F4512"/>
    <w:rsid w:val="001F65C0"/>
    <w:rsid w:val="00210537"/>
    <w:rsid w:val="00210865"/>
    <w:rsid w:val="00211CA7"/>
    <w:rsid w:val="002156DE"/>
    <w:rsid w:val="00220727"/>
    <w:rsid w:val="0022323C"/>
    <w:rsid w:val="00224BA6"/>
    <w:rsid w:val="00231B45"/>
    <w:rsid w:val="00240A36"/>
    <w:rsid w:val="00243887"/>
    <w:rsid w:val="00245F83"/>
    <w:rsid w:val="00263B7D"/>
    <w:rsid w:val="0026451C"/>
    <w:rsid w:val="00271395"/>
    <w:rsid w:val="002725DF"/>
    <w:rsid w:val="00273157"/>
    <w:rsid w:val="0027707A"/>
    <w:rsid w:val="00283F6C"/>
    <w:rsid w:val="00284B03"/>
    <w:rsid w:val="002868EA"/>
    <w:rsid w:val="00293FE9"/>
    <w:rsid w:val="002A612E"/>
    <w:rsid w:val="002B0C98"/>
    <w:rsid w:val="002B2881"/>
    <w:rsid w:val="002B4194"/>
    <w:rsid w:val="002B617A"/>
    <w:rsid w:val="002B64A4"/>
    <w:rsid w:val="002B736F"/>
    <w:rsid w:val="002C29F7"/>
    <w:rsid w:val="002C4F49"/>
    <w:rsid w:val="002D27AB"/>
    <w:rsid w:val="002E7F10"/>
    <w:rsid w:val="00302938"/>
    <w:rsid w:val="00312035"/>
    <w:rsid w:val="0031391E"/>
    <w:rsid w:val="00313C1E"/>
    <w:rsid w:val="00317797"/>
    <w:rsid w:val="0032459F"/>
    <w:rsid w:val="00326EDB"/>
    <w:rsid w:val="00332886"/>
    <w:rsid w:val="0033339F"/>
    <w:rsid w:val="00336018"/>
    <w:rsid w:val="00345B49"/>
    <w:rsid w:val="00360015"/>
    <w:rsid w:val="00364D2C"/>
    <w:rsid w:val="00370117"/>
    <w:rsid w:val="00375402"/>
    <w:rsid w:val="00377833"/>
    <w:rsid w:val="0039340C"/>
    <w:rsid w:val="003943EF"/>
    <w:rsid w:val="0039448F"/>
    <w:rsid w:val="00397431"/>
    <w:rsid w:val="003A2EE5"/>
    <w:rsid w:val="003A4BC9"/>
    <w:rsid w:val="003A753C"/>
    <w:rsid w:val="003B7FB8"/>
    <w:rsid w:val="003C0E37"/>
    <w:rsid w:val="003D3ADE"/>
    <w:rsid w:val="003D668D"/>
    <w:rsid w:val="003D7E1B"/>
    <w:rsid w:val="003F0AE4"/>
    <w:rsid w:val="003F24BB"/>
    <w:rsid w:val="003F3D45"/>
    <w:rsid w:val="003F6072"/>
    <w:rsid w:val="00405077"/>
    <w:rsid w:val="0040611E"/>
    <w:rsid w:val="004062CE"/>
    <w:rsid w:val="00410F2E"/>
    <w:rsid w:val="004205A9"/>
    <w:rsid w:val="00426630"/>
    <w:rsid w:val="00436294"/>
    <w:rsid w:val="0043748D"/>
    <w:rsid w:val="00437D5C"/>
    <w:rsid w:val="00442833"/>
    <w:rsid w:val="00450A56"/>
    <w:rsid w:val="00451BA7"/>
    <w:rsid w:val="00464FE0"/>
    <w:rsid w:val="00465046"/>
    <w:rsid w:val="004654CD"/>
    <w:rsid w:val="00466386"/>
    <w:rsid w:val="00472AA7"/>
    <w:rsid w:val="00486751"/>
    <w:rsid w:val="00493A12"/>
    <w:rsid w:val="00497F68"/>
    <w:rsid w:val="004A6921"/>
    <w:rsid w:val="004A7F7F"/>
    <w:rsid w:val="004B0DFC"/>
    <w:rsid w:val="004B1429"/>
    <w:rsid w:val="004B3FED"/>
    <w:rsid w:val="004B6F00"/>
    <w:rsid w:val="004C0600"/>
    <w:rsid w:val="004C3419"/>
    <w:rsid w:val="004C6AD7"/>
    <w:rsid w:val="004D1DCC"/>
    <w:rsid w:val="004D4734"/>
    <w:rsid w:val="004D605D"/>
    <w:rsid w:val="004E3C94"/>
    <w:rsid w:val="00504A78"/>
    <w:rsid w:val="00516450"/>
    <w:rsid w:val="00520ADB"/>
    <w:rsid w:val="00544F52"/>
    <w:rsid w:val="00546491"/>
    <w:rsid w:val="00547622"/>
    <w:rsid w:val="0055190A"/>
    <w:rsid w:val="00553B15"/>
    <w:rsid w:val="00580246"/>
    <w:rsid w:val="00582432"/>
    <w:rsid w:val="00591E1E"/>
    <w:rsid w:val="00595920"/>
    <w:rsid w:val="005968E6"/>
    <w:rsid w:val="005A011C"/>
    <w:rsid w:val="005A2539"/>
    <w:rsid w:val="005B1542"/>
    <w:rsid w:val="005B39AC"/>
    <w:rsid w:val="005B5DEF"/>
    <w:rsid w:val="005B75DC"/>
    <w:rsid w:val="005E13E1"/>
    <w:rsid w:val="005E179A"/>
    <w:rsid w:val="005E518C"/>
    <w:rsid w:val="005E5951"/>
    <w:rsid w:val="005F1A84"/>
    <w:rsid w:val="005F2895"/>
    <w:rsid w:val="00607483"/>
    <w:rsid w:val="00611B4D"/>
    <w:rsid w:val="0061613C"/>
    <w:rsid w:val="00616901"/>
    <w:rsid w:val="00624308"/>
    <w:rsid w:val="00624F98"/>
    <w:rsid w:val="00624FE2"/>
    <w:rsid w:val="00626D5B"/>
    <w:rsid w:val="00626E1A"/>
    <w:rsid w:val="00632B97"/>
    <w:rsid w:val="006427FD"/>
    <w:rsid w:val="00644A36"/>
    <w:rsid w:val="00650D1F"/>
    <w:rsid w:val="00652E51"/>
    <w:rsid w:val="00654464"/>
    <w:rsid w:val="00657161"/>
    <w:rsid w:val="00657701"/>
    <w:rsid w:val="00664AAE"/>
    <w:rsid w:val="00672D53"/>
    <w:rsid w:val="00673D48"/>
    <w:rsid w:val="00693790"/>
    <w:rsid w:val="00696171"/>
    <w:rsid w:val="006A18B8"/>
    <w:rsid w:val="006A24D6"/>
    <w:rsid w:val="006A26AD"/>
    <w:rsid w:val="006A5E1B"/>
    <w:rsid w:val="006A73F9"/>
    <w:rsid w:val="006C36AA"/>
    <w:rsid w:val="006C4531"/>
    <w:rsid w:val="006D5D65"/>
    <w:rsid w:val="0070672D"/>
    <w:rsid w:val="007074BA"/>
    <w:rsid w:val="00714901"/>
    <w:rsid w:val="007153F1"/>
    <w:rsid w:val="00740E5E"/>
    <w:rsid w:val="007447E9"/>
    <w:rsid w:val="007455F0"/>
    <w:rsid w:val="00745840"/>
    <w:rsid w:val="00750721"/>
    <w:rsid w:val="007510F3"/>
    <w:rsid w:val="00752AFD"/>
    <w:rsid w:val="007534CE"/>
    <w:rsid w:val="00753E85"/>
    <w:rsid w:val="00754CE1"/>
    <w:rsid w:val="0075574D"/>
    <w:rsid w:val="007642D0"/>
    <w:rsid w:val="007709B2"/>
    <w:rsid w:val="00771C3B"/>
    <w:rsid w:val="00786C06"/>
    <w:rsid w:val="007946E3"/>
    <w:rsid w:val="007A1251"/>
    <w:rsid w:val="007A2ADF"/>
    <w:rsid w:val="007B2BAA"/>
    <w:rsid w:val="007C2335"/>
    <w:rsid w:val="007C526D"/>
    <w:rsid w:val="007D2F03"/>
    <w:rsid w:val="007D46F4"/>
    <w:rsid w:val="007D64F2"/>
    <w:rsid w:val="007D6596"/>
    <w:rsid w:val="007E4410"/>
    <w:rsid w:val="0082449E"/>
    <w:rsid w:val="00827F8D"/>
    <w:rsid w:val="0083195F"/>
    <w:rsid w:val="00835161"/>
    <w:rsid w:val="008418F5"/>
    <w:rsid w:val="00844C15"/>
    <w:rsid w:val="00862B6F"/>
    <w:rsid w:val="00870751"/>
    <w:rsid w:val="00874D5D"/>
    <w:rsid w:val="00875B26"/>
    <w:rsid w:val="00881073"/>
    <w:rsid w:val="00886168"/>
    <w:rsid w:val="0088797E"/>
    <w:rsid w:val="00894075"/>
    <w:rsid w:val="008962D6"/>
    <w:rsid w:val="008A1059"/>
    <w:rsid w:val="008A49B9"/>
    <w:rsid w:val="008B3276"/>
    <w:rsid w:val="008B5BB3"/>
    <w:rsid w:val="008C6719"/>
    <w:rsid w:val="008D3EEF"/>
    <w:rsid w:val="008D45FB"/>
    <w:rsid w:val="008D4DAF"/>
    <w:rsid w:val="008E0469"/>
    <w:rsid w:val="008E0FC7"/>
    <w:rsid w:val="008E59C0"/>
    <w:rsid w:val="009008F3"/>
    <w:rsid w:val="0090127D"/>
    <w:rsid w:val="0090769E"/>
    <w:rsid w:val="00923FDD"/>
    <w:rsid w:val="009263E6"/>
    <w:rsid w:val="009269D3"/>
    <w:rsid w:val="00926D9C"/>
    <w:rsid w:val="00930536"/>
    <w:rsid w:val="00946278"/>
    <w:rsid w:val="00946D5A"/>
    <w:rsid w:val="0094760B"/>
    <w:rsid w:val="0096216C"/>
    <w:rsid w:val="00995642"/>
    <w:rsid w:val="009A141C"/>
    <w:rsid w:val="009A231C"/>
    <w:rsid w:val="009A2DAF"/>
    <w:rsid w:val="009A3E2B"/>
    <w:rsid w:val="009A5D26"/>
    <w:rsid w:val="009A69B9"/>
    <w:rsid w:val="009A7EEE"/>
    <w:rsid w:val="009C2915"/>
    <w:rsid w:val="009C3AC8"/>
    <w:rsid w:val="009C448F"/>
    <w:rsid w:val="009C7C6C"/>
    <w:rsid w:val="009D6590"/>
    <w:rsid w:val="009F2146"/>
    <w:rsid w:val="009F31E4"/>
    <w:rsid w:val="009F31F7"/>
    <w:rsid w:val="00A00E3D"/>
    <w:rsid w:val="00A01C10"/>
    <w:rsid w:val="00A064CD"/>
    <w:rsid w:val="00A1078F"/>
    <w:rsid w:val="00A126BB"/>
    <w:rsid w:val="00A2487B"/>
    <w:rsid w:val="00A24F4B"/>
    <w:rsid w:val="00A25EAA"/>
    <w:rsid w:val="00A32441"/>
    <w:rsid w:val="00A3614E"/>
    <w:rsid w:val="00A4009B"/>
    <w:rsid w:val="00A51EA5"/>
    <w:rsid w:val="00A575DE"/>
    <w:rsid w:val="00A634FA"/>
    <w:rsid w:val="00A66EB6"/>
    <w:rsid w:val="00A759E8"/>
    <w:rsid w:val="00A82E3D"/>
    <w:rsid w:val="00A83E38"/>
    <w:rsid w:val="00A92EBA"/>
    <w:rsid w:val="00A9306F"/>
    <w:rsid w:val="00A939A8"/>
    <w:rsid w:val="00AA281C"/>
    <w:rsid w:val="00AA759B"/>
    <w:rsid w:val="00AB70EF"/>
    <w:rsid w:val="00AC725B"/>
    <w:rsid w:val="00AD5BE9"/>
    <w:rsid w:val="00AD7A52"/>
    <w:rsid w:val="00AE2D77"/>
    <w:rsid w:val="00AF0297"/>
    <w:rsid w:val="00AF352C"/>
    <w:rsid w:val="00AF736B"/>
    <w:rsid w:val="00B07936"/>
    <w:rsid w:val="00B10508"/>
    <w:rsid w:val="00B16F45"/>
    <w:rsid w:val="00B24537"/>
    <w:rsid w:val="00B2553D"/>
    <w:rsid w:val="00B50E05"/>
    <w:rsid w:val="00B53056"/>
    <w:rsid w:val="00B6091D"/>
    <w:rsid w:val="00B623E3"/>
    <w:rsid w:val="00B66576"/>
    <w:rsid w:val="00B731ED"/>
    <w:rsid w:val="00B7784A"/>
    <w:rsid w:val="00B81FA5"/>
    <w:rsid w:val="00B85576"/>
    <w:rsid w:val="00B86196"/>
    <w:rsid w:val="00B90DFC"/>
    <w:rsid w:val="00B9436C"/>
    <w:rsid w:val="00B96E2D"/>
    <w:rsid w:val="00BA2458"/>
    <w:rsid w:val="00BA6482"/>
    <w:rsid w:val="00BB09B2"/>
    <w:rsid w:val="00BB67FE"/>
    <w:rsid w:val="00BC1CF9"/>
    <w:rsid w:val="00BC7CF6"/>
    <w:rsid w:val="00BD3D47"/>
    <w:rsid w:val="00BE0DA5"/>
    <w:rsid w:val="00BE267B"/>
    <w:rsid w:val="00BF0D6B"/>
    <w:rsid w:val="00C07480"/>
    <w:rsid w:val="00C12CC3"/>
    <w:rsid w:val="00C167CC"/>
    <w:rsid w:val="00C2322B"/>
    <w:rsid w:val="00C45512"/>
    <w:rsid w:val="00C46274"/>
    <w:rsid w:val="00C5029E"/>
    <w:rsid w:val="00C51C72"/>
    <w:rsid w:val="00C60CDC"/>
    <w:rsid w:val="00C6307A"/>
    <w:rsid w:val="00C661B3"/>
    <w:rsid w:val="00C717BA"/>
    <w:rsid w:val="00C71E1F"/>
    <w:rsid w:val="00C821C6"/>
    <w:rsid w:val="00C826E5"/>
    <w:rsid w:val="00C82E81"/>
    <w:rsid w:val="00C8670C"/>
    <w:rsid w:val="00C87374"/>
    <w:rsid w:val="00C8779E"/>
    <w:rsid w:val="00C877A3"/>
    <w:rsid w:val="00C966BE"/>
    <w:rsid w:val="00CA5CFE"/>
    <w:rsid w:val="00CB13C7"/>
    <w:rsid w:val="00CB7D57"/>
    <w:rsid w:val="00CC68B8"/>
    <w:rsid w:val="00CC6BCD"/>
    <w:rsid w:val="00CD2F36"/>
    <w:rsid w:val="00CD685E"/>
    <w:rsid w:val="00CE40D3"/>
    <w:rsid w:val="00CE4D00"/>
    <w:rsid w:val="00CE6AC3"/>
    <w:rsid w:val="00CE7ECE"/>
    <w:rsid w:val="00CF1BB6"/>
    <w:rsid w:val="00D11681"/>
    <w:rsid w:val="00D1421C"/>
    <w:rsid w:val="00D258F0"/>
    <w:rsid w:val="00D2600E"/>
    <w:rsid w:val="00D31C9F"/>
    <w:rsid w:val="00D3649F"/>
    <w:rsid w:val="00D465F4"/>
    <w:rsid w:val="00D516AE"/>
    <w:rsid w:val="00D52A37"/>
    <w:rsid w:val="00D549F8"/>
    <w:rsid w:val="00D55277"/>
    <w:rsid w:val="00D560EC"/>
    <w:rsid w:val="00D56F5F"/>
    <w:rsid w:val="00D57A0D"/>
    <w:rsid w:val="00D64F4B"/>
    <w:rsid w:val="00D74C1F"/>
    <w:rsid w:val="00D75933"/>
    <w:rsid w:val="00D81145"/>
    <w:rsid w:val="00D937E5"/>
    <w:rsid w:val="00D94962"/>
    <w:rsid w:val="00D95BD1"/>
    <w:rsid w:val="00D96EB1"/>
    <w:rsid w:val="00D976D9"/>
    <w:rsid w:val="00DA0052"/>
    <w:rsid w:val="00DB7CF8"/>
    <w:rsid w:val="00DC7DFD"/>
    <w:rsid w:val="00DD3D75"/>
    <w:rsid w:val="00DE0C83"/>
    <w:rsid w:val="00DE16AF"/>
    <w:rsid w:val="00DE2C40"/>
    <w:rsid w:val="00DE5CEA"/>
    <w:rsid w:val="00DE7C1A"/>
    <w:rsid w:val="00DF4963"/>
    <w:rsid w:val="00DF5AC3"/>
    <w:rsid w:val="00E079FB"/>
    <w:rsid w:val="00E07FE9"/>
    <w:rsid w:val="00E11C20"/>
    <w:rsid w:val="00E13A6C"/>
    <w:rsid w:val="00E3290E"/>
    <w:rsid w:val="00E3327C"/>
    <w:rsid w:val="00E53D48"/>
    <w:rsid w:val="00E551D3"/>
    <w:rsid w:val="00E629F6"/>
    <w:rsid w:val="00E75298"/>
    <w:rsid w:val="00E84E7A"/>
    <w:rsid w:val="00EB4729"/>
    <w:rsid w:val="00EB7A5F"/>
    <w:rsid w:val="00EC185D"/>
    <w:rsid w:val="00EC383B"/>
    <w:rsid w:val="00EC395D"/>
    <w:rsid w:val="00EC3EA5"/>
    <w:rsid w:val="00EC4827"/>
    <w:rsid w:val="00EC65BF"/>
    <w:rsid w:val="00EC69C1"/>
    <w:rsid w:val="00EC6D43"/>
    <w:rsid w:val="00EE5F7F"/>
    <w:rsid w:val="00EE733A"/>
    <w:rsid w:val="00EE7F5D"/>
    <w:rsid w:val="00EF3D1F"/>
    <w:rsid w:val="00EF41F8"/>
    <w:rsid w:val="00EF7152"/>
    <w:rsid w:val="00F01DEA"/>
    <w:rsid w:val="00F062D8"/>
    <w:rsid w:val="00F21E8B"/>
    <w:rsid w:val="00F22D87"/>
    <w:rsid w:val="00F24CDB"/>
    <w:rsid w:val="00F2572A"/>
    <w:rsid w:val="00F33932"/>
    <w:rsid w:val="00F376D2"/>
    <w:rsid w:val="00F378E2"/>
    <w:rsid w:val="00F4701B"/>
    <w:rsid w:val="00F570D8"/>
    <w:rsid w:val="00F62735"/>
    <w:rsid w:val="00F67432"/>
    <w:rsid w:val="00F701FA"/>
    <w:rsid w:val="00F74CE4"/>
    <w:rsid w:val="00F82419"/>
    <w:rsid w:val="00F84AA8"/>
    <w:rsid w:val="00F85407"/>
    <w:rsid w:val="00F952C6"/>
    <w:rsid w:val="00F978A5"/>
    <w:rsid w:val="00FA0EB0"/>
    <w:rsid w:val="00FA18A4"/>
    <w:rsid w:val="00FA1A28"/>
    <w:rsid w:val="00FB247F"/>
    <w:rsid w:val="00FC20BA"/>
    <w:rsid w:val="00FC64EB"/>
    <w:rsid w:val="00FE0CD4"/>
    <w:rsid w:val="00FF5847"/>
    <w:rsid w:val="00FF74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14:docId w14:val="5E94C76C"/>
  <w15:docId w15:val="{CD0B5DE5-D9FB-467C-BC97-E22FEE34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15"/>
    <w:pPr>
      <w:spacing w:after="0"/>
    </w:pPr>
    <w:rPr>
      <w:rFonts w:ascii="Times New Roman" w:eastAsia="Times New Roman" w:hAnsi="Times New Roman" w:cs="Times New Roman"/>
      <w:sz w:val="24"/>
      <w:szCs w:val="24"/>
      <w:lang w:eastAsia="en-US"/>
    </w:rPr>
  </w:style>
  <w:style w:type="paragraph" w:styleId="Heading1">
    <w:name w:val="heading 1"/>
    <w:basedOn w:val="Normal"/>
    <w:link w:val="Heading1Char"/>
    <w:qFormat/>
    <w:rsid w:val="00D1421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1421C"/>
    <w:rPr>
      <w:sz w:val="24"/>
      <w:szCs w:val="24"/>
    </w:rPr>
  </w:style>
  <w:style w:type="paragraph" w:styleId="Footer">
    <w:name w:val="footer"/>
    <w:basedOn w:val="Normal"/>
    <w:link w:val="Foot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1421C"/>
    <w:rPr>
      <w:sz w:val="24"/>
      <w:szCs w:val="24"/>
    </w:rPr>
  </w:style>
  <w:style w:type="paragraph" w:styleId="BalloonText">
    <w:name w:val="Balloon Text"/>
    <w:basedOn w:val="Normal"/>
    <w:link w:val="BalloonTextChar"/>
    <w:uiPriority w:val="99"/>
    <w:semiHidden/>
    <w:unhideWhenUsed/>
    <w:rsid w:val="00D1421C"/>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1421C"/>
    <w:rPr>
      <w:rFonts w:ascii="Lucida Grande" w:hAnsi="Lucida Grande" w:cs="Lucida Grande"/>
      <w:sz w:val="18"/>
      <w:szCs w:val="18"/>
    </w:rPr>
  </w:style>
  <w:style w:type="character" w:customStyle="1" w:styleId="Heading1Char">
    <w:name w:val="Heading 1 Char"/>
    <w:basedOn w:val="DefaultParagraphFont"/>
    <w:link w:val="Heading1"/>
    <w:rsid w:val="00D1421C"/>
    <w:rPr>
      <w:rFonts w:ascii="Times New Roman" w:eastAsia="Times New Roman" w:hAnsi="Times New Roman" w:cs="Times New Roman"/>
      <w:b/>
      <w:bCs/>
      <w:kern w:val="36"/>
      <w:sz w:val="48"/>
      <w:szCs w:val="48"/>
      <w:lang w:eastAsia="en-US"/>
    </w:rPr>
  </w:style>
  <w:style w:type="character" w:styleId="Hyperlink">
    <w:name w:val="Hyperlink"/>
    <w:rsid w:val="00D1421C"/>
    <w:rPr>
      <w:color w:val="99CC00"/>
      <w:u w:val="single"/>
    </w:rPr>
  </w:style>
  <w:style w:type="paragraph" w:styleId="NormalWeb">
    <w:name w:val="Normal (Web)"/>
    <w:basedOn w:val="Normal"/>
    <w:uiPriority w:val="99"/>
    <w:rsid w:val="00D1421C"/>
    <w:pPr>
      <w:spacing w:before="100" w:beforeAutospacing="1" w:after="100" w:afterAutospacing="1"/>
    </w:pPr>
  </w:style>
  <w:style w:type="paragraph" w:customStyle="1" w:styleId="Default">
    <w:name w:val="Default"/>
    <w:rsid w:val="00D1421C"/>
    <w:pPr>
      <w:autoSpaceDE w:val="0"/>
      <w:autoSpaceDN w:val="0"/>
      <w:adjustRightInd w:val="0"/>
      <w:spacing w:after="0"/>
    </w:pPr>
    <w:rPr>
      <w:rFonts w:ascii="Arial" w:eastAsia="Times New Roman" w:hAnsi="Arial" w:cs="Arial"/>
      <w:color w:val="000000"/>
      <w:sz w:val="24"/>
      <w:szCs w:val="24"/>
      <w:lang w:eastAsia="en-US"/>
    </w:rPr>
  </w:style>
  <w:style w:type="character" w:customStyle="1" w:styleId="normal1">
    <w:name w:val="normal1"/>
    <w:rsid w:val="00405077"/>
    <w:rPr>
      <w:rFonts w:ascii="Arial" w:hAnsi="Arial" w:cs="Arial" w:hint="default"/>
      <w:sz w:val="20"/>
      <w:szCs w:val="20"/>
    </w:rPr>
  </w:style>
  <w:style w:type="paragraph" w:customStyle="1" w:styleId="default0">
    <w:name w:val="default"/>
    <w:basedOn w:val="Normal"/>
    <w:uiPriority w:val="99"/>
    <w:rsid w:val="00405077"/>
    <w:pPr>
      <w:autoSpaceDE w:val="0"/>
      <w:autoSpaceDN w:val="0"/>
    </w:pPr>
    <w:rPr>
      <w:rFonts w:ascii="Arial" w:hAnsi="Arial" w:cs="Arial"/>
      <w:color w:val="000000"/>
    </w:rPr>
  </w:style>
  <w:style w:type="character" w:styleId="CommentReference">
    <w:name w:val="annotation reference"/>
    <w:basedOn w:val="DefaultParagraphFont"/>
    <w:uiPriority w:val="99"/>
    <w:semiHidden/>
    <w:unhideWhenUsed/>
    <w:rsid w:val="00881073"/>
    <w:rPr>
      <w:sz w:val="16"/>
      <w:szCs w:val="16"/>
    </w:rPr>
  </w:style>
  <w:style w:type="paragraph" w:styleId="CommentText">
    <w:name w:val="annotation text"/>
    <w:basedOn w:val="Normal"/>
    <w:link w:val="CommentTextChar"/>
    <w:uiPriority w:val="99"/>
    <w:semiHidden/>
    <w:unhideWhenUsed/>
    <w:rsid w:val="00881073"/>
    <w:rPr>
      <w:sz w:val="20"/>
      <w:szCs w:val="20"/>
    </w:rPr>
  </w:style>
  <w:style w:type="character" w:customStyle="1" w:styleId="CommentTextChar">
    <w:name w:val="Comment Text Char"/>
    <w:basedOn w:val="DefaultParagraphFont"/>
    <w:link w:val="CommentText"/>
    <w:uiPriority w:val="99"/>
    <w:semiHidden/>
    <w:rsid w:val="00881073"/>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881073"/>
    <w:rPr>
      <w:b/>
      <w:bCs/>
    </w:rPr>
  </w:style>
  <w:style w:type="character" w:customStyle="1" w:styleId="CommentSubjectChar">
    <w:name w:val="Comment Subject Char"/>
    <w:basedOn w:val="CommentTextChar"/>
    <w:link w:val="CommentSubject"/>
    <w:uiPriority w:val="99"/>
    <w:semiHidden/>
    <w:rsid w:val="00881073"/>
    <w:rPr>
      <w:rFonts w:ascii="Times New Roman" w:eastAsia="Times New Roman" w:hAnsi="Times New Roman" w:cs="Times New Roman"/>
      <w:b/>
      <w:bCs/>
      <w:lang w:eastAsia="en-US"/>
    </w:rPr>
  </w:style>
  <w:style w:type="character" w:customStyle="1" w:styleId="A3">
    <w:name w:val="A3"/>
    <w:uiPriority w:val="99"/>
    <w:rsid w:val="00E53D48"/>
    <w:rPr>
      <w:rFonts w:cs="Univers LT Std 45 Light"/>
      <w:color w:val="13252F"/>
      <w:sz w:val="18"/>
      <w:szCs w:val="18"/>
    </w:rPr>
  </w:style>
  <w:style w:type="table" w:styleId="TableGrid">
    <w:name w:val="Table Grid"/>
    <w:basedOn w:val="TableNormal"/>
    <w:uiPriority w:val="59"/>
    <w:rsid w:val="000F2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307A"/>
    <w:rPr>
      <w:b/>
      <w:bCs/>
    </w:rPr>
  </w:style>
  <w:style w:type="character" w:styleId="FollowedHyperlink">
    <w:name w:val="FollowedHyperlink"/>
    <w:basedOn w:val="DefaultParagraphFont"/>
    <w:uiPriority w:val="99"/>
    <w:semiHidden/>
    <w:unhideWhenUsed/>
    <w:rsid w:val="00364D2C"/>
    <w:rPr>
      <w:color w:val="800080" w:themeColor="followedHyperlink"/>
      <w:u w:val="single"/>
    </w:rPr>
  </w:style>
  <w:style w:type="character" w:customStyle="1" w:styleId="UnresolvedMention1">
    <w:name w:val="Unresolved Mention1"/>
    <w:basedOn w:val="DefaultParagraphFont"/>
    <w:uiPriority w:val="99"/>
    <w:semiHidden/>
    <w:unhideWhenUsed/>
    <w:rsid w:val="00B731ED"/>
    <w:rPr>
      <w:color w:val="605E5C"/>
      <w:shd w:val="clear" w:color="auto" w:fill="E1DFDD"/>
    </w:rPr>
  </w:style>
  <w:style w:type="paragraph" w:styleId="ListParagraph">
    <w:name w:val="List Paragraph"/>
    <w:basedOn w:val="Normal"/>
    <w:uiPriority w:val="34"/>
    <w:qFormat/>
    <w:rsid w:val="00827F8D"/>
    <w:pPr>
      <w:ind w:left="720"/>
    </w:pPr>
    <w:rPr>
      <w:rFonts w:ascii="Calibri" w:eastAsiaTheme="minorHAnsi" w:hAnsi="Calibri" w:cs="Calibri"/>
      <w:sz w:val="22"/>
      <w:szCs w:val="22"/>
    </w:rPr>
  </w:style>
  <w:style w:type="paragraph" w:styleId="Revision">
    <w:name w:val="Revision"/>
    <w:hidden/>
    <w:uiPriority w:val="99"/>
    <w:semiHidden/>
    <w:rsid w:val="00EC69C1"/>
    <w:pPr>
      <w:spacing w:after="0"/>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6C4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474">
      <w:bodyDiv w:val="1"/>
      <w:marLeft w:val="0"/>
      <w:marRight w:val="0"/>
      <w:marTop w:val="0"/>
      <w:marBottom w:val="0"/>
      <w:divBdr>
        <w:top w:val="none" w:sz="0" w:space="0" w:color="auto"/>
        <w:left w:val="none" w:sz="0" w:space="0" w:color="auto"/>
        <w:bottom w:val="none" w:sz="0" w:space="0" w:color="auto"/>
        <w:right w:val="none" w:sz="0" w:space="0" w:color="auto"/>
      </w:divBdr>
    </w:div>
    <w:div w:id="170920855">
      <w:bodyDiv w:val="1"/>
      <w:marLeft w:val="0"/>
      <w:marRight w:val="0"/>
      <w:marTop w:val="0"/>
      <w:marBottom w:val="0"/>
      <w:divBdr>
        <w:top w:val="none" w:sz="0" w:space="0" w:color="auto"/>
        <w:left w:val="none" w:sz="0" w:space="0" w:color="auto"/>
        <w:bottom w:val="none" w:sz="0" w:space="0" w:color="auto"/>
        <w:right w:val="none" w:sz="0" w:space="0" w:color="auto"/>
      </w:divBdr>
    </w:div>
    <w:div w:id="238098125">
      <w:bodyDiv w:val="1"/>
      <w:marLeft w:val="0"/>
      <w:marRight w:val="0"/>
      <w:marTop w:val="0"/>
      <w:marBottom w:val="0"/>
      <w:divBdr>
        <w:top w:val="none" w:sz="0" w:space="0" w:color="auto"/>
        <w:left w:val="none" w:sz="0" w:space="0" w:color="auto"/>
        <w:bottom w:val="none" w:sz="0" w:space="0" w:color="auto"/>
        <w:right w:val="none" w:sz="0" w:space="0" w:color="auto"/>
      </w:divBdr>
    </w:div>
    <w:div w:id="248661305">
      <w:bodyDiv w:val="1"/>
      <w:marLeft w:val="0"/>
      <w:marRight w:val="0"/>
      <w:marTop w:val="0"/>
      <w:marBottom w:val="0"/>
      <w:divBdr>
        <w:top w:val="none" w:sz="0" w:space="0" w:color="auto"/>
        <w:left w:val="none" w:sz="0" w:space="0" w:color="auto"/>
        <w:bottom w:val="none" w:sz="0" w:space="0" w:color="auto"/>
        <w:right w:val="none" w:sz="0" w:space="0" w:color="auto"/>
      </w:divBdr>
    </w:div>
    <w:div w:id="698092881">
      <w:bodyDiv w:val="1"/>
      <w:marLeft w:val="0"/>
      <w:marRight w:val="0"/>
      <w:marTop w:val="0"/>
      <w:marBottom w:val="0"/>
      <w:divBdr>
        <w:top w:val="none" w:sz="0" w:space="0" w:color="auto"/>
        <w:left w:val="none" w:sz="0" w:space="0" w:color="auto"/>
        <w:bottom w:val="none" w:sz="0" w:space="0" w:color="auto"/>
        <w:right w:val="none" w:sz="0" w:space="0" w:color="auto"/>
      </w:divBdr>
    </w:div>
    <w:div w:id="785545841">
      <w:bodyDiv w:val="1"/>
      <w:marLeft w:val="0"/>
      <w:marRight w:val="0"/>
      <w:marTop w:val="0"/>
      <w:marBottom w:val="0"/>
      <w:divBdr>
        <w:top w:val="none" w:sz="0" w:space="0" w:color="auto"/>
        <w:left w:val="none" w:sz="0" w:space="0" w:color="auto"/>
        <w:bottom w:val="none" w:sz="0" w:space="0" w:color="auto"/>
        <w:right w:val="none" w:sz="0" w:space="0" w:color="auto"/>
      </w:divBdr>
    </w:div>
    <w:div w:id="1155757125">
      <w:bodyDiv w:val="1"/>
      <w:marLeft w:val="0"/>
      <w:marRight w:val="0"/>
      <w:marTop w:val="0"/>
      <w:marBottom w:val="0"/>
      <w:divBdr>
        <w:top w:val="none" w:sz="0" w:space="0" w:color="auto"/>
        <w:left w:val="none" w:sz="0" w:space="0" w:color="auto"/>
        <w:bottom w:val="none" w:sz="0" w:space="0" w:color="auto"/>
        <w:right w:val="none" w:sz="0" w:space="0" w:color="auto"/>
      </w:divBdr>
    </w:div>
    <w:div w:id="1178427166">
      <w:bodyDiv w:val="1"/>
      <w:marLeft w:val="0"/>
      <w:marRight w:val="0"/>
      <w:marTop w:val="0"/>
      <w:marBottom w:val="0"/>
      <w:divBdr>
        <w:top w:val="none" w:sz="0" w:space="0" w:color="auto"/>
        <w:left w:val="none" w:sz="0" w:space="0" w:color="auto"/>
        <w:bottom w:val="none" w:sz="0" w:space="0" w:color="auto"/>
        <w:right w:val="none" w:sz="0" w:space="0" w:color="auto"/>
      </w:divBdr>
    </w:div>
    <w:div w:id="1607037466">
      <w:bodyDiv w:val="1"/>
      <w:marLeft w:val="0"/>
      <w:marRight w:val="0"/>
      <w:marTop w:val="0"/>
      <w:marBottom w:val="0"/>
      <w:divBdr>
        <w:top w:val="none" w:sz="0" w:space="0" w:color="auto"/>
        <w:left w:val="none" w:sz="0" w:space="0" w:color="auto"/>
        <w:bottom w:val="none" w:sz="0" w:space="0" w:color="auto"/>
        <w:right w:val="none" w:sz="0" w:space="0" w:color="auto"/>
      </w:divBdr>
    </w:div>
    <w:div w:id="1770199734">
      <w:bodyDiv w:val="1"/>
      <w:marLeft w:val="0"/>
      <w:marRight w:val="0"/>
      <w:marTop w:val="0"/>
      <w:marBottom w:val="0"/>
      <w:divBdr>
        <w:top w:val="none" w:sz="0" w:space="0" w:color="auto"/>
        <w:left w:val="none" w:sz="0" w:space="0" w:color="auto"/>
        <w:bottom w:val="none" w:sz="0" w:space="0" w:color="auto"/>
        <w:right w:val="none" w:sz="0" w:space="0" w:color="auto"/>
      </w:divBdr>
    </w:div>
    <w:div w:id="179655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f.tortoiseecofin.com/funds/tea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ortoiseadvisor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toiseecofi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ef.tortoiseecofin.com/" TargetMode="External"/><Relationship Id="rId4" Type="http://schemas.openxmlformats.org/officeDocument/2006/relationships/settings" Target="settings.xml"/><Relationship Id="rId9" Type="http://schemas.openxmlformats.org/officeDocument/2006/relationships/hyperlink" Target="https://cef.tortoiseecofin.com/funds/tea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2973-4561-4D3B-870F-4B5731E5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Platypus</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Maggie Zastrow</cp:lastModifiedBy>
  <cp:revision>2</cp:revision>
  <cp:lastPrinted>2019-01-15T16:19:00Z</cp:lastPrinted>
  <dcterms:created xsi:type="dcterms:W3CDTF">2021-05-10T21:13:00Z</dcterms:created>
  <dcterms:modified xsi:type="dcterms:W3CDTF">2021-05-10T21:13:00Z</dcterms:modified>
</cp:coreProperties>
</file>