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2012" w14:textId="44B8F11A" w:rsidR="008A23B9" w:rsidRPr="0066647E" w:rsidRDefault="0066647E" w:rsidP="0066647E">
      <w:pPr>
        <w:jc w:val="center"/>
        <w:rPr>
          <w:rFonts w:ascii="Times New Roman" w:hAnsi="Times New Roman" w:cs="Times New Roman"/>
          <w:b/>
          <w:bCs/>
          <w:sz w:val="28"/>
          <w:szCs w:val="28"/>
        </w:rPr>
      </w:pPr>
      <w:r w:rsidRPr="0066647E">
        <w:rPr>
          <w:rFonts w:ascii="Times New Roman" w:hAnsi="Times New Roman" w:cs="Times New Roman"/>
          <w:b/>
          <w:bCs/>
          <w:sz w:val="28"/>
          <w:szCs w:val="28"/>
        </w:rPr>
        <w:t>Camber Energy’s Majority-Owned Subsidiary</w:t>
      </w:r>
      <w:r w:rsidR="00040D8B" w:rsidRPr="0066647E">
        <w:rPr>
          <w:rFonts w:ascii="Times New Roman" w:hAnsi="Times New Roman" w:cs="Times New Roman"/>
          <w:b/>
          <w:bCs/>
          <w:sz w:val="28"/>
          <w:szCs w:val="28"/>
        </w:rPr>
        <w:t xml:space="preserve"> Announces </w:t>
      </w:r>
      <w:r w:rsidR="000F48D4">
        <w:rPr>
          <w:rFonts w:ascii="Times New Roman" w:hAnsi="Times New Roman" w:cs="Times New Roman"/>
          <w:b/>
          <w:bCs/>
          <w:sz w:val="28"/>
          <w:szCs w:val="28"/>
        </w:rPr>
        <w:t>Q1 Results</w:t>
      </w:r>
    </w:p>
    <w:p w14:paraId="301D2F25" w14:textId="77777777" w:rsidR="00801D40" w:rsidRPr="00801D40" w:rsidRDefault="00801D40" w:rsidP="00D30F9E">
      <w:pPr>
        <w:jc w:val="center"/>
        <w:rPr>
          <w:rFonts w:ascii="Times New Roman" w:hAnsi="Times New Roman" w:cs="Times New Roman"/>
          <w:b/>
          <w:bCs/>
        </w:rPr>
      </w:pPr>
    </w:p>
    <w:p w14:paraId="2AEDF023" w14:textId="73713FE4" w:rsidR="00040D8B" w:rsidRDefault="0066647E" w:rsidP="00040D8B">
      <w:pPr>
        <w:jc w:val="center"/>
        <w:rPr>
          <w:rFonts w:ascii="Times New Roman" w:hAnsi="Times New Roman" w:cs="Times New Roman"/>
          <w:b/>
          <w:i/>
          <w:sz w:val="28"/>
          <w:szCs w:val="28"/>
        </w:rPr>
      </w:pPr>
      <w:r>
        <w:rPr>
          <w:rFonts w:ascii="Times New Roman" w:hAnsi="Times New Roman" w:cs="Times New Roman"/>
          <w:b/>
          <w:i/>
          <w:sz w:val="28"/>
          <w:szCs w:val="28"/>
        </w:rPr>
        <w:t xml:space="preserve">Subsidiary’s </w:t>
      </w:r>
      <w:r w:rsidR="00040D8B">
        <w:rPr>
          <w:rFonts w:ascii="Times New Roman" w:hAnsi="Times New Roman" w:cs="Times New Roman"/>
          <w:b/>
          <w:i/>
          <w:sz w:val="28"/>
          <w:szCs w:val="28"/>
        </w:rPr>
        <w:t xml:space="preserve">Revenues </w:t>
      </w:r>
      <w:r>
        <w:rPr>
          <w:rFonts w:ascii="Times New Roman" w:hAnsi="Times New Roman" w:cs="Times New Roman"/>
          <w:b/>
          <w:i/>
          <w:sz w:val="28"/>
          <w:szCs w:val="28"/>
        </w:rPr>
        <w:t>were</w:t>
      </w:r>
      <w:r w:rsidR="00040D8B">
        <w:rPr>
          <w:rFonts w:ascii="Times New Roman" w:hAnsi="Times New Roman" w:cs="Times New Roman"/>
          <w:b/>
          <w:i/>
          <w:sz w:val="28"/>
          <w:szCs w:val="28"/>
        </w:rPr>
        <w:t xml:space="preserve"> $</w:t>
      </w:r>
      <w:r w:rsidR="000F48D4">
        <w:rPr>
          <w:rFonts w:ascii="Times New Roman" w:hAnsi="Times New Roman" w:cs="Times New Roman"/>
          <w:b/>
          <w:i/>
          <w:sz w:val="28"/>
          <w:szCs w:val="28"/>
        </w:rPr>
        <w:t>10</w:t>
      </w:r>
      <w:r w:rsidR="000F4F80">
        <w:rPr>
          <w:rFonts w:ascii="Times New Roman" w:hAnsi="Times New Roman" w:cs="Times New Roman"/>
          <w:b/>
          <w:i/>
          <w:sz w:val="28"/>
          <w:szCs w:val="28"/>
        </w:rPr>
        <w:t>.</w:t>
      </w:r>
      <w:r w:rsidR="000F48D4">
        <w:rPr>
          <w:rFonts w:ascii="Times New Roman" w:hAnsi="Times New Roman" w:cs="Times New Roman"/>
          <w:b/>
          <w:i/>
          <w:sz w:val="28"/>
          <w:szCs w:val="28"/>
        </w:rPr>
        <w:t>49</w:t>
      </w:r>
      <w:r w:rsidR="00040D8B">
        <w:rPr>
          <w:rFonts w:ascii="Times New Roman" w:hAnsi="Times New Roman" w:cs="Times New Roman"/>
          <w:b/>
          <w:i/>
          <w:sz w:val="28"/>
          <w:szCs w:val="28"/>
        </w:rPr>
        <w:t xml:space="preserve"> Million</w:t>
      </w:r>
      <w:r w:rsidR="00E24D15">
        <w:rPr>
          <w:rFonts w:ascii="Times New Roman" w:hAnsi="Times New Roman" w:cs="Times New Roman"/>
          <w:b/>
          <w:i/>
          <w:sz w:val="28"/>
          <w:szCs w:val="28"/>
        </w:rPr>
        <w:t xml:space="preserve"> for the Quarter</w:t>
      </w:r>
    </w:p>
    <w:p w14:paraId="1BB44D8B" w14:textId="6F0F993F" w:rsidR="00801D40" w:rsidRDefault="00801D40" w:rsidP="00F26AC9">
      <w:pPr>
        <w:jc w:val="center"/>
        <w:rPr>
          <w:rFonts w:ascii="Times New Roman" w:hAnsi="Times New Roman" w:cs="Times New Roman"/>
          <w:b/>
          <w:i/>
          <w:sz w:val="28"/>
          <w:szCs w:val="28"/>
        </w:rPr>
      </w:pPr>
    </w:p>
    <w:p w14:paraId="05EEE5A5" w14:textId="287373E7" w:rsidR="00B84B2F" w:rsidRDefault="00B84B2F" w:rsidP="00877152">
      <w:pPr>
        <w:jc w:val="both"/>
        <w:rPr>
          <w:rFonts w:ascii="Times New Roman" w:hAnsi="Times New Roman" w:cs="Times New Roman"/>
          <w:sz w:val="22"/>
          <w:szCs w:val="22"/>
        </w:rPr>
      </w:pPr>
      <w:r w:rsidRPr="00C87BC3">
        <w:rPr>
          <w:rFonts w:ascii="Times New Roman" w:eastAsia="Calibri" w:hAnsi="Times New Roman" w:cs="Times New Roman"/>
          <w:b/>
          <w:color w:val="000000" w:themeColor="text1"/>
          <w:sz w:val="22"/>
          <w:szCs w:val="22"/>
        </w:rPr>
        <w:t>HOUSTON,</w:t>
      </w:r>
      <w:r w:rsidRPr="00C87BC3">
        <w:rPr>
          <w:rFonts w:ascii="Times New Roman" w:hAnsi="Times New Roman" w:cs="Times New Roman"/>
          <w:b/>
          <w:color w:val="000000" w:themeColor="text1"/>
          <w:sz w:val="22"/>
          <w:szCs w:val="22"/>
        </w:rPr>
        <w:t xml:space="preserve"> </w:t>
      </w:r>
      <w:r w:rsidRPr="00C87BC3">
        <w:rPr>
          <w:rFonts w:ascii="Times New Roman" w:eastAsia="Calibri" w:hAnsi="Times New Roman" w:cs="Times New Roman"/>
          <w:b/>
          <w:color w:val="000000" w:themeColor="text1"/>
          <w:sz w:val="22"/>
          <w:szCs w:val="22"/>
        </w:rPr>
        <w:t xml:space="preserve">TX </w:t>
      </w:r>
      <w:r w:rsidRPr="00C87BC3">
        <w:rPr>
          <w:rFonts w:ascii="Times New Roman" w:hAnsi="Times New Roman" w:cs="Times New Roman"/>
          <w:b/>
          <w:color w:val="000000" w:themeColor="text1"/>
          <w:sz w:val="22"/>
          <w:szCs w:val="22"/>
        </w:rPr>
        <w:t>–</w:t>
      </w:r>
      <w:r w:rsidR="000F4F80" w:rsidRPr="00C87BC3">
        <w:rPr>
          <w:rFonts w:ascii="Times New Roman" w:hAnsi="Times New Roman" w:cs="Times New Roman"/>
          <w:b/>
          <w:color w:val="000000" w:themeColor="text1"/>
          <w:sz w:val="22"/>
          <w:szCs w:val="22"/>
        </w:rPr>
        <w:t xml:space="preserve"> </w:t>
      </w:r>
      <w:r w:rsidR="00E24D15">
        <w:rPr>
          <w:rFonts w:ascii="Times New Roman" w:hAnsi="Times New Roman" w:cs="Times New Roman"/>
          <w:b/>
          <w:color w:val="000000" w:themeColor="text1"/>
          <w:sz w:val="22"/>
          <w:szCs w:val="22"/>
        </w:rPr>
        <w:t>May 25</w:t>
      </w:r>
      <w:r w:rsidR="000F4F80" w:rsidRPr="00C87BC3">
        <w:rPr>
          <w:rFonts w:ascii="Times New Roman" w:hAnsi="Times New Roman" w:cs="Times New Roman"/>
          <w:b/>
          <w:color w:val="000000" w:themeColor="text1"/>
          <w:sz w:val="22"/>
          <w:szCs w:val="22"/>
        </w:rPr>
        <w:t xml:space="preserve">, </w:t>
      </w:r>
      <w:r w:rsidRPr="00C87BC3">
        <w:rPr>
          <w:rFonts w:ascii="Times New Roman" w:hAnsi="Times New Roman" w:cs="Times New Roman"/>
          <w:b/>
          <w:color w:val="000000" w:themeColor="text1"/>
          <w:sz w:val="22"/>
          <w:szCs w:val="22"/>
        </w:rPr>
        <w:t>20</w:t>
      </w:r>
      <w:r w:rsidR="000F4F80" w:rsidRPr="00C87BC3">
        <w:rPr>
          <w:rFonts w:ascii="Times New Roman" w:hAnsi="Times New Roman" w:cs="Times New Roman"/>
          <w:b/>
          <w:color w:val="000000" w:themeColor="text1"/>
          <w:sz w:val="22"/>
          <w:szCs w:val="22"/>
        </w:rPr>
        <w:t>2</w:t>
      </w:r>
      <w:r w:rsidR="0040271A" w:rsidRPr="00C87BC3">
        <w:rPr>
          <w:rFonts w:ascii="Times New Roman" w:hAnsi="Times New Roman" w:cs="Times New Roman"/>
          <w:b/>
          <w:color w:val="000000" w:themeColor="text1"/>
          <w:sz w:val="22"/>
          <w:szCs w:val="22"/>
        </w:rPr>
        <w:t>1</w:t>
      </w:r>
      <w:r w:rsidRPr="00C87BC3">
        <w:rPr>
          <w:rFonts w:ascii="Times New Roman" w:hAnsi="Times New Roman" w:cs="Times New Roman"/>
          <w:b/>
          <w:color w:val="000000" w:themeColor="text1"/>
          <w:sz w:val="22"/>
          <w:szCs w:val="22"/>
        </w:rPr>
        <w:t xml:space="preserve"> (</w:t>
      </w:r>
      <w:r w:rsidRPr="00C87BC3">
        <w:rPr>
          <w:rFonts w:ascii="Times New Roman" w:eastAsia="Calibri" w:hAnsi="Times New Roman" w:cs="Times New Roman"/>
          <w:b/>
          <w:color w:val="000000" w:themeColor="text1"/>
          <w:sz w:val="22"/>
          <w:szCs w:val="22"/>
        </w:rPr>
        <w:t>GlobeNewswire</w:t>
      </w:r>
      <w:r w:rsidRPr="00C87BC3">
        <w:rPr>
          <w:rFonts w:ascii="Times New Roman" w:hAnsi="Times New Roman" w:cs="Times New Roman"/>
          <w:b/>
          <w:color w:val="000000" w:themeColor="text1"/>
          <w:sz w:val="22"/>
          <w:szCs w:val="22"/>
        </w:rPr>
        <w:t>) –</w:t>
      </w:r>
      <w:r w:rsidRPr="00C87BC3">
        <w:rPr>
          <w:rFonts w:ascii="Times New Roman" w:hAnsi="Times New Roman" w:cs="Times New Roman"/>
          <w:color w:val="000000" w:themeColor="text1"/>
          <w:sz w:val="22"/>
          <w:szCs w:val="22"/>
        </w:rPr>
        <w:t xml:space="preserve"> </w:t>
      </w:r>
      <w:r w:rsidR="0066647E" w:rsidRPr="00C87BC3">
        <w:rPr>
          <w:rFonts w:ascii="Times New Roman" w:hAnsi="Times New Roman" w:cs="Times New Roman"/>
          <w:b/>
          <w:bCs/>
          <w:sz w:val="22"/>
          <w:szCs w:val="22"/>
        </w:rPr>
        <w:t xml:space="preserve">Camber Energy, Inc. </w:t>
      </w:r>
      <w:r w:rsidR="0066647E" w:rsidRPr="00C87BC3">
        <w:rPr>
          <w:rFonts w:ascii="Times New Roman" w:hAnsi="Times New Roman" w:cs="Times New Roman"/>
          <w:sz w:val="22"/>
          <w:szCs w:val="22"/>
        </w:rPr>
        <w:t>(</w:t>
      </w:r>
      <w:r w:rsidR="0066647E" w:rsidRPr="00C87BC3">
        <w:rPr>
          <w:rFonts w:ascii="Times New Roman" w:hAnsi="Times New Roman" w:cs="Times New Roman"/>
          <w:color w:val="000000"/>
          <w:sz w:val="22"/>
          <w:szCs w:val="22"/>
          <w:shd w:val="clear" w:color="auto" w:fill="FFFFFF"/>
        </w:rPr>
        <w:t>NYSE American</w:t>
      </w:r>
      <w:r w:rsidR="0066647E" w:rsidRPr="00C87BC3">
        <w:rPr>
          <w:rFonts w:ascii="Times New Roman" w:hAnsi="Times New Roman" w:cs="Times New Roman"/>
          <w:sz w:val="22"/>
          <w:szCs w:val="22"/>
        </w:rPr>
        <w:t xml:space="preserve">: CEI) (“Camber” or the “Company”) is pleased to report that its majority-owned subsidiary, </w:t>
      </w:r>
      <w:r w:rsidRPr="00C87BC3">
        <w:rPr>
          <w:rFonts w:ascii="Times New Roman" w:eastAsia="Calibri" w:hAnsi="Times New Roman" w:cs="Times New Roman"/>
          <w:color w:val="000000" w:themeColor="text1"/>
          <w:sz w:val="22"/>
          <w:szCs w:val="22"/>
        </w:rPr>
        <w:t>Viking Energy Group,</w:t>
      </w:r>
      <w:r w:rsidRPr="00C87BC3">
        <w:rPr>
          <w:rFonts w:ascii="Times New Roman" w:hAnsi="Times New Roman" w:cs="Times New Roman"/>
          <w:color w:val="000000" w:themeColor="text1"/>
          <w:sz w:val="22"/>
          <w:szCs w:val="22"/>
        </w:rPr>
        <w:t xml:space="preserve"> </w:t>
      </w:r>
      <w:r w:rsidRPr="00C87BC3">
        <w:rPr>
          <w:rFonts w:ascii="Times New Roman" w:eastAsia="Calibri" w:hAnsi="Times New Roman" w:cs="Times New Roman"/>
          <w:color w:val="000000" w:themeColor="text1"/>
          <w:sz w:val="22"/>
          <w:szCs w:val="22"/>
        </w:rPr>
        <w:t>Inc</w:t>
      </w:r>
      <w:r w:rsidRPr="00C87BC3">
        <w:rPr>
          <w:rFonts w:ascii="Times New Roman" w:hAnsi="Times New Roman" w:cs="Times New Roman"/>
          <w:color w:val="000000" w:themeColor="text1"/>
          <w:sz w:val="22"/>
          <w:szCs w:val="22"/>
        </w:rPr>
        <w:t xml:space="preserve">. </w:t>
      </w:r>
      <w:r w:rsidRPr="00C87BC3">
        <w:rPr>
          <w:rFonts w:ascii="Times New Roman" w:eastAsiaTheme="minorEastAsia" w:hAnsi="Times New Roman" w:cs="Times New Roman"/>
          <w:color w:val="000000" w:themeColor="text1"/>
          <w:sz w:val="22"/>
          <w:szCs w:val="22"/>
        </w:rPr>
        <w:t>(“Viking”</w:t>
      </w:r>
      <w:r w:rsidR="0066647E" w:rsidRPr="00C87BC3">
        <w:rPr>
          <w:rFonts w:ascii="Times New Roman" w:eastAsiaTheme="minorEastAsia" w:hAnsi="Times New Roman" w:cs="Times New Roman"/>
          <w:color w:val="000000" w:themeColor="text1"/>
          <w:sz w:val="22"/>
          <w:szCs w:val="22"/>
        </w:rPr>
        <w:t>)</w:t>
      </w:r>
      <w:r w:rsidRPr="00C87BC3">
        <w:rPr>
          <w:rFonts w:ascii="Times New Roman" w:eastAsiaTheme="minorEastAsia" w:hAnsi="Times New Roman" w:cs="Times New Roman"/>
          <w:color w:val="000000" w:themeColor="text1"/>
          <w:sz w:val="22"/>
          <w:szCs w:val="22"/>
        </w:rPr>
        <w:t xml:space="preserve">, </w:t>
      </w:r>
      <w:r w:rsidRPr="00C87BC3">
        <w:rPr>
          <w:rFonts w:ascii="Times New Roman" w:eastAsia="Times New Roman" w:hAnsi="Times New Roman" w:cs="Times New Roman"/>
          <w:color w:val="000000" w:themeColor="text1"/>
          <w:sz w:val="22"/>
          <w:szCs w:val="22"/>
          <w:shd w:val="clear" w:color="auto" w:fill="FFFFFF"/>
        </w:rPr>
        <w:t>an independent exploration and production company focused on the acquisition and development of oil and natural</w:t>
      </w:r>
      <w:r w:rsidRPr="00801D40">
        <w:rPr>
          <w:rFonts w:ascii="Times New Roman" w:eastAsia="Times New Roman" w:hAnsi="Times New Roman" w:cs="Times New Roman"/>
          <w:color w:val="000000" w:themeColor="text1"/>
          <w:sz w:val="22"/>
          <w:szCs w:val="22"/>
          <w:shd w:val="clear" w:color="auto" w:fill="FFFFFF"/>
        </w:rPr>
        <w:t xml:space="preserve"> gas properties in the onshore Gulf Coast and Mid-Continent regions</w:t>
      </w:r>
      <w:r w:rsidRPr="00801D40">
        <w:rPr>
          <w:rFonts w:ascii="Times New Roman" w:eastAsiaTheme="minorEastAsia" w:hAnsi="Times New Roman" w:cs="Times New Roman"/>
          <w:color w:val="000000" w:themeColor="text1"/>
          <w:sz w:val="22"/>
          <w:szCs w:val="22"/>
        </w:rPr>
        <w:t xml:space="preserve">, </w:t>
      </w:r>
      <w:r w:rsidRPr="00801D40">
        <w:rPr>
          <w:rFonts w:ascii="Times New Roman" w:hAnsi="Times New Roman" w:cs="Times New Roman"/>
          <w:sz w:val="22"/>
          <w:szCs w:val="22"/>
        </w:rPr>
        <w:t xml:space="preserve">announced </w:t>
      </w:r>
      <w:r w:rsidR="0066647E">
        <w:rPr>
          <w:rFonts w:ascii="Times New Roman" w:hAnsi="Times New Roman" w:cs="Times New Roman"/>
          <w:sz w:val="22"/>
          <w:szCs w:val="22"/>
        </w:rPr>
        <w:t xml:space="preserve">on </w:t>
      </w:r>
      <w:r w:rsidR="000F48D4">
        <w:rPr>
          <w:rFonts w:ascii="Times New Roman" w:hAnsi="Times New Roman" w:cs="Times New Roman"/>
          <w:sz w:val="22"/>
          <w:szCs w:val="22"/>
        </w:rPr>
        <w:t>May 24</w:t>
      </w:r>
      <w:r w:rsidR="0066647E">
        <w:rPr>
          <w:rFonts w:ascii="Times New Roman" w:hAnsi="Times New Roman" w:cs="Times New Roman"/>
          <w:sz w:val="22"/>
          <w:szCs w:val="22"/>
        </w:rPr>
        <w:t>, 202</w:t>
      </w:r>
      <w:r w:rsidR="000F48D4">
        <w:rPr>
          <w:rFonts w:ascii="Times New Roman" w:hAnsi="Times New Roman" w:cs="Times New Roman"/>
          <w:sz w:val="22"/>
          <w:szCs w:val="22"/>
        </w:rPr>
        <w:t>1</w:t>
      </w:r>
      <w:r w:rsidR="0066647E">
        <w:rPr>
          <w:rFonts w:ascii="Times New Roman" w:hAnsi="Times New Roman" w:cs="Times New Roman"/>
          <w:sz w:val="22"/>
          <w:szCs w:val="22"/>
        </w:rPr>
        <w:t xml:space="preserve"> Viking’s</w:t>
      </w:r>
      <w:r w:rsidR="000F4F80" w:rsidRPr="00801D40">
        <w:rPr>
          <w:rFonts w:ascii="Times New Roman" w:hAnsi="Times New Roman" w:cs="Times New Roman"/>
          <w:sz w:val="22"/>
          <w:szCs w:val="22"/>
        </w:rPr>
        <w:t xml:space="preserve"> </w:t>
      </w:r>
      <w:r w:rsidRPr="00801D40">
        <w:rPr>
          <w:rFonts w:ascii="Times New Roman" w:hAnsi="Times New Roman" w:cs="Times New Roman"/>
          <w:sz w:val="22"/>
          <w:szCs w:val="22"/>
        </w:rPr>
        <w:t xml:space="preserve">financial results for the </w:t>
      </w:r>
      <w:r w:rsidR="000F48D4">
        <w:rPr>
          <w:rFonts w:ascii="Times New Roman" w:hAnsi="Times New Roman" w:cs="Times New Roman"/>
          <w:sz w:val="22"/>
          <w:szCs w:val="22"/>
        </w:rPr>
        <w:t>quarter</w:t>
      </w:r>
      <w:r w:rsidRPr="00801D40">
        <w:rPr>
          <w:rFonts w:ascii="Times New Roman" w:hAnsi="Times New Roman" w:cs="Times New Roman"/>
          <w:sz w:val="22"/>
          <w:szCs w:val="22"/>
        </w:rPr>
        <w:t xml:space="preserve"> ended </w:t>
      </w:r>
      <w:r w:rsidR="000F48D4">
        <w:rPr>
          <w:rFonts w:ascii="Times New Roman" w:hAnsi="Times New Roman" w:cs="Times New Roman"/>
          <w:sz w:val="22"/>
          <w:szCs w:val="22"/>
        </w:rPr>
        <w:t>March</w:t>
      </w:r>
      <w:r w:rsidRPr="00801D40">
        <w:rPr>
          <w:rFonts w:ascii="Times New Roman" w:hAnsi="Times New Roman" w:cs="Times New Roman"/>
          <w:sz w:val="22"/>
          <w:szCs w:val="22"/>
        </w:rPr>
        <w:t xml:space="preserve"> 3</w:t>
      </w:r>
      <w:r w:rsidR="000F4F80" w:rsidRPr="00801D40">
        <w:rPr>
          <w:rFonts w:ascii="Times New Roman" w:hAnsi="Times New Roman" w:cs="Times New Roman"/>
          <w:sz w:val="22"/>
          <w:szCs w:val="22"/>
        </w:rPr>
        <w:t>1</w:t>
      </w:r>
      <w:r w:rsidRPr="00801D40">
        <w:rPr>
          <w:rFonts w:ascii="Times New Roman" w:hAnsi="Times New Roman" w:cs="Times New Roman"/>
          <w:sz w:val="22"/>
          <w:szCs w:val="22"/>
        </w:rPr>
        <w:t>, 20</w:t>
      </w:r>
      <w:r w:rsidR="0040271A">
        <w:rPr>
          <w:rFonts w:ascii="Times New Roman" w:hAnsi="Times New Roman" w:cs="Times New Roman"/>
          <w:sz w:val="22"/>
          <w:szCs w:val="22"/>
        </w:rPr>
        <w:t>2</w:t>
      </w:r>
      <w:r w:rsidR="000F48D4">
        <w:rPr>
          <w:rFonts w:ascii="Times New Roman" w:hAnsi="Times New Roman" w:cs="Times New Roman"/>
          <w:sz w:val="22"/>
          <w:szCs w:val="22"/>
        </w:rPr>
        <w:t>1</w:t>
      </w:r>
      <w:r w:rsidRPr="00801D40">
        <w:rPr>
          <w:rFonts w:ascii="Times New Roman" w:hAnsi="Times New Roman" w:cs="Times New Roman"/>
          <w:sz w:val="22"/>
          <w:szCs w:val="22"/>
        </w:rPr>
        <w:t>.</w:t>
      </w:r>
    </w:p>
    <w:p w14:paraId="0C23D102" w14:textId="77777777" w:rsidR="00C87BC3" w:rsidRDefault="00C87BC3" w:rsidP="00C87BC3">
      <w:pPr>
        <w:spacing w:line="360" w:lineRule="auto"/>
        <w:jc w:val="both"/>
        <w:rPr>
          <w:rFonts w:ascii="Times New Roman" w:eastAsia="Times New Roman" w:hAnsi="Times New Roman" w:cs="Times New Roman"/>
          <w:sz w:val="22"/>
          <w:szCs w:val="22"/>
        </w:rPr>
      </w:pPr>
    </w:p>
    <w:p w14:paraId="1A887DAA" w14:textId="2942EACC" w:rsidR="00C87BC3" w:rsidRPr="00801D40" w:rsidRDefault="00C87BC3" w:rsidP="00877152">
      <w:pPr>
        <w:jc w:val="both"/>
        <w:rPr>
          <w:rFonts w:ascii="Times New Roman" w:hAnsi="Times New Roman" w:cs="Times New Roman"/>
          <w:sz w:val="22"/>
          <w:szCs w:val="22"/>
        </w:rPr>
      </w:pPr>
      <w:r w:rsidRPr="00A86576">
        <w:rPr>
          <w:rFonts w:ascii="Times New Roman" w:eastAsia="Times New Roman" w:hAnsi="Times New Roman" w:cs="Times New Roman"/>
          <w:sz w:val="22"/>
          <w:szCs w:val="22"/>
        </w:rPr>
        <w:t>James Doris, President and Chief Executive Officer</w:t>
      </w:r>
      <w:r>
        <w:rPr>
          <w:rFonts w:ascii="Times New Roman" w:eastAsia="Times New Roman" w:hAnsi="Times New Roman" w:cs="Times New Roman"/>
          <w:sz w:val="22"/>
          <w:szCs w:val="22"/>
        </w:rPr>
        <w:t xml:space="preserve"> of both Camber and Viking</w:t>
      </w:r>
      <w:r w:rsidRPr="00A86576">
        <w:rPr>
          <w:rFonts w:ascii="Times New Roman" w:eastAsia="Times New Roman" w:hAnsi="Times New Roman" w:cs="Times New Roman"/>
          <w:sz w:val="22"/>
          <w:szCs w:val="22"/>
        </w:rPr>
        <w:t>, commented, “</w:t>
      </w:r>
      <w:r w:rsidR="00E24D15" w:rsidRPr="006E185A">
        <w:rPr>
          <w:rFonts w:ascii="Times New Roman" w:eastAsia="Times New Roman" w:hAnsi="Times New Roman" w:cs="Times New Roman"/>
          <w:i/>
          <w:iCs/>
          <w:sz w:val="22"/>
          <w:szCs w:val="22"/>
        </w:rPr>
        <w:t xml:space="preserve">We are pleased with </w:t>
      </w:r>
      <w:r w:rsidR="00E24D15">
        <w:rPr>
          <w:rFonts w:ascii="Times New Roman" w:eastAsia="Times New Roman" w:hAnsi="Times New Roman" w:cs="Times New Roman"/>
          <w:i/>
          <w:iCs/>
          <w:sz w:val="22"/>
          <w:szCs w:val="22"/>
        </w:rPr>
        <w:t>Viking’s</w:t>
      </w:r>
      <w:r w:rsidR="00E24D15" w:rsidRPr="006E185A">
        <w:rPr>
          <w:rFonts w:ascii="Times New Roman" w:eastAsia="Times New Roman" w:hAnsi="Times New Roman" w:cs="Times New Roman"/>
          <w:i/>
          <w:iCs/>
          <w:sz w:val="22"/>
          <w:szCs w:val="22"/>
        </w:rPr>
        <w:t xml:space="preserve"> Q1 results, especially following the unprecedented conditions experienced in 2020.  We are extremely encouraged with the foundation we have </w:t>
      </w:r>
      <w:proofErr w:type="gramStart"/>
      <w:r w:rsidR="00E24D15" w:rsidRPr="006E185A">
        <w:rPr>
          <w:rFonts w:ascii="Times New Roman" w:eastAsia="Times New Roman" w:hAnsi="Times New Roman" w:cs="Times New Roman"/>
          <w:i/>
          <w:iCs/>
          <w:sz w:val="22"/>
          <w:szCs w:val="22"/>
        </w:rPr>
        <w:t>established, and</w:t>
      </w:r>
      <w:proofErr w:type="gramEnd"/>
      <w:r w:rsidR="00E24D15" w:rsidRPr="006E185A">
        <w:rPr>
          <w:rFonts w:ascii="Times New Roman" w:eastAsia="Times New Roman" w:hAnsi="Times New Roman" w:cs="Times New Roman"/>
          <w:i/>
          <w:iCs/>
          <w:sz w:val="22"/>
          <w:szCs w:val="22"/>
        </w:rPr>
        <w:t xml:space="preserve"> are intensely focused on pursuing growth opportunities.</w:t>
      </w:r>
      <w:r>
        <w:rPr>
          <w:rFonts w:ascii="Times New Roman" w:eastAsia="Times New Roman" w:hAnsi="Times New Roman" w:cs="Times New Roman"/>
          <w:sz w:val="22"/>
          <w:szCs w:val="22"/>
        </w:rPr>
        <w:t>”</w:t>
      </w:r>
    </w:p>
    <w:p w14:paraId="714AD98F" w14:textId="77777777" w:rsidR="00C87BC3" w:rsidRDefault="00C87BC3">
      <w:pPr>
        <w:spacing w:line="276" w:lineRule="auto"/>
        <w:contextualSpacing/>
        <w:jc w:val="both"/>
        <w:rPr>
          <w:rFonts w:ascii="Times New Roman" w:hAnsi="Times New Roman" w:cs="Times New Roman"/>
          <w:b/>
        </w:rPr>
      </w:pPr>
    </w:p>
    <w:p w14:paraId="630F2D18" w14:textId="44280221" w:rsidR="0072783D" w:rsidRDefault="00C87BC3">
      <w:pPr>
        <w:spacing w:line="276" w:lineRule="auto"/>
        <w:contextualSpacing/>
        <w:jc w:val="both"/>
        <w:rPr>
          <w:rFonts w:ascii="Times New Roman" w:hAnsi="Times New Roman" w:cs="Times New Roman"/>
        </w:rPr>
      </w:pPr>
      <w:r>
        <w:rPr>
          <w:rFonts w:ascii="Times New Roman" w:hAnsi="Times New Roman" w:cs="Times New Roman"/>
          <w:b/>
        </w:rPr>
        <w:t xml:space="preserve">Viking’s </w:t>
      </w:r>
      <w:r w:rsidR="006F6F87">
        <w:rPr>
          <w:rFonts w:ascii="Times New Roman" w:hAnsi="Times New Roman" w:cs="Times New Roman"/>
          <w:b/>
        </w:rPr>
        <w:t>Revenue</w:t>
      </w:r>
      <w:r w:rsidR="0072783D" w:rsidRPr="00F26AC9">
        <w:rPr>
          <w:rFonts w:ascii="Times New Roman" w:hAnsi="Times New Roman" w:cs="Times New Roman"/>
          <w:b/>
        </w:rPr>
        <w:t xml:space="preserve"> for the </w:t>
      </w:r>
      <w:r w:rsidR="00E24D15">
        <w:rPr>
          <w:rFonts w:ascii="Times New Roman" w:hAnsi="Times New Roman" w:cs="Times New Roman"/>
          <w:b/>
        </w:rPr>
        <w:t>Quarters Ended March 31</w:t>
      </w:r>
      <w:r w:rsidR="0072783D" w:rsidRPr="00F26AC9">
        <w:rPr>
          <w:rFonts w:ascii="Times New Roman" w:hAnsi="Times New Roman" w:cs="Times New Roman"/>
        </w:rPr>
        <w:t>:</w:t>
      </w:r>
    </w:p>
    <w:p w14:paraId="115AB7CE" w14:textId="3A79A61C" w:rsidR="00A74A65" w:rsidRDefault="00A74A65">
      <w:pPr>
        <w:spacing w:line="276" w:lineRule="auto"/>
        <w:contextualSpacing/>
        <w:jc w:val="both"/>
        <w:rPr>
          <w:rFonts w:ascii="Times New Roman" w:hAnsi="Times New Roman" w:cs="Times New Roman"/>
        </w:rPr>
      </w:pPr>
      <w:bookmarkStart w:id="0" w:name="_MON_1626801588"/>
      <w:bookmarkEnd w:id="0"/>
    </w:p>
    <w:tbl>
      <w:tblPr>
        <w:tblStyle w:val="TableGrid"/>
        <w:tblW w:w="0" w:type="auto"/>
        <w:tblLook w:val="04A0" w:firstRow="1" w:lastRow="0" w:firstColumn="1" w:lastColumn="0" w:noHBand="0" w:noVBand="1"/>
      </w:tblPr>
      <w:tblGrid>
        <w:gridCol w:w="2337"/>
        <w:gridCol w:w="2337"/>
        <w:gridCol w:w="2338"/>
        <w:gridCol w:w="2338"/>
      </w:tblGrid>
      <w:tr w:rsidR="0099045D" w:rsidRPr="0099045D" w14:paraId="2B75DF46" w14:textId="77777777" w:rsidTr="0099045D">
        <w:tc>
          <w:tcPr>
            <w:tcW w:w="2337" w:type="dxa"/>
            <w:shd w:val="clear" w:color="auto" w:fill="BDD6EE" w:themeFill="accent5" w:themeFillTint="66"/>
          </w:tcPr>
          <w:p w14:paraId="4812A41B" w14:textId="31B798ED" w:rsidR="0099045D" w:rsidRPr="0099045D" w:rsidRDefault="0099045D" w:rsidP="00440574">
            <w:pPr>
              <w:spacing w:line="276" w:lineRule="auto"/>
              <w:contextualSpacing/>
              <w:jc w:val="both"/>
              <w:rPr>
                <w:rFonts w:ascii="Times New Roman" w:hAnsi="Times New Roman" w:cs="Times New Roman"/>
                <w:sz w:val="21"/>
                <w:szCs w:val="21"/>
              </w:rPr>
            </w:pPr>
            <w:r w:rsidRPr="0099045D">
              <w:rPr>
                <w:rFonts w:ascii="Times New Roman" w:hAnsi="Times New Roman" w:cs="Times New Roman"/>
                <w:sz w:val="21"/>
                <w:szCs w:val="21"/>
              </w:rPr>
              <w:t>Viking Energy Group, Inc.</w:t>
            </w:r>
          </w:p>
        </w:tc>
        <w:tc>
          <w:tcPr>
            <w:tcW w:w="2337" w:type="dxa"/>
            <w:shd w:val="clear" w:color="auto" w:fill="BDD6EE" w:themeFill="accent5" w:themeFillTint="66"/>
          </w:tcPr>
          <w:p w14:paraId="0E2E7501" w14:textId="3EF66570" w:rsidR="0099045D" w:rsidRPr="0099045D" w:rsidRDefault="0099045D" w:rsidP="0099045D">
            <w:pPr>
              <w:spacing w:line="276" w:lineRule="auto"/>
              <w:contextualSpacing/>
              <w:jc w:val="center"/>
              <w:rPr>
                <w:rFonts w:ascii="Times New Roman" w:hAnsi="Times New Roman" w:cs="Times New Roman"/>
                <w:b/>
                <w:bCs/>
                <w:sz w:val="21"/>
                <w:szCs w:val="21"/>
                <w:u w:val="single"/>
              </w:rPr>
            </w:pPr>
            <w:r w:rsidRPr="0099045D">
              <w:rPr>
                <w:rFonts w:ascii="Times New Roman" w:hAnsi="Times New Roman" w:cs="Times New Roman"/>
                <w:b/>
                <w:bCs/>
                <w:sz w:val="21"/>
                <w:szCs w:val="21"/>
                <w:u w:val="single"/>
              </w:rPr>
              <w:t>201</w:t>
            </w:r>
            <w:r w:rsidR="00E24D15">
              <w:rPr>
                <w:rFonts w:ascii="Times New Roman" w:hAnsi="Times New Roman" w:cs="Times New Roman"/>
                <w:b/>
                <w:bCs/>
                <w:sz w:val="21"/>
                <w:szCs w:val="21"/>
                <w:u w:val="single"/>
              </w:rPr>
              <w:t>9</w:t>
            </w:r>
          </w:p>
        </w:tc>
        <w:tc>
          <w:tcPr>
            <w:tcW w:w="2338" w:type="dxa"/>
            <w:shd w:val="clear" w:color="auto" w:fill="BDD6EE" w:themeFill="accent5" w:themeFillTint="66"/>
          </w:tcPr>
          <w:p w14:paraId="274B6EFF" w14:textId="2E8629FE" w:rsidR="0099045D" w:rsidRPr="0099045D" w:rsidRDefault="0099045D" w:rsidP="0099045D">
            <w:pPr>
              <w:spacing w:line="276" w:lineRule="auto"/>
              <w:contextualSpacing/>
              <w:jc w:val="center"/>
              <w:rPr>
                <w:rFonts w:ascii="Times New Roman" w:hAnsi="Times New Roman" w:cs="Times New Roman"/>
                <w:b/>
                <w:bCs/>
                <w:sz w:val="21"/>
                <w:szCs w:val="21"/>
                <w:u w:val="single"/>
              </w:rPr>
            </w:pPr>
            <w:r w:rsidRPr="0099045D">
              <w:rPr>
                <w:rFonts w:ascii="Times New Roman" w:hAnsi="Times New Roman" w:cs="Times New Roman"/>
                <w:b/>
                <w:bCs/>
                <w:sz w:val="21"/>
                <w:szCs w:val="21"/>
                <w:u w:val="single"/>
              </w:rPr>
              <w:t>20</w:t>
            </w:r>
            <w:r w:rsidR="00E24D15">
              <w:rPr>
                <w:rFonts w:ascii="Times New Roman" w:hAnsi="Times New Roman" w:cs="Times New Roman"/>
                <w:b/>
                <w:bCs/>
                <w:sz w:val="21"/>
                <w:szCs w:val="21"/>
                <w:u w:val="single"/>
              </w:rPr>
              <w:t>20</w:t>
            </w:r>
          </w:p>
        </w:tc>
        <w:tc>
          <w:tcPr>
            <w:tcW w:w="2338" w:type="dxa"/>
            <w:shd w:val="clear" w:color="auto" w:fill="BDD6EE" w:themeFill="accent5" w:themeFillTint="66"/>
          </w:tcPr>
          <w:p w14:paraId="13EDF8FE" w14:textId="332CDCA2" w:rsidR="0099045D" w:rsidRPr="0099045D" w:rsidRDefault="0099045D" w:rsidP="0099045D">
            <w:pPr>
              <w:spacing w:line="276" w:lineRule="auto"/>
              <w:contextualSpacing/>
              <w:jc w:val="center"/>
              <w:rPr>
                <w:rFonts w:ascii="Times New Roman" w:hAnsi="Times New Roman" w:cs="Times New Roman"/>
                <w:b/>
                <w:bCs/>
                <w:sz w:val="21"/>
                <w:szCs w:val="21"/>
                <w:u w:val="single"/>
              </w:rPr>
            </w:pPr>
            <w:r w:rsidRPr="0099045D">
              <w:rPr>
                <w:rFonts w:ascii="Times New Roman" w:hAnsi="Times New Roman" w:cs="Times New Roman"/>
                <w:b/>
                <w:bCs/>
                <w:sz w:val="21"/>
                <w:szCs w:val="21"/>
                <w:u w:val="single"/>
              </w:rPr>
              <w:t>202</w:t>
            </w:r>
            <w:r w:rsidR="00E24D15">
              <w:rPr>
                <w:rFonts w:ascii="Times New Roman" w:hAnsi="Times New Roman" w:cs="Times New Roman"/>
                <w:b/>
                <w:bCs/>
                <w:sz w:val="21"/>
                <w:szCs w:val="21"/>
                <w:u w:val="single"/>
              </w:rPr>
              <w:t>1</w:t>
            </w:r>
          </w:p>
        </w:tc>
      </w:tr>
      <w:tr w:rsidR="0099045D" w:rsidRPr="0099045D" w14:paraId="0E228E4E" w14:textId="77777777" w:rsidTr="0099045D">
        <w:tc>
          <w:tcPr>
            <w:tcW w:w="2337" w:type="dxa"/>
          </w:tcPr>
          <w:p w14:paraId="64034057" w14:textId="28E0733B" w:rsidR="0099045D" w:rsidRPr="0099045D" w:rsidRDefault="00E24D15" w:rsidP="00440574">
            <w:pPr>
              <w:spacing w:line="276" w:lineRule="auto"/>
              <w:contextualSpacing/>
              <w:jc w:val="both"/>
              <w:rPr>
                <w:rFonts w:ascii="Times New Roman" w:hAnsi="Times New Roman" w:cs="Times New Roman"/>
                <w:sz w:val="21"/>
                <w:szCs w:val="21"/>
              </w:rPr>
            </w:pPr>
            <w:r>
              <w:rPr>
                <w:rFonts w:ascii="Times New Roman" w:hAnsi="Times New Roman" w:cs="Times New Roman"/>
                <w:sz w:val="21"/>
                <w:szCs w:val="21"/>
              </w:rPr>
              <w:t>1</w:t>
            </w:r>
            <w:r w:rsidRPr="00E24D15">
              <w:rPr>
                <w:rFonts w:ascii="Times New Roman" w:hAnsi="Times New Roman" w:cs="Times New Roman"/>
                <w:sz w:val="21"/>
                <w:szCs w:val="21"/>
                <w:vertAlign w:val="superscript"/>
              </w:rPr>
              <w:t>st</w:t>
            </w:r>
            <w:r>
              <w:rPr>
                <w:rFonts w:ascii="Times New Roman" w:hAnsi="Times New Roman" w:cs="Times New Roman"/>
                <w:sz w:val="21"/>
                <w:szCs w:val="21"/>
              </w:rPr>
              <w:t xml:space="preserve"> Quarter </w:t>
            </w:r>
            <w:r w:rsidR="0099045D" w:rsidRPr="0099045D">
              <w:rPr>
                <w:rFonts w:ascii="Times New Roman" w:hAnsi="Times New Roman" w:cs="Times New Roman"/>
                <w:sz w:val="21"/>
                <w:szCs w:val="21"/>
              </w:rPr>
              <w:t>Revenue</w:t>
            </w:r>
          </w:p>
        </w:tc>
        <w:tc>
          <w:tcPr>
            <w:tcW w:w="2337" w:type="dxa"/>
          </w:tcPr>
          <w:p w14:paraId="6BC8477C" w14:textId="36863BF0" w:rsidR="0099045D" w:rsidRPr="0099045D" w:rsidRDefault="0099045D" w:rsidP="0099045D">
            <w:pPr>
              <w:spacing w:line="276" w:lineRule="auto"/>
              <w:contextualSpacing/>
              <w:jc w:val="center"/>
              <w:rPr>
                <w:rFonts w:ascii="Times New Roman" w:hAnsi="Times New Roman" w:cs="Times New Roman"/>
                <w:sz w:val="21"/>
                <w:szCs w:val="21"/>
              </w:rPr>
            </w:pPr>
            <w:r w:rsidRPr="0099045D">
              <w:rPr>
                <w:rFonts w:ascii="Times New Roman" w:hAnsi="Times New Roman" w:cs="Times New Roman"/>
                <w:sz w:val="21"/>
                <w:szCs w:val="21"/>
              </w:rPr>
              <w:t>$</w:t>
            </w:r>
            <w:r w:rsidR="00BF258A">
              <w:rPr>
                <w:rFonts w:ascii="Times New Roman" w:hAnsi="Times New Roman" w:cs="Times New Roman"/>
                <w:sz w:val="21"/>
                <w:szCs w:val="21"/>
              </w:rPr>
              <w:t>9</w:t>
            </w:r>
            <w:r w:rsidRPr="0099045D">
              <w:rPr>
                <w:rFonts w:ascii="Times New Roman" w:hAnsi="Times New Roman" w:cs="Times New Roman"/>
                <w:sz w:val="21"/>
                <w:szCs w:val="21"/>
              </w:rPr>
              <w:t>,</w:t>
            </w:r>
            <w:r w:rsidR="00BF258A">
              <w:rPr>
                <w:rFonts w:ascii="Times New Roman" w:hAnsi="Times New Roman" w:cs="Times New Roman"/>
                <w:sz w:val="21"/>
                <w:szCs w:val="21"/>
              </w:rPr>
              <w:t>346</w:t>
            </w:r>
            <w:r w:rsidRPr="0099045D">
              <w:rPr>
                <w:rFonts w:ascii="Times New Roman" w:hAnsi="Times New Roman" w:cs="Times New Roman"/>
                <w:sz w:val="21"/>
                <w:szCs w:val="21"/>
              </w:rPr>
              <w:t>,</w:t>
            </w:r>
            <w:r w:rsidR="00BF258A">
              <w:rPr>
                <w:rFonts w:ascii="Times New Roman" w:hAnsi="Times New Roman" w:cs="Times New Roman"/>
                <w:sz w:val="21"/>
                <w:szCs w:val="21"/>
              </w:rPr>
              <w:t>59</w:t>
            </w:r>
            <w:r w:rsidRPr="0099045D">
              <w:rPr>
                <w:rFonts w:ascii="Times New Roman" w:hAnsi="Times New Roman" w:cs="Times New Roman"/>
                <w:sz w:val="21"/>
                <w:szCs w:val="21"/>
              </w:rPr>
              <w:t>2</w:t>
            </w:r>
          </w:p>
        </w:tc>
        <w:tc>
          <w:tcPr>
            <w:tcW w:w="2338" w:type="dxa"/>
          </w:tcPr>
          <w:p w14:paraId="7D6B3FE0" w14:textId="16A7A9EB" w:rsidR="0099045D" w:rsidRPr="0099045D" w:rsidRDefault="0099045D" w:rsidP="0099045D">
            <w:pPr>
              <w:spacing w:line="276" w:lineRule="auto"/>
              <w:contextualSpacing/>
              <w:jc w:val="center"/>
              <w:rPr>
                <w:rFonts w:ascii="Times New Roman" w:hAnsi="Times New Roman" w:cs="Times New Roman"/>
                <w:sz w:val="21"/>
                <w:szCs w:val="21"/>
              </w:rPr>
            </w:pPr>
            <w:r w:rsidRPr="0099045D">
              <w:rPr>
                <w:rFonts w:ascii="Times New Roman" w:hAnsi="Times New Roman" w:cs="Times New Roman"/>
                <w:sz w:val="21"/>
                <w:szCs w:val="21"/>
              </w:rPr>
              <w:t>$</w:t>
            </w:r>
            <w:r w:rsidR="00BF258A">
              <w:rPr>
                <w:rFonts w:ascii="Times New Roman" w:hAnsi="Times New Roman" w:cs="Times New Roman"/>
                <w:sz w:val="21"/>
                <w:szCs w:val="21"/>
              </w:rPr>
              <w:t>11</w:t>
            </w:r>
            <w:r w:rsidRPr="0099045D">
              <w:rPr>
                <w:rFonts w:ascii="Times New Roman" w:hAnsi="Times New Roman" w:cs="Times New Roman"/>
                <w:sz w:val="21"/>
                <w:szCs w:val="21"/>
              </w:rPr>
              <w:t>,</w:t>
            </w:r>
            <w:r w:rsidR="00BF258A">
              <w:rPr>
                <w:rFonts w:ascii="Times New Roman" w:hAnsi="Times New Roman" w:cs="Times New Roman"/>
                <w:sz w:val="21"/>
                <w:szCs w:val="21"/>
              </w:rPr>
              <w:t>787</w:t>
            </w:r>
            <w:r w:rsidRPr="0099045D">
              <w:rPr>
                <w:rFonts w:ascii="Times New Roman" w:hAnsi="Times New Roman" w:cs="Times New Roman"/>
                <w:sz w:val="21"/>
                <w:szCs w:val="21"/>
              </w:rPr>
              <w:t>,</w:t>
            </w:r>
            <w:r w:rsidR="00BF258A">
              <w:rPr>
                <w:rFonts w:ascii="Times New Roman" w:hAnsi="Times New Roman" w:cs="Times New Roman"/>
                <w:sz w:val="21"/>
                <w:szCs w:val="21"/>
              </w:rPr>
              <w:t>952</w:t>
            </w:r>
          </w:p>
        </w:tc>
        <w:tc>
          <w:tcPr>
            <w:tcW w:w="2338" w:type="dxa"/>
          </w:tcPr>
          <w:p w14:paraId="167E80DE" w14:textId="641DD03E" w:rsidR="0099045D" w:rsidRPr="0099045D" w:rsidRDefault="0099045D" w:rsidP="0099045D">
            <w:pPr>
              <w:spacing w:line="276" w:lineRule="auto"/>
              <w:contextualSpacing/>
              <w:jc w:val="center"/>
              <w:rPr>
                <w:rFonts w:ascii="Times New Roman" w:hAnsi="Times New Roman" w:cs="Times New Roman"/>
                <w:sz w:val="21"/>
                <w:szCs w:val="21"/>
              </w:rPr>
            </w:pPr>
            <w:r w:rsidRPr="0099045D">
              <w:rPr>
                <w:rFonts w:ascii="Times New Roman" w:hAnsi="Times New Roman" w:cs="Times New Roman"/>
                <w:sz w:val="21"/>
                <w:szCs w:val="21"/>
              </w:rPr>
              <w:t>$</w:t>
            </w:r>
            <w:r w:rsidR="00BF258A">
              <w:rPr>
                <w:rFonts w:ascii="Times New Roman" w:hAnsi="Times New Roman" w:cs="Times New Roman"/>
                <w:sz w:val="21"/>
                <w:szCs w:val="21"/>
              </w:rPr>
              <w:t>10</w:t>
            </w:r>
            <w:r w:rsidRPr="0099045D">
              <w:rPr>
                <w:rFonts w:ascii="Times New Roman" w:hAnsi="Times New Roman" w:cs="Times New Roman"/>
                <w:sz w:val="21"/>
                <w:szCs w:val="21"/>
              </w:rPr>
              <w:t>,</w:t>
            </w:r>
            <w:r w:rsidR="00BF258A">
              <w:rPr>
                <w:rFonts w:ascii="Times New Roman" w:hAnsi="Times New Roman" w:cs="Times New Roman"/>
                <w:sz w:val="21"/>
                <w:szCs w:val="21"/>
              </w:rPr>
              <w:t>494</w:t>
            </w:r>
            <w:r w:rsidRPr="0099045D">
              <w:rPr>
                <w:rFonts w:ascii="Times New Roman" w:hAnsi="Times New Roman" w:cs="Times New Roman"/>
                <w:sz w:val="21"/>
                <w:szCs w:val="21"/>
              </w:rPr>
              <w:t>,</w:t>
            </w:r>
            <w:r w:rsidR="00BF258A">
              <w:rPr>
                <w:rFonts w:ascii="Times New Roman" w:hAnsi="Times New Roman" w:cs="Times New Roman"/>
                <w:sz w:val="21"/>
                <w:szCs w:val="21"/>
              </w:rPr>
              <w:t>079</w:t>
            </w:r>
          </w:p>
        </w:tc>
      </w:tr>
    </w:tbl>
    <w:p w14:paraId="456B1339" w14:textId="08056E3F" w:rsidR="00801D40" w:rsidRDefault="00801D40" w:rsidP="00440574">
      <w:pPr>
        <w:spacing w:line="276" w:lineRule="auto"/>
        <w:contextualSpacing/>
        <w:jc w:val="both"/>
        <w:rPr>
          <w:rFonts w:ascii="Times New Roman" w:hAnsi="Times New Roman" w:cs="Times New Roman"/>
        </w:rPr>
      </w:pPr>
    </w:p>
    <w:p w14:paraId="610F1CF2" w14:textId="7E10D60F" w:rsidR="00C87BC3" w:rsidRPr="00DD3717" w:rsidRDefault="00C87BC3" w:rsidP="00C87BC3">
      <w:pPr>
        <w:pStyle w:val="NormalWeb"/>
        <w:spacing w:before="0" w:beforeAutospacing="0" w:after="0" w:afterAutospacing="0"/>
        <w:jc w:val="both"/>
        <w:rPr>
          <w:sz w:val="18"/>
          <w:szCs w:val="18"/>
        </w:rPr>
      </w:pPr>
      <w:r w:rsidRPr="00DD3717">
        <w:rPr>
          <w:i/>
          <w:iCs/>
          <w:sz w:val="18"/>
          <w:szCs w:val="18"/>
        </w:rPr>
        <w:t>Note:  The figures referenced above are approximate</w:t>
      </w:r>
      <w:r w:rsidR="007A1AEA" w:rsidRPr="00DD3717">
        <w:rPr>
          <w:i/>
          <w:iCs/>
          <w:sz w:val="18"/>
          <w:szCs w:val="18"/>
        </w:rPr>
        <w:t>.</w:t>
      </w:r>
      <w:r w:rsidR="00A145CC" w:rsidRPr="00DD3717">
        <w:rPr>
          <w:i/>
          <w:iCs/>
          <w:sz w:val="18"/>
          <w:szCs w:val="18"/>
        </w:rPr>
        <w:t xml:space="preserve">  </w:t>
      </w:r>
      <w:r w:rsidRPr="00DD3717">
        <w:rPr>
          <w:i/>
          <w:iCs/>
          <w:sz w:val="18"/>
          <w:szCs w:val="18"/>
        </w:rPr>
        <w:t xml:space="preserve">For specific amounts and further details please refer to Viking’s </w:t>
      </w:r>
      <w:r w:rsidR="00DD3717" w:rsidRPr="00DD3717">
        <w:rPr>
          <w:i/>
          <w:iCs/>
          <w:color w:val="444444"/>
          <w:sz w:val="18"/>
          <w:szCs w:val="18"/>
        </w:rPr>
        <w:t>filings with the Securities and Exchange Commission (“SEC”), includin</w:t>
      </w:r>
      <w:r w:rsidR="00DD3717">
        <w:rPr>
          <w:i/>
          <w:iCs/>
          <w:color w:val="444444"/>
          <w:sz w:val="18"/>
          <w:szCs w:val="18"/>
        </w:rPr>
        <w:t xml:space="preserve">g Viking’s </w:t>
      </w:r>
      <w:r w:rsidR="00DD3717" w:rsidRPr="00DD3717">
        <w:rPr>
          <w:i/>
          <w:iCs/>
          <w:color w:val="444444"/>
          <w:sz w:val="18"/>
          <w:szCs w:val="18"/>
        </w:rPr>
        <w:t>Quarterly Report on Form 10-Q for the quarter ended March 31, 2021</w:t>
      </w:r>
      <w:r w:rsidR="00DD3717">
        <w:rPr>
          <w:i/>
          <w:iCs/>
          <w:color w:val="444444"/>
          <w:sz w:val="18"/>
          <w:szCs w:val="18"/>
        </w:rPr>
        <w:t xml:space="preserve"> </w:t>
      </w:r>
      <w:r w:rsidRPr="00DD3717">
        <w:rPr>
          <w:i/>
          <w:iCs/>
          <w:sz w:val="18"/>
          <w:szCs w:val="18"/>
        </w:rPr>
        <w:t xml:space="preserve">filed on </w:t>
      </w:r>
      <w:r w:rsidR="00E24D15" w:rsidRPr="00DD3717">
        <w:rPr>
          <w:i/>
          <w:iCs/>
          <w:sz w:val="18"/>
          <w:szCs w:val="18"/>
        </w:rPr>
        <w:t>May 24</w:t>
      </w:r>
      <w:r w:rsidRPr="00DD3717">
        <w:rPr>
          <w:i/>
          <w:iCs/>
          <w:sz w:val="18"/>
          <w:szCs w:val="18"/>
        </w:rPr>
        <w:t xml:space="preserve">, 2021 with the </w:t>
      </w:r>
      <w:r w:rsidR="00DD3717">
        <w:rPr>
          <w:i/>
          <w:iCs/>
          <w:sz w:val="18"/>
          <w:szCs w:val="18"/>
        </w:rPr>
        <w:t>SEC</w:t>
      </w:r>
      <w:r w:rsidRPr="00DD3717">
        <w:rPr>
          <w:i/>
          <w:iCs/>
          <w:sz w:val="18"/>
          <w:szCs w:val="18"/>
        </w:rPr>
        <w:t xml:space="preserve"> and available under</w:t>
      </w:r>
      <w:r w:rsidRPr="00DD3717">
        <w:rPr>
          <w:i/>
          <w:sz w:val="18"/>
          <w:szCs w:val="18"/>
        </w:rPr>
        <w:t xml:space="preserve"> "Investors -- SEC Filings" at </w:t>
      </w:r>
      <w:hyperlink r:id="rId7" w:history="1">
        <w:r w:rsidRPr="00DD3717">
          <w:rPr>
            <w:rStyle w:val="Hyperlink"/>
            <w:i/>
            <w:sz w:val="18"/>
            <w:szCs w:val="18"/>
          </w:rPr>
          <w:t>www.vikingenergygroup.com</w:t>
        </w:r>
      </w:hyperlink>
      <w:r w:rsidRPr="00DD3717">
        <w:rPr>
          <w:rStyle w:val="Hyperlink"/>
          <w:i/>
          <w:sz w:val="18"/>
          <w:szCs w:val="18"/>
        </w:rPr>
        <w:t>.</w:t>
      </w:r>
    </w:p>
    <w:p w14:paraId="53632E25" w14:textId="1EEE1151" w:rsidR="00C87BC3" w:rsidRDefault="00C87BC3" w:rsidP="00440574">
      <w:pPr>
        <w:spacing w:line="276" w:lineRule="auto"/>
        <w:contextualSpacing/>
        <w:jc w:val="both"/>
        <w:rPr>
          <w:rFonts w:ascii="Times New Roman" w:hAnsi="Times New Roman" w:cs="Times New Roman"/>
        </w:rPr>
      </w:pPr>
    </w:p>
    <w:p w14:paraId="22253B30" w14:textId="342C3531" w:rsidR="0066647E" w:rsidRDefault="00A145CC">
      <w:pPr>
        <w:jc w:val="both"/>
        <w:rPr>
          <w:rFonts w:ascii="Times New Roman" w:eastAsia="Calibri" w:hAnsi="Times New Roman" w:cs="Times New Roman"/>
          <w:b/>
          <w:color w:val="000000" w:themeColor="text1"/>
          <w:sz w:val="22"/>
          <w:szCs w:val="22"/>
          <w:u w:val="single"/>
        </w:rPr>
      </w:pPr>
      <w:r>
        <w:rPr>
          <w:rFonts w:ascii="Times New Roman" w:hAnsi="Times New Roman" w:cs="Times New Roman"/>
          <w:b/>
        </w:rPr>
        <w:t>Camber’s Interest in Viking</w:t>
      </w:r>
      <w:r w:rsidRPr="00F26AC9">
        <w:rPr>
          <w:rFonts w:ascii="Times New Roman" w:hAnsi="Times New Roman" w:cs="Times New Roman"/>
        </w:rPr>
        <w:t>:</w:t>
      </w:r>
    </w:p>
    <w:p w14:paraId="17BE6CF8" w14:textId="2515E33E" w:rsidR="00C87BC3" w:rsidRDefault="00C87BC3">
      <w:pPr>
        <w:jc w:val="both"/>
        <w:rPr>
          <w:sz w:val="22"/>
          <w:szCs w:val="22"/>
        </w:rPr>
      </w:pPr>
    </w:p>
    <w:p w14:paraId="3A059BE6" w14:textId="13EE5356" w:rsidR="0066647E" w:rsidRPr="00A145CC" w:rsidRDefault="00A145CC">
      <w:pPr>
        <w:jc w:val="both"/>
        <w:rPr>
          <w:rFonts w:ascii="Times New Roman" w:hAnsi="Times New Roman" w:cs="Times New Roman"/>
          <w:sz w:val="22"/>
          <w:szCs w:val="22"/>
        </w:rPr>
      </w:pPr>
      <w:r w:rsidRPr="00A145CC">
        <w:rPr>
          <w:rFonts w:ascii="Times New Roman" w:hAnsi="Times New Roman" w:cs="Times New Roman"/>
          <w:sz w:val="22"/>
          <w:szCs w:val="22"/>
        </w:rPr>
        <w:t xml:space="preserve">Camber owns approximately 62% of the issued and outstanding common shares of Viking.  Such interest was acquired in connection with the transactions described in Camber’s </w:t>
      </w:r>
      <w:r w:rsidR="0066647E" w:rsidRPr="00A145CC">
        <w:rPr>
          <w:rFonts w:ascii="Times New Roman" w:hAnsi="Times New Roman" w:cs="Times New Roman"/>
          <w:sz w:val="22"/>
          <w:szCs w:val="22"/>
        </w:rPr>
        <w:t xml:space="preserve">Current Reports on Form 8-K filed with the Securities and Exchange Commission (“SEC”) on </w:t>
      </w:r>
      <w:r w:rsidRPr="00A145CC">
        <w:rPr>
          <w:rFonts w:ascii="Times New Roman" w:hAnsi="Times New Roman" w:cs="Times New Roman"/>
          <w:sz w:val="22"/>
          <w:szCs w:val="22"/>
        </w:rPr>
        <w:t xml:space="preserve">December 24, 2020 and </w:t>
      </w:r>
      <w:r w:rsidR="0066647E" w:rsidRPr="00A145CC">
        <w:rPr>
          <w:rFonts w:ascii="Times New Roman" w:hAnsi="Times New Roman" w:cs="Times New Roman"/>
          <w:sz w:val="22"/>
          <w:szCs w:val="22"/>
        </w:rPr>
        <w:t>January 13, 2021, and</w:t>
      </w:r>
      <w:r>
        <w:rPr>
          <w:rFonts w:ascii="Times New Roman" w:hAnsi="Times New Roman" w:cs="Times New Roman"/>
          <w:sz w:val="22"/>
          <w:szCs w:val="22"/>
        </w:rPr>
        <w:t xml:space="preserve"> which</w:t>
      </w:r>
      <w:r w:rsidR="0066647E" w:rsidRPr="00A145CC">
        <w:rPr>
          <w:rFonts w:ascii="Times New Roman" w:hAnsi="Times New Roman" w:cs="Times New Roman"/>
          <w:sz w:val="22"/>
          <w:szCs w:val="22"/>
        </w:rPr>
        <w:t xml:space="preserve"> are available under “</w:t>
      </w:r>
      <w:r w:rsidR="0066647E" w:rsidRPr="00A145CC">
        <w:rPr>
          <w:rFonts w:ascii="Times New Roman" w:hAnsi="Times New Roman" w:cs="Times New Roman"/>
          <w:sz w:val="22"/>
          <w:szCs w:val="22"/>
          <w:u w:val="single"/>
        </w:rPr>
        <w:t>investors</w:t>
      </w:r>
      <w:r w:rsidR="0066647E" w:rsidRPr="00A145CC">
        <w:rPr>
          <w:rFonts w:ascii="Times New Roman" w:hAnsi="Times New Roman" w:cs="Times New Roman"/>
          <w:sz w:val="22"/>
          <w:szCs w:val="22"/>
        </w:rPr>
        <w:t>” – “</w:t>
      </w:r>
      <w:r w:rsidR="0066647E" w:rsidRPr="00A145CC">
        <w:rPr>
          <w:rFonts w:ascii="Times New Roman" w:hAnsi="Times New Roman" w:cs="Times New Roman"/>
          <w:sz w:val="22"/>
          <w:szCs w:val="22"/>
          <w:u w:val="single"/>
        </w:rPr>
        <w:t>SEC filings</w:t>
      </w:r>
      <w:r w:rsidR="0066647E" w:rsidRPr="00A145CC">
        <w:rPr>
          <w:rFonts w:ascii="Times New Roman" w:hAnsi="Times New Roman" w:cs="Times New Roman"/>
          <w:sz w:val="22"/>
          <w:szCs w:val="22"/>
        </w:rPr>
        <w:t xml:space="preserve">” at </w:t>
      </w:r>
      <w:hyperlink r:id="rId8" w:history="1">
        <w:r w:rsidR="0066647E" w:rsidRPr="00A145CC">
          <w:rPr>
            <w:rStyle w:val="Hyperlink"/>
            <w:rFonts w:ascii="Times New Roman" w:hAnsi="Times New Roman" w:cs="Times New Roman"/>
            <w:sz w:val="22"/>
            <w:szCs w:val="22"/>
          </w:rPr>
          <w:t>www.camber.energy</w:t>
        </w:r>
      </w:hyperlink>
      <w:r w:rsidRPr="00A145CC">
        <w:rPr>
          <w:rStyle w:val="Hyperlink"/>
          <w:rFonts w:ascii="Times New Roman" w:hAnsi="Times New Roman" w:cs="Times New Roman"/>
          <w:sz w:val="22"/>
          <w:szCs w:val="22"/>
        </w:rPr>
        <w:t>.</w:t>
      </w:r>
      <w:r w:rsidR="0066647E" w:rsidRPr="00A145CC">
        <w:rPr>
          <w:rFonts w:ascii="Times New Roman" w:hAnsi="Times New Roman" w:cs="Times New Roman"/>
          <w:sz w:val="22"/>
          <w:szCs w:val="22"/>
        </w:rPr>
        <w:t xml:space="preserve"> </w:t>
      </w:r>
    </w:p>
    <w:p w14:paraId="57EE96F3" w14:textId="77777777" w:rsidR="0066647E" w:rsidRDefault="0066647E">
      <w:pPr>
        <w:jc w:val="both"/>
        <w:rPr>
          <w:rFonts w:ascii="Times New Roman" w:eastAsia="Calibri" w:hAnsi="Times New Roman" w:cs="Times New Roman"/>
          <w:b/>
          <w:color w:val="000000" w:themeColor="text1"/>
          <w:sz w:val="22"/>
          <w:szCs w:val="22"/>
          <w:u w:val="single"/>
        </w:rPr>
      </w:pPr>
    </w:p>
    <w:p w14:paraId="16B8EE5D" w14:textId="77777777" w:rsidR="00C87BC3" w:rsidRPr="00A145CC" w:rsidRDefault="00C87BC3" w:rsidP="00C87BC3">
      <w:pPr>
        <w:pStyle w:val="NormalWeb"/>
        <w:spacing w:before="0" w:beforeAutospacing="0" w:after="0" w:afterAutospacing="0"/>
        <w:jc w:val="both"/>
        <w:rPr>
          <w:b/>
          <w:bCs/>
        </w:rPr>
      </w:pPr>
      <w:r w:rsidRPr="00A145CC">
        <w:rPr>
          <w:b/>
          <w:bCs/>
        </w:rPr>
        <w:t>About Camber:</w:t>
      </w:r>
    </w:p>
    <w:p w14:paraId="4F9D22ED" w14:textId="77777777" w:rsidR="00C87BC3" w:rsidRPr="00F02AAE" w:rsidRDefault="00C87BC3" w:rsidP="00C87BC3">
      <w:pPr>
        <w:pStyle w:val="NormalWeb"/>
        <w:spacing w:before="0" w:beforeAutospacing="0" w:after="0" w:afterAutospacing="0"/>
        <w:jc w:val="both"/>
        <w:rPr>
          <w:sz w:val="22"/>
          <w:szCs w:val="22"/>
        </w:rPr>
      </w:pPr>
      <w:r w:rsidRPr="00F02AAE">
        <w:rPr>
          <w:sz w:val="22"/>
          <w:szCs w:val="22"/>
        </w:rPr>
        <w:t> </w:t>
      </w:r>
    </w:p>
    <w:p w14:paraId="5A51C054" w14:textId="77777777" w:rsidR="00C87BC3" w:rsidRPr="00A145CC" w:rsidRDefault="00C87BC3" w:rsidP="00C87BC3">
      <w:pPr>
        <w:autoSpaceDE w:val="0"/>
        <w:autoSpaceDN w:val="0"/>
        <w:adjustRightInd w:val="0"/>
        <w:rPr>
          <w:rFonts w:ascii="Times New Roman" w:hAnsi="Times New Roman" w:cs="Times New Roman"/>
          <w:color w:val="000000"/>
          <w:sz w:val="22"/>
          <w:szCs w:val="22"/>
        </w:rPr>
      </w:pPr>
      <w:r w:rsidRPr="00A145CC">
        <w:rPr>
          <w:rFonts w:ascii="Times New Roman" w:hAnsi="Times New Roman" w:cs="Times New Roman"/>
          <w:color w:val="000000"/>
          <w:sz w:val="22"/>
          <w:szCs w:val="22"/>
          <w:shd w:val="clear" w:color="auto" w:fill="FFFFFF"/>
        </w:rPr>
        <w:t xml:space="preserve">Based in Houston, Texas, Camber Energy (NYSE American: CEI) is a growth-oriented energy company.   Through its majority-owned subsidiary, Viking Energy Group, Inc., </w:t>
      </w:r>
      <w:r w:rsidRPr="00A145CC">
        <w:rPr>
          <w:rFonts w:ascii="Times New Roman" w:hAnsi="Times New Roman" w:cs="Times New Roman"/>
          <w:sz w:val="22"/>
          <w:szCs w:val="22"/>
        </w:rPr>
        <w:t xml:space="preserve">Camber owns interests in oil and natural gas assets in the Gulf Coast and Mid-Continent regions.  </w:t>
      </w:r>
      <w:r w:rsidRPr="00A145CC">
        <w:rPr>
          <w:rFonts w:ascii="Times New Roman" w:hAnsi="Times New Roman" w:cs="Times New Roman"/>
          <w:color w:val="000000"/>
          <w:sz w:val="22"/>
          <w:szCs w:val="22"/>
          <w:shd w:val="clear" w:color="auto" w:fill="FFFFFF"/>
        </w:rPr>
        <w:t>For more information, please visit the company's website at </w:t>
      </w:r>
      <w:hyperlink r:id="rId9" w:history="1">
        <w:r w:rsidRPr="00A145CC">
          <w:rPr>
            <w:rStyle w:val="Hyperlink"/>
            <w:rFonts w:ascii="Times New Roman" w:hAnsi="Times New Roman" w:cs="Times New Roman"/>
            <w:sz w:val="22"/>
            <w:szCs w:val="22"/>
            <w:shd w:val="clear" w:color="auto" w:fill="FFFFFF"/>
          </w:rPr>
          <w:t>www.camber.energy</w:t>
        </w:r>
      </w:hyperlink>
      <w:r w:rsidRPr="00A145CC">
        <w:rPr>
          <w:rFonts w:ascii="Times New Roman" w:hAnsi="Times New Roman" w:cs="Times New Roman"/>
          <w:color w:val="000000"/>
          <w:sz w:val="22"/>
          <w:szCs w:val="22"/>
        </w:rPr>
        <w:t>.</w:t>
      </w:r>
    </w:p>
    <w:p w14:paraId="1FFE15A7" w14:textId="4C203C8A" w:rsidR="00A07E99" w:rsidRDefault="00A07E99">
      <w:pPr>
        <w:pStyle w:val="NormalWeb"/>
        <w:spacing w:before="0" w:beforeAutospacing="0" w:after="0" w:afterAutospacing="0"/>
        <w:jc w:val="both"/>
        <w:rPr>
          <w:b/>
          <w:bCs/>
          <w:sz w:val="22"/>
          <w:szCs w:val="22"/>
          <w:u w:val="single"/>
        </w:rPr>
      </w:pPr>
    </w:p>
    <w:p w14:paraId="60A55ED2" w14:textId="77777777" w:rsidR="00EF626A" w:rsidRPr="004C61A1" w:rsidRDefault="00EF626A" w:rsidP="00EF626A">
      <w:pPr>
        <w:pStyle w:val="NormalWeb"/>
        <w:spacing w:before="0" w:beforeAutospacing="0" w:after="0" w:afterAutospacing="0"/>
        <w:jc w:val="both"/>
        <w:rPr>
          <w:sz w:val="22"/>
          <w:szCs w:val="22"/>
        </w:rPr>
      </w:pPr>
      <w:r w:rsidRPr="004C61A1">
        <w:rPr>
          <w:b/>
          <w:bCs/>
          <w:sz w:val="22"/>
          <w:szCs w:val="22"/>
        </w:rPr>
        <w:t>Forward-Looking Statements</w:t>
      </w:r>
    </w:p>
    <w:p w14:paraId="433398B9" w14:textId="77777777" w:rsidR="00EF626A" w:rsidRPr="004C61A1" w:rsidRDefault="00EF626A" w:rsidP="00EF626A">
      <w:pPr>
        <w:pStyle w:val="NormalWeb"/>
        <w:spacing w:before="0" w:beforeAutospacing="0" w:after="0" w:afterAutospacing="0"/>
        <w:jc w:val="both"/>
        <w:rPr>
          <w:sz w:val="22"/>
          <w:szCs w:val="22"/>
        </w:rPr>
      </w:pPr>
      <w:r w:rsidRPr="004C61A1">
        <w:rPr>
          <w:sz w:val="22"/>
          <w:szCs w:val="22"/>
        </w:rPr>
        <w:t> </w:t>
      </w:r>
    </w:p>
    <w:p w14:paraId="2D76C368" w14:textId="77777777" w:rsidR="00EF626A" w:rsidRPr="004C61A1" w:rsidRDefault="00EF626A" w:rsidP="00EF626A">
      <w:pPr>
        <w:pStyle w:val="NormalWeb"/>
        <w:spacing w:before="0" w:beforeAutospacing="0" w:after="0" w:afterAutospacing="0"/>
        <w:jc w:val="both"/>
        <w:rPr>
          <w:sz w:val="22"/>
          <w:szCs w:val="22"/>
          <w:shd w:val="clear" w:color="auto" w:fill="FFFFFF"/>
        </w:rPr>
      </w:pPr>
      <w:r w:rsidRPr="004C61A1">
        <w:rPr>
          <w:sz w:val="22"/>
          <w:szCs w:val="22"/>
          <w:shd w:val="clear" w:color="auto" w:fill="FFFFFF"/>
        </w:rPr>
        <w:t xml:space="preserve">This press release may contain forward-looking information within the meaning of Section 21E of the Securities Exchange Act of 1934, as amended, and Section 27A of the Securities Act of 1933, as amended. Any statements that are not historical facts contained in this press release are "forward-looking statements", which statements may be identified by words such as "expects," "plans," "projects," "will," "may," "anticipates," "believes," "should," "intends," "estimates," and other words of similar meaning. Such forward-looking statements are based on current expectations, involve known and unknown risks, a reliance </w:t>
      </w:r>
      <w:r w:rsidRPr="004C61A1">
        <w:rPr>
          <w:sz w:val="22"/>
          <w:szCs w:val="22"/>
          <w:shd w:val="clear" w:color="auto" w:fill="FFFFFF"/>
        </w:rPr>
        <w:lastRenderedPageBreak/>
        <w:t>on third parties for information, transactions that may be cancelled, and other factors that may cause our actual results, performance or achievements, or developments in our industry, to differ materially from the anticipated results, performance or achievements expressed or implied by such forward-looking statements. Factors that could cause actual results to differ materially from anticipated results include risks and uncertainties related to the fluctuation of global economic conditions or economic conditions with respect to the oil and gas industry, the COVID-19 pandemic, the performance of management, actions of government regulators, vendors, and suppliers, our cash flows and ability to obtain financing, competition, general economic conditions and other factors that are detailed in Camber’s filings with the Securities and Exchange Commission. We intend that all forward-looking statements be subject to the safe-harbor provisions.</w:t>
      </w:r>
    </w:p>
    <w:p w14:paraId="40332A39" w14:textId="77777777" w:rsidR="00EF626A" w:rsidRPr="004C61A1" w:rsidRDefault="00EF626A" w:rsidP="00EF626A">
      <w:pPr>
        <w:pStyle w:val="NormalWeb"/>
        <w:spacing w:before="0" w:beforeAutospacing="0" w:after="0" w:afterAutospacing="0"/>
        <w:jc w:val="both"/>
        <w:rPr>
          <w:sz w:val="22"/>
          <w:szCs w:val="22"/>
        </w:rPr>
      </w:pPr>
    </w:p>
    <w:p w14:paraId="05E7A474" w14:textId="77777777" w:rsidR="00EF626A" w:rsidRPr="004C61A1" w:rsidRDefault="00EF626A" w:rsidP="00EF626A">
      <w:pPr>
        <w:pStyle w:val="NormalWeb"/>
        <w:spacing w:before="0" w:beforeAutospacing="0" w:after="0" w:afterAutospacing="0"/>
        <w:rPr>
          <w:sz w:val="20"/>
          <w:szCs w:val="20"/>
        </w:rPr>
      </w:pPr>
      <w:r w:rsidRPr="004C61A1">
        <w:rPr>
          <w:rStyle w:val="Strong"/>
          <w:sz w:val="22"/>
          <w:szCs w:val="22"/>
          <w:u w:val="single"/>
          <w:bdr w:val="none" w:sz="0" w:space="0" w:color="auto" w:frame="1"/>
        </w:rPr>
        <w:t>Contact Information</w:t>
      </w:r>
      <w:r w:rsidRPr="004C61A1">
        <w:rPr>
          <w:sz w:val="22"/>
          <w:szCs w:val="22"/>
        </w:rPr>
        <w:br/>
        <w:t>Investors and Media:</w:t>
      </w:r>
      <w:r w:rsidRPr="004C61A1">
        <w:rPr>
          <w:sz w:val="22"/>
          <w:szCs w:val="22"/>
        </w:rPr>
        <w:br/>
        <w:t>Tel. 281.404.4387 (ext.3)</w:t>
      </w:r>
      <w:r w:rsidRPr="004C61A1">
        <w:rPr>
          <w:sz w:val="20"/>
          <w:szCs w:val="20"/>
        </w:rPr>
        <w:br/>
      </w:r>
    </w:p>
    <w:p w14:paraId="1D7A9CFF" w14:textId="407EEF0B" w:rsidR="00B84B2F" w:rsidRPr="00064196" w:rsidRDefault="00B84B2F" w:rsidP="00EF626A">
      <w:pPr>
        <w:pStyle w:val="NormalWeb"/>
        <w:shd w:val="clear" w:color="auto" w:fill="FFFFFF"/>
        <w:spacing w:before="0" w:beforeAutospacing="0" w:after="0" w:afterAutospacing="0"/>
        <w:jc w:val="both"/>
        <w:rPr>
          <w:sz w:val="22"/>
          <w:szCs w:val="22"/>
        </w:rPr>
      </w:pPr>
    </w:p>
    <w:sectPr w:rsidR="00B84B2F" w:rsidRPr="00064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984B" w14:textId="77777777" w:rsidR="0045243D" w:rsidRDefault="0045243D" w:rsidP="009117CE">
      <w:r>
        <w:separator/>
      </w:r>
    </w:p>
  </w:endnote>
  <w:endnote w:type="continuationSeparator" w:id="0">
    <w:p w14:paraId="53567FAE" w14:textId="77777777" w:rsidR="0045243D" w:rsidRDefault="0045243D" w:rsidP="0091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4AA7" w14:textId="77777777" w:rsidR="0045243D" w:rsidRDefault="0045243D" w:rsidP="009117CE">
      <w:r>
        <w:separator/>
      </w:r>
    </w:p>
  </w:footnote>
  <w:footnote w:type="continuationSeparator" w:id="0">
    <w:p w14:paraId="7CB11E07" w14:textId="77777777" w:rsidR="0045243D" w:rsidRDefault="0045243D" w:rsidP="0091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64C9"/>
    <w:multiLevelType w:val="hybridMultilevel"/>
    <w:tmpl w:val="8440309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6EC249BF"/>
    <w:multiLevelType w:val="hybridMultilevel"/>
    <w:tmpl w:val="AD6A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B47B48"/>
    <w:multiLevelType w:val="hybridMultilevel"/>
    <w:tmpl w:val="E564C7B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8B75F03"/>
    <w:multiLevelType w:val="multilevel"/>
    <w:tmpl w:val="66C28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e0MLEwMTE1NjM2MzRS0lEKTi0uzszPAykwrAUAmp1QSywAAAA="/>
  </w:docVars>
  <w:rsids>
    <w:rsidRoot w:val="00B84B2F"/>
    <w:rsid w:val="0000482B"/>
    <w:rsid w:val="00040D8B"/>
    <w:rsid w:val="00057442"/>
    <w:rsid w:val="00064196"/>
    <w:rsid w:val="00073F75"/>
    <w:rsid w:val="000839D0"/>
    <w:rsid w:val="0009467A"/>
    <w:rsid w:val="000A413A"/>
    <w:rsid w:val="000E2488"/>
    <w:rsid w:val="000F1F56"/>
    <w:rsid w:val="000F48D4"/>
    <w:rsid w:val="000F4F80"/>
    <w:rsid w:val="00120A40"/>
    <w:rsid w:val="001343C8"/>
    <w:rsid w:val="0015449D"/>
    <w:rsid w:val="00183947"/>
    <w:rsid w:val="001C1B0B"/>
    <w:rsid w:val="001F182E"/>
    <w:rsid w:val="001F649F"/>
    <w:rsid w:val="001F754C"/>
    <w:rsid w:val="00247B11"/>
    <w:rsid w:val="00284EAD"/>
    <w:rsid w:val="002A062E"/>
    <w:rsid w:val="002A1820"/>
    <w:rsid w:val="002A7E0D"/>
    <w:rsid w:val="002D02FD"/>
    <w:rsid w:val="002D0373"/>
    <w:rsid w:val="002E0FD7"/>
    <w:rsid w:val="002E25E2"/>
    <w:rsid w:val="002F4F4B"/>
    <w:rsid w:val="00321B96"/>
    <w:rsid w:val="003320C4"/>
    <w:rsid w:val="003367FE"/>
    <w:rsid w:val="0037702F"/>
    <w:rsid w:val="00384D4C"/>
    <w:rsid w:val="003A052C"/>
    <w:rsid w:val="003B4E9B"/>
    <w:rsid w:val="003D043F"/>
    <w:rsid w:val="003E3CEE"/>
    <w:rsid w:val="003E5ADA"/>
    <w:rsid w:val="003F4C8B"/>
    <w:rsid w:val="00400166"/>
    <w:rsid w:val="0040271A"/>
    <w:rsid w:val="00407DEC"/>
    <w:rsid w:val="00440574"/>
    <w:rsid w:val="0045243D"/>
    <w:rsid w:val="00466AC4"/>
    <w:rsid w:val="00491898"/>
    <w:rsid w:val="004A6A18"/>
    <w:rsid w:val="004A7B8D"/>
    <w:rsid w:val="004B5350"/>
    <w:rsid w:val="004C250B"/>
    <w:rsid w:val="004D7C88"/>
    <w:rsid w:val="004E4E78"/>
    <w:rsid w:val="00504D0E"/>
    <w:rsid w:val="00531268"/>
    <w:rsid w:val="00536019"/>
    <w:rsid w:val="00566545"/>
    <w:rsid w:val="005C013F"/>
    <w:rsid w:val="005D01AF"/>
    <w:rsid w:val="005D227A"/>
    <w:rsid w:val="005D2C65"/>
    <w:rsid w:val="005D63A6"/>
    <w:rsid w:val="00602623"/>
    <w:rsid w:val="006134B7"/>
    <w:rsid w:val="006325F8"/>
    <w:rsid w:val="00636596"/>
    <w:rsid w:val="00641BE6"/>
    <w:rsid w:val="00644931"/>
    <w:rsid w:val="00647F73"/>
    <w:rsid w:val="0066647E"/>
    <w:rsid w:val="006771F2"/>
    <w:rsid w:val="00685AE2"/>
    <w:rsid w:val="00692808"/>
    <w:rsid w:val="006A1881"/>
    <w:rsid w:val="006A6A0E"/>
    <w:rsid w:val="006E6616"/>
    <w:rsid w:val="006F2762"/>
    <w:rsid w:val="006F6F87"/>
    <w:rsid w:val="00711DDF"/>
    <w:rsid w:val="00725FC6"/>
    <w:rsid w:val="0072783D"/>
    <w:rsid w:val="007450C6"/>
    <w:rsid w:val="00764F8C"/>
    <w:rsid w:val="007A1AEA"/>
    <w:rsid w:val="007B688E"/>
    <w:rsid w:val="007C541F"/>
    <w:rsid w:val="007E3155"/>
    <w:rsid w:val="007E61D4"/>
    <w:rsid w:val="007F58B7"/>
    <w:rsid w:val="00801D40"/>
    <w:rsid w:val="00803F68"/>
    <w:rsid w:val="00824B22"/>
    <w:rsid w:val="00851175"/>
    <w:rsid w:val="00877152"/>
    <w:rsid w:val="00886FC1"/>
    <w:rsid w:val="0089426F"/>
    <w:rsid w:val="00897534"/>
    <w:rsid w:val="008A23B9"/>
    <w:rsid w:val="008B6E5A"/>
    <w:rsid w:val="008C4524"/>
    <w:rsid w:val="008E3F8A"/>
    <w:rsid w:val="008E612A"/>
    <w:rsid w:val="009117CE"/>
    <w:rsid w:val="009272F6"/>
    <w:rsid w:val="009326A6"/>
    <w:rsid w:val="009644B7"/>
    <w:rsid w:val="00966930"/>
    <w:rsid w:val="00981C15"/>
    <w:rsid w:val="0099045D"/>
    <w:rsid w:val="009D7813"/>
    <w:rsid w:val="009E2700"/>
    <w:rsid w:val="00A07194"/>
    <w:rsid w:val="00A07E99"/>
    <w:rsid w:val="00A145CC"/>
    <w:rsid w:val="00A15AE3"/>
    <w:rsid w:val="00A16694"/>
    <w:rsid w:val="00A366CC"/>
    <w:rsid w:val="00A369E4"/>
    <w:rsid w:val="00A73556"/>
    <w:rsid w:val="00A74A65"/>
    <w:rsid w:val="00AA435E"/>
    <w:rsid w:val="00AA7019"/>
    <w:rsid w:val="00AC2918"/>
    <w:rsid w:val="00AC30CA"/>
    <w:rsid w:val="00AD3990"/>
    <w:rsid w:val="00AE7E64"/>
    <w:rsid w:val="00AF6A75"/>
    <w:rsid w:val="00B15698"/>
    <w:rsid w:val="00B7506C"/>
    <w:rsid w:val="00B81037"/>
    <w:rsid w:val="00B84B2F"/>
    <w:rsid w:val="00B92626"/>
    <w:rsid w:val="00B966C6"/>
    <w:rsid w:val="00B9764C"/>
    <w:rsid w:val="00BB36AB"/>
    <w:rsid w:val="00BB76BB"/>
    <w:rsid w:val="00BD1A24"/>
    <w:rsid w:val="00BD3543"/>
    <w:rsid w:val="00BE7C22"/>
    <w:rsid w:val="00BF258A"/>
    <w:rsid w:val="00C031DD"/>
    <w:rsid w:val="00C14CAD"/>
    <w:rsid w:val="00C349A0"/>
    <w:rsid w:val="00C377D8"/>
    <w:rsid w:val="00C453E1"/>
    <w:rsid w:val="00C554CD"/>
    <w:rsid w:val="00C57986"/>
    <w:rsid w:val="00C86348"/>
    <w:rsid w:val="00C87BC3"/>
    <w:rsid w:val="00CC1A88"/>
    <w:rsid w:val="00CF0EDC"/>
    <w:rsid w:val="00D20504"/>
    <w:rsid w:val="00D22CC6"/>
    <w:rsid w:val="00D27A2E"/>
    <w:rsid w:val="00D30F9E"/>
    <w:rsid w:val="00D40107"/>
    <w:rsid w:val="00D76257"/>
    <w:rsid w:val="00DA07F5"/>
    <w:rsid w:val="00DA0E37"/>
    <w:rsid w:val="00DB28E8"/>
    <w:rsid w:val="00DD3717"/>
    <w:rsid w:val="00DE3ED7"/>
    <w:rsid w:val="00E03100"/>
    <w:rsid w:val="00E21782"/>
    <w:rsid w:val="00E24D15"/>
    <w:rsid w:val="00E25EB4"/>
    <w:rsid w:val="00E41A83"/>
    <w:rsid w:val="00E51600"/>
    <w:rsid w:val="00E56534"/>
    <w:rsid w:val="00E859B3"/>
    <w:rsid w:val="00EC357C"/>
    <w:rsid w:val="00ED7D94"/>
    <w:rsid w:val="00EE49EF"/>
    <w:rsid w:val="00EF626A"/>
    <w:rsid w:val="00F0254E"/>
    <w:rsid w:val="00F26AC9"/>
    <w:rsid w:val="00F50953"/>
    <w:rsid w:val="00F5358E"/>
    <w:rsid w:val="00F72791"/>
    <w:rsid w:val="00F83260"/>
    <w:rsid w:val="00F86C75"/>
    <w:rsid w:val="00F953F6"/>
    <w:rsid w:val="00FE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7B61"/>
  <w15:docId w15:val="{E094A3A6-2268-4DB3-AD6D-C2B012AC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2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4B2F"/>
    <w:rPr>
      <w:color w:val="0563C1" w:themeColor="hyperlink"/>
      <w:u w:val="single"/>
    </w:rPr>
  </w:style>
  <w:style w:type="paragraph" w:styleId="ListParagraph">
    <w:name w:val="List Paragraph"/>
    <w:basedOn w:val="Normal"/>
    <w:uiPriority w:val="34"/>
    <w:qFormat/>
    <w:rsid w:val="00B84B2F"/>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link w:val="NormalWebChar"/>
    <w:uiPriority w:val="99"/>
    <w:unhideWhenUsed/>
    <w:rsid w:val="00040D8B"/>
    <w:pPr>
      <w:spacing w:before="100" w:beforeAutospacing="1" w:after="100" w:afterAutospacing="1"/>
    </w:pPr>
    <w:rPr>
      <w:rFonts w:ascii="Times New Roman" w:eastAsia="Times New Roman" w:hAnsi="Times New Roman" w:cs="Times New Roman"/>
      <w:lang w:eastAsia="ja-JP"/>
    </w:rPr>
  </w:style>
  <w:style w:type="character" w:customStyle="1" w:styleId="NormalWebChar">
    <w:name w:val="Normal (Web) Char"/>
    <w:link w:val="NormalWeb"/>
    <w:uiPriority w:val="99"/>
    <w:locked/>
    <w:rsid w:val="00040D8B"/>
    <w:rPr>
      <w:rFonts w:ascii="Times New Roman" w:eastAsia="Times New Roman" w:hAnsi="Times New Roman" w:cs="Times New Roman"/>
      <w:sz w:val="24"/>
      <w:szCs w:val="24"/>
      <w:lang w:eastAsia="ja-JP"/>
    </w:rPr>
  </w:style>
  <w:style w:type="paragraph" w:styleId="Header">
    <w:name w:val="header"/>
    <w:basedOn w:val="Normal"/>
    <w:link w:val="HeaderChar"/>
    <w:uiPriority w:val="99"/>
    <w:unhideWhenUsed/>
    <w:rsid w:val="009117CE"/>
    <w:pPr>
      <w:tabs>
        <w:tab w:val="center" w:pos="4680"/>
        <w:tab w:val="right" w:pos="9360"/>
      </w:tabs>
    </w:pPr>
  </w:style>
  <w:style w:type="character" w:customStyle="1" w:styleId="HeaderChar">
    <w:name w:val="Header Char"/>
    <w:basedOn w:val="DefaultParagraphFont"/>
    <w:link w:val="Header"/>
    <w:uiPriority w:val="99"/>
    <w:rsid w:val="009117CE"/>
    <w:rPr>
      <w:sz w:val="24"/>
      <w:szCs w:val="24"/>
    </w:rPr>
  </w:style>
  <w:style w:type="paragraph" w:styleId="Footer">
    <w:name w:val="footer"/>
    <w:basedOn w:val="Normal"/>
    <w:link w:val="FooterChar"/>
    <w:uiPriority w:val="99"/>
    <w:unhideWhenUsed/>
    <w:rsid w:val="009117CE"/>
    <w:pPr>
      <w:tabs>
        <w:tab w:val="center" w:pos="4680"/>
        <w:tab w:val="right" w:pos="9360"/>
      </w:tabs>
    </w:pPr>
  </w:style>
  <w:style w:type="character" w:customStyle="1" w:styleId="FooterChar">
    <w:name w:val="Footer Char"/>
    <w:basedOn w:val="DefaultParagraphFont"/>
    <w:link w:val="Footer"/>
    <w:uiPriority w:val="99"/>
    <w:rsid w:val="009117CE"/>
    <w:rPr>
      <w:sz w:val="24"/>
      <w:szCs w:val="24"/>
    </w:rPr>
  </w:style>
  <w:style w:type="character" w:customStyle="1" w:styleId="xn-location">
    <w:name w:val="xn-location"/>
    <w:basedOn w:val="DefaultParagraphFont"/>
    <w:rsid w:val="00AF6A75"/>
  </w:style>
  <w:style w:type="paragraph" w:styleId="BalloonText">
    <w:name w:val="Balloon Text"/>
    <w:basedOn w:val="Normal"/>
    <w:link w:val="BalloonTextChar"/>
    <w:uiPriority w:val="99"/>
    <w:semiHidden/>
    <w:unhideWhenUsed/>
    <w:rsid w:val="00AF6A75"/>
    <w:rPr>
      <w:rFonts w:ascii="Tahoma" w:hAnsi="Tahoma" w:cs="Tahoma"/>
      <w:sz w:val="16"/>
      <w:szCs w:val="16"/>
    </w:rPr>
  </w:style>
  <w:style w:type="character" w:customStyle="1" w:styleId="BalloonTextChar">
    <w:name w:val="Balloon Text Char"/>
    <w:basedOn w:val="DefaultParagraphFont"/>
    <w:link w:val="BalloonText"/>
    <w:uiPriority w:val="99"/>
    <w:semiHidden/>
    <w:rsid w:val="00AF6A75"/>
    <w:rPr>
      <w:rFonts w:ascii="Tahoma" w:hAnsi="Tahoma" w:cs="Tahoma"/>
      <w:sz w:val="16"/>
      <w:szCs w:val="16"/>
    </w:rPr>
  </w:style>
  <w:style w:type="character" w:styleId="Strong">
    <w:name w:val="Strong"/>
    <w:basedOn w:val="DefaultParagraphFont"/>
    <w:uiPriority w:val="22"/>
    <w:qFormat/>
    <w:rsid w:val="003D043F"/>
    <w:rPr>
      <w:b/>
      <w:bCs/>
    </w:rPr>
  </w:style>
  <w:style w:type="character" w:styleId="CommentReference">
    <w:name w:val="annotation reference"/>
    <w:basedOn w:val="DefaultParagraphFont"/>
    <w:uiPriority w:val="99"/>
    <w:semiHidden/>
    <w:unhideWhenUsed/>
    <w:rsid w:val="00E41A83"/>
    <w:rPr>
      <w:sz w:val="16"/>
      <w:szCs w:val="16"/>
    </w:rPr>
  </w:style>
  <w:style w:type="paragraph" w:styleId="CommentText">
    <w:name w:val="annotation text"/>
    <w:basedOn w:val="Normal"/>
    <w:link w:val="CommentTextChar"/>
    <w:uiPriority w:val="99"/>
    <w:semiHidden/>
    <w:unhideWhenUsed/>
    <w:rsid w:val="00E41A83"/>
    <w:rPr>
      <w:sz w:val="20"/>
      <w:szCs w:val="20"/>
    </w:rPr>
  </w:style>
  <w:style w:type="character" w:customStyle="1" w:styleId="CommentTextChar">
    <w:name w:val="Comment Text Char"/>
    <w:basedOn w:val="DefaultParagraphFont"/>
    <w:link w:val="CommentText"/>
    <w:uiPriority w:val="99"/>
    <w:semiHidden/>
    <w:rsid w:val="00E41A83"/>
    <w:rPr>
      <w:sz w:val="20"/>
      <w:szCs w:val="20"/>
    </w:rPr>
  </w:style>
  <w:style w:type="paragraph" w:styleId="CommentSubject">
    <w:name w:val="annotation subject"/>
    <w:basedOn w:val="CommentText"/>
    <w:next w:val="CommentText"/>
    <w:link w:val="CommentSubjectChar"/>
    <w:uiPriority w:val="99"/>
    <w:semiHidden/>
    <w:unhideWhenUsed/>
    <w:rsid w:val="00E41A83"/>
    <w:rPr>
      <w:b/>
      <w:bCs/>
    </w:rPr>
  </w:style>
  <w:style w:type="character" w:customStyle="1" w:styleId="CommentSubjectChar">
    <w:name w:val="Comment Subject Char"/>
    <w:basedOn w:val="CommentTextChar"/>
    <w:link w:val="CommentSubject"/>
    <w:uiPriority w:val="99"/>
    <w:semiHidden/>
    <w:rsid w:val="00E41A83"/>
    <w:rPr>
      <w:b/>
      <w:bCs/>
      <w:sz w:val="20"/>
      <w:szCs w:val="20"/>
    </w:rPr>
  </w:style>
  <w:style w:type="paragraph" w:styleId="NoSpacing">
    <w:name w:val="No Spacing"/>
    <w:uiPriority w:val="1"/>
    <w:qFormat/>
    <w:rsid w:val="006E6616"/>
    <w:pPr>
      <w:spacing w:after="0" w:line="240" w:lineRule="auto"/>
    </w:pPr>
    <w:rPr>
      <w:lang w:val="en-CA"/>
    </w:rPr>
  </w:style>
  <w:style w:type="table" w:styleId="TableGrid">
    <w:name w:val="Table Grid"/>
    <w:basedOn w:val="TableNormal"/>
    <w:uiPriority w:val="59"/>
    <w:rsid w:val="006E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20260">
      <w:bodyDiv w:val="1"/>
      <w:marLeft w:val="0"/>
      <w:marRight w:val="0"/>
      <w:marTop w:val="0"/>
      <w:marBottom w:val="0"/>
      <w:divBdr>
        <w:top w:val="none" w:sz="0" w:space="0" w:color="auto"/>
        <w:left w:val="none" w:sz="0" w:space="0" w:color="auto"/>
        <w:bottom w:val="none" w:sz="0" w:space="0" w:color="auto"/>
        <w:right w:val="none" w:sz="0" w:space="0" w:color="auto"/>
      </w:divBdr>
    </w:div>
    <w:div w:id="18268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er.energy" TargetMode="External"/><Relationship Id="rId3" Type="http://schemas.openxmlformats.org/officeDocument/2006/relationships/settings" Target="settings.xml"/><Relationship Id="rId7" Type="http://schemas.openxmlformats.org/officeDocument/2006/relationships/hyperlink" Target="http://www.vikingenergygroup.co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mber.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davner</dc:creator>
  <cp:lastModifiedBy>James Doris</cp:lastModifiedBy>
  <cp:revision>8</cp:revision>
  <cp:lastPrinted>2019-11-11T22:35:00Z</cp:lastPrinted>
  <dcterms:created xsi:type="dcterms:W3CDTF">2021-05-24T21:33:00Z</dcterms:created>
  <dcterms:modified xsi:type="dcterms:W3CDTF">2021-05-24T22:01:00Z</dcterms:modified>
</cp:coreProperties>
</file>