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5C" w:rsidRDefault="00DB4F07">
      <w:pPr>
        <w:spacing w:after="120"/>
        <w:jc w:val="center"/>
        <w:rPr>
          <w:rFonts w:asciiTheme="minorHAnsi" w:hAnsiTheme="minorHAnsi" w:cstheme="minorHAnsi"/>
          <w:b/>
          <w:caps/>
          <w:sz w:val="28"/>
          <w:szCs w:val="28"/>
        </w:rPr>
      </w:pPr>
      <w:bookmarkStart w:id="0" w:name="DocsID"/>
      <w:bookmarkStart w:id="1" w:name="_GoBack"/>
      <w:bookmarkEnd w:id="0"/>
      <w:bookmarkEnd w:id="1"/>
      <w:r>
        <w:rPr>
          <w:rFonts w:asciiTheme="minorHAnsi" w:hAnsiTheme="minorHAnsi" w:cstheme="minorHAnsi"/>
          <w:b/>
          <w:caps/>
          <w:sz w:val="28"/>
          <w:szCs w:val="28"/>
        </w:rPr>
        <w:t xml:space="preserve">Update on PROXY SOLICITATION for </w:t>
      </w:r>
      <w:r w:rsidR="002230DE">
        <w:rPr>
          <w:rFonts w:asciiTheme="minorHAnsi" w:hAnsiTheme="minorHAnsi" w:cstheme="minorHAnsi"/>
          <w:b/>
          <w:caps/>
          <w:sz w:val="28"/>
          <w:szCs w:val="28"/>
        </w:rPr>
        <w:t>SPECIAL MEETING</w:t>
      </w:r>
      <w:r>
        <w:rPr>
          <w:rFonts w:asciiTheme="minorHAnsi" w:hAnsiTheme="minorHAnsi" w:cstheme="minorHAnsi"/>
          <w:b/>
          <w:caps/>
          <w:sz w:val="28"/>
          <w:szCs w:val="28"/>
        </w:rPr>
        <w:t xml:space="preserve"> OF STOCKHOLDERS FOR METAMATERIAL TRANSACTION</w:t>
      </w:r>
    </w:p>
    <w:p w:rsidR="00EC525C" w:rsidRDefault="00EC525C">
      <w:pPr>
        <w:jc w:val="center"/>
        <w:rPr>
          <w:rFonts w:asciiTheme="minorHAnsi" w:hAnsiTheme="minorHAnsi" w:cstheme="minorHAnsi"/>
          <w:sz w:val="22"/>
          <w:szCs w:val="22"/>
        </w:rPr>
      </w:pPr>
    </w:p>
    <w:p w:rsidR="00EC525C" w:rsidRDefault="00DB4F07">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PLANO, TX May 25, 2021 – Torchlight Energy Resources, Inc. (NASDAQ: TRCH), an oil and gas</w:t>
      </w:r>
      <w:r>
        <w:rPr>
          <w:rFonts w:asciiTheme="minorHAnsi" w:eastAsia="Calibri" w:hAnsiTheme="minorHAnsi" w:cstheme="minorHAnsi"/>
          <w:sz w:val="22"/>
          <w:szCs w:val="22"/>
          <w:lang w:eastAsia="en-US"/>
        </w:rPr>
        <w:t xml:space="preserve"> exploration company ("Torchlight"), today announced that stockholders representing 46% of the Torchlight shares eligible to vote at the special meeting to be held on June 11, 2021 in connection with the previously announced business combination transactio</w:t>
      </w:r>
      <w:r>
        <w:rPr>
          <w:rFonts w:asciiTheme="minorHAnsi" w:eastAsia="Calibri" w:hAnsiTheme="minorHAnsi" w:cstheme="minorHAnsi"/>
          <w:sz w:val="22"/>
          <w:szCs w:val="22"/>
          <w:lang w:eastAsia="en-US"/>
        </w:rPr>
        <w:t xml:space="preserve">n with Metamaterial (the “Arrangement”), Inc. have already voted their shares.  The record date for the special meeting was May 5, 2021 (the “Record Date”), and only stockholders of record as of the Record Date are entitled to vote at the special meeting. </w:t>
      </w:r>
      <w:r>
        <w:rPr>
          <w:rFonts w:asciiTheme="minorHAnsi" w:eastAsia="Calibri" w:hAnsiTheme="minorHAnsi" w:cstheme="minorHAnsi"/>
          <w:sz w:val="22"/>
          <w:szCs w:val="22"/>
          <w:lang w:eastAsia="en-US"/>
        </w:rPr>
        <w:t xml:space="preserve"> This announcement is a reminder that stockholders of record as of the Record Date who have received a control number can vote their shares online at www.proxyvote.com.  Eligible stockholders can also vote by mail or by phone.  Torchlight stockholders who </w:t>
      </w:r>
      <w:r>
        <w:rPr>
          <w:rFonts w:asciiTheme="minorHAnsi" w:eastAsia="Calibri" w:hAnsiTheme="minorHAnsi" w:cstheme="minorHAnsi"/>
          <w:sz w:val="22"/>
          <w:szCs w:val="22"/>
          <w:lang w:eastAsia="en-US"/>
        </w:rPr>
        <w:t xml:space="preserve">hold their shares through a broker and have not received an email or other communication from their broker with information on how to vote their </w:t>
      </w:r>
      <w:r w:rsidR="002230DE">
        <w:rPr>
          <w:rFonts w:asciiTheme="minorHAnsi" w:eastAsia="Calibri" w:hAnsiTheme="minorHAnsi" w:cstheme="minorHAnsi"/>
          <w:sz w:val="22"/>
          <w:szCs w:val="22"/>
          <w:lang w:eastAsia="en-US"/>
        </w:rPr>
        <w:t>shares may</w:t>
      </w:r>
      <w:r>
        <w:rPr>
          <w:rFonts w:asciiTheme="minorHAnsi" w:eastAsia="Calibri" w:hAnsiTheme="minorHAnsi" w:cstheme="minorHAnsi"/>
          <w:sz w:val="22"/>
          <w:szCs w:val="22"/>
          <w:lang w:eastAsia="en-US"/>
        </w:rPr>
        <w:t xml:space="preserve"> contact their brokerage for that information.</w:t>
      </w:r>
    </w:p>
    <w:p w:rsidR="00EC525C" w:rsidRDefault="00EC525C">
      <w:pPr>
        <w:jc w:val="both"/>
        <w:rPr>
          <w:rFonts w:asciiTheme="minorHAnsi" w:eastAsia="Calibri" w:hAnsiTheme="minorHAnsi" w:cstheme="minorHAnsi"/>
          <w:sz w:val="22"/>
          <w:szCs w:val="22"/>
          <w:lang w:eastAsia="en-US"/>
        </w:rPr>
      </w:pPr>
    </w:p>
    <w:p w:rsidR="00EC525C" w:rsidRDefault="00DB4F07">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Any questions on voting shares should be directed to</w:t>
      </w:r>
      <w:r>
        <w:rPr>
          <w:rFonts w:asciiTheme="minorHAnsi" w:eastAsia="Calibri" w:hAnsiTheme="minorHAnsi" w:cstheme="minorHAnsi"/>
          <w:sz w:val="22"/>
          <w:szCs w:val="22"/>
          <w:lang w:eastAsia="en-US"/>
        </w:rPr>
        <w:t xml:space="preserve"> Torchlight' s proxy solicitation agent, D.F. King &amp; Co., Inc., by telephone at 1 (800) 714 -3305 (toll-free in North America) or 1 (212) 269- 5550 (collect call outside North America), or by email at </w:t>
      </w:r>
      <w:hyperlink r:id="rId7" w:history="1">
        <w:r>
          <w:rPr>
            <w:rStyle w:val="Hyperlink"/>
            <w:rFonts w:asciiTheme="minorHAnsi" w:eastAsia="Calibri" w:hAnsiTheme="minorHAnsi" w:cstheme="minorHAnsi"/>
            <w:sz w:val="22"/>
            <w:szCs w:val="22"/>
            <w:lang w:eastAsia="en-US"/>
          </w:rPr>
          <w:t>TRCH@dfking.com</w:t>
        </w:r>
      </w:hyperlink>
      <w:r>
        <w:rPr>
          <w:rFonts w:asciiTheme="minorHAnsi" w:eastAsia="Calibri" w:hAnsiTheme="minorHAnsi" w:cstheme="minorHAnsi"/>
          <w:sz w:val="22"/>
          <w:szCs w:val="22"/>
          <w:lang w:eastAsia="en-US"/>
        </w:rPr>
        <w:t>.</w:t>
      </w:r>
    </w:p>
    <w:p w:rsidR="00EC525C" w:rsidRDefault="00EC525C">
      <w:pPr>
        <w:jc w:val="both"/>
        <w:rPr>
          <w:rFonts w:asciiTheme="minorHAnsi" w:eastAsia="Calibri" w:hAnsiTheme="minorHAnsi" w:cstheme="minorHAnsi"/>
          <w:sz w:val="22"/>
          <w:szCs w:val="22"/>
          <w:lang w:eastAsia="en-US"/>
        </w:rPr>
      </w:pPr>
    </w:p>
    <w:p w:rsidR="00EC525C" w:rsidRDefault="00DB4F07">
      <w:pPr>
        <w:jc w:val="center"/>
        <w:rPr>
          <w:rFonts w:asciiTheme="minorHAnsi" w:hAnsiTheme="minorHAnsi" w:cstheme="minorHAnsi"/>
          <w:bCs/>
          <w:sz w:val="22"/>
          <w:szCs w:val="22"/>
        </w:rPr>
      </w:pPr>
      <w:r>
        <w:rPr>
          <w:rFonts w:asciiTheme="minorHAnsi" w:hAnsiTheme="minorHAnsi" w:cstheme="minorHAnsi"/>
          <w:bCs/>
          <w:sz w:val="22"/>
          <w:szCs w:val="22"/>
        </w:rPr>
        <w:t>####</w:t>
      </w:r>
    </w:p>
    <w:p w:rsidR="00EC525C" w:rsidRDefault="00EC525C">
      <w:pPr>
        <w:jc w:val="both"/>
        <w:rPr>
          <w:rFonts w:asciiTheme="minorHAnsi" w:hAnsiTheme="minorHAnsi" w:cstheme="minorHAnsi"/>
          <w:b/>
          <w:sz w:val="22"/>
          <w:szCs w:val="22"/>
        </w:rPr>
      </w:pP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About Torchlight Energy Resources, Inc.</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Torchlight Energy Resources, Inc. (TRCH), based in Plano, Texas, is a high growth oil and gas Exploration and Production (E&amp;P) company with a primary objective of acquisition and development of domestic oil f</w:t>
      </w:r>
      <w:r>
        <w:rPr>
          <w:rFonts w:ascii="Arial" w:hAnsi="Arial" w:cs="Arial"/>
          <w:color w:val="333333"/>
          <w:sz w:val="21"/>
          <w:szCs w:val="21"/>
        </w:rPr>
        <w:t>ields. Torchlight has assets focused in West and Central Texas where their targets are established plays such as the Permian Basin. For additional information on Torchlight, please visit </w:t>
      </w:r>
      <w:r>
        <w:rPr>
          <w:rFonts w:ascii="Arial" w:hAnsi="Arial" w:cs="Arial"/>
          <w:color w:val="D52424"/>
          <w:sz w:val="21"/>
          <w:szCs w:val="21"/>
          <w:u w:val="single"/>
        </w:rPr>
        <w:t>www.torchlightenergy.com</w:t>
      </w:r>
      <w:r>
        <w:rPr>
          <w:rFonts w:ascii="Arial" w:hAnsi="Arial" w:cs="Arial"/>
          <w:color w:val="333333"/>
          <w:sz w:val="21"/>
          <w:szCs w:val="21"/>
        </w:rPr>
        <w:t>.</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Forward-Looking Statement</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This press release contains forward-looking statements within the meaning of Section 27A of the Securities Act of 1933, as amended, and Section 21E of the Securities Exchange Act of 1934, as amended, which are intended to be covered by the "safe harbor" cr</w:t>
      </w:r>
      <w:r>
        <w:rPr>
          <w:rFonts w:ascii="Arial" w:hAnsi="Arial" w:cs="Arial"/>
          <w:color w:val="333333"/>
          <w:sz w:val="21"/>
          <w:szCs w:val="21"/>
        </w:rPr>
        <w:t>eated by those sections. All statements in this release that are not based on historical fact are "forward looking statements." These statements may be identified by words such as "estimates," "anticipates," "projects," "plans," "strategy," "goal," or "pla</w:t>
      </w:r>
      <w:r>
        <w:rPr>
          <w:rFonts w:ascii="Arial" w:hAnsi="Arial" w:cs="Arial"/>
          <w:color w:val="333333"/>
          <w:sz w:val="21"/>
          <w:szCs w:val="21"/>
        </w:rPr>
        <w:t>nned," "seeks," "may," "might", "will," "expects," "intends," "believes," "should," and similar expressions, or the negative versions thereof, and which also may be identified by their context. All statements that address operating performance or events or</w:t>
      </w:r>
      <w:r>
        <w:rPr>
          <w:rFonts w:ascii="Arial" w:hAnsi="Arial" w:cs="Arial"/>
          <w:color w:val="333333"/>
          <w:sz w:val="21"/>
          <w:szCs w:val="21"/>
        </w:rPr>
        <w:t xml:space="preserve"> developments Torchlight expects or anticipates will occur in the future, such as stated objectives or goals, our refinement of strategy, our attempts to secure additional financing, our exploring possible business alternatives, or that are not otherwise h</w:t>
      </w:r>
      <w:r>
        <w:rPr>
          <w:rFonts w:ascii="Arial" w:hAnsi="Arial" w:cs="Arial"/>
          <w:color w:val="333333"/>
          <w:sz w:val="21"/>
          <w:szCs w:val="21"/>
        </w:rPr>
        <w:t>istorical facts, are forward-looking statements. While management has based any forward-looking statements included in this release on its current expectations, the information on which such expectations were based may change. Forward-looking statements in</w:t>
      </w:r>
      <w:r>
        <w:rPr>
          <w:rFonts w:ascii="Arial" w:hAnsi="Arial" w:cs="Arial"/>
          <w:color w:val="333333"/>
          <w:sz w:val="21"/>
          <w:szCs w:val="21"/>
        </w:rPr>
        <w:t>volve inherent risks and uncertainties which could cause actual results to differ materially from those in the forward-looking statements as a result of various factors, including those risks and uncertainties described in or implied by the Risk Factors an</w:t>
      </w:r>
      <w:r>
        <w:rPr>
          <w:rFonts w:ascii="Arial" w:hAnsi="Arial" w:cs="Arial"/>
          <w:color w:val="333333"/>
          <w:sz w:val="21"/>
          <w:szCs w:val="21"/>
        </w:rPr>
        <w:t xml:space="preserve">d in Management's Discussion and Analysis of Financial Condition and Results of Operations sections of our 2020 Annual Report </w:t>
      </w:r>
      <w:r>
        <w:rPr>
          <w:rFonts w:ascii="Arial" w:hAnsi="Arial" w:cs="Arial"/>
          <w:color w:val="333333"/>
          <w:sz w:val="21"/>
          <w:szCs w:val="21"/>
        </w:rPr>
        <w:lastRenderedPageBreak/>
        <w:t>on Form 10-K, filed on March 18, 2021 and our other reports filed from time to time with the Securities and Exchange Commission ("</w:t>
      </w:r>
      <w:r>
        <w:rPr>
          <w:rFonts w:ascii="Arial" w:hAnsi="Arial" w:cs="Arial"/>
          <w:color w:val="333333"/>
          <w:sz w:val="21"/>
          <w:szCs w:val="21"/>
        </w:rPr>
        <w:t>SEC"). We urge you to consider those risks and uncertainties in evaluating our forward-looking statements. We caution readers not to place undue reliance upon any such forward-looking statements, which speak only as of the date made. Except as otherwise re</w:t>
      </w:r>
      <w:r>
        <w:rPr>
          <w:rFonts w:ascii="Arial" w:hAnsi="Arial" w:cs="Arial"/>
          <w:color w:val="333333"/>
          <w:sz w:val="21"/>
          <w:szCs w:val="21"/>
        </w:rPr>
        <w:t>quired by the federal securities laws, we disclaim any obligation or undertaking to publicly release any updates or revisions to any forward-looking statement contained herein (or elsewhere) to reflect any change in our expectations with regard thereto, or</w:t>
      </w:r>
      <w:r>
        <w:rPr>
          <w:rFonts w:ascii="Arial" w:hAnsi="Arial" w:cs="Arial"/>
          <w:color w:val="333333"/>
          <w:sz w:val="21"/>
          <w:szCs w:val="21"/>
        </w:rPr>
        <w:t xml:space="preserve"> any change in events, conditions, or circumstances on which any such statement is based.</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Additional Information and Where to Find It</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Torchlight has prepared and filed with the SEC a definitive proxy statement for Torchlight's stockholders regarding the pr</w:t>
      </w:r>
      <w:r>
        <w:rPr>
          <w:rFonts w:ascii="Arial" w:hAnsi="Arial" w:cs="Arial"/>
          <w:color w:val="333333"/>
          <w:sz w:val="21"/>
          <w:szCs w:val="21"/>
        </w:rPr>
        <w:t>oposed Arrangement. The proxy statement has also been mailed to Torchlight's stockholders of record as of the Record Date. Torchlight urges investors, stockholders and other interested persons to read the proxy statement, as well as other documents filed w</w:t>
      </w:r>
      <w:r>
        <w:rPr>
          <w:rFonts w:ascii="Arial" w:hAnsi="Arial" w:cs="Arial"/>
          <w:color w:val="333333"/>
          <w:sz w:val="21"/>
          <w:szCs w:val="21"/>
        </w:rPr>
        <w:t>ith the SEC, because these documents will contain important information about the Arrangement. Such persons can also read Torchlight's Annual Report on Form 10-K for the fiscal year ended December 31, 2020, for a description of the security holdings of its</w:t>
      </w:r>
      <w:r>
        <w:rPr>
          <w:rFonts w:ascii="Arial" w:hAnsi="Arial" w:cs="Arial"/>
          <w:color w:val="333333"/>
          <w:sz w:val="21"/>
          <w:szCs w:val="21"/>
        </w:rPr>
        <w:t xml:space="preserve"> officers and directors and their respective interests as security holders in the consummation of the transactions contemplated in connection with the Arrangement. Torchlight's stockholders can also obtain a copy of such documents, without charge, by direc</w:t>
      </w:r>
      <w:r>
        <w:rPr>
          <w:rFonts w:ascii="Arial" w:hAnsi="Arial" w:cs="Arial"/>
          <w:color w:val="333333"/>
          <w:sz w:val="21"/>
          <w:szCs w:val="21"/>
        </w:rPr>
        <w:t>ting a request to: John A. Brda, President of Torchlight Energy Resources, Inc., 5700 W. Plano Parkway, Suite 3600, Plano, Texas 75093; e-mail: </w:t>
      </w:r>
      <w:r>
        <w:rPr>
          <w:rFonts w:ascii="Arial" w:hAnsi="Arial" w:cs="Arial"/>
          <w:color w:val="D52424"/>
          <w:sz w:val="21"/>
          <w:szCs w:val="21"/>
          <w:u w:val="single"/>
        </w:rPr>
        <w:t>john@torchlightenergy.com</w:t>
      </w:r>
      <w:r>
        <w:rPr>
          <w:rFonts w:ascii="Arial" w:hAnsi="Arial" w:cs="Arial"/>
          <w:color w:val="333333"/>
          <w:sz w:val="21"/>
          <w:szCs w:val="21"/>
        </w:rPr>
        <w:t>. These documents can also be obtained, without charge, at the SEC's web site (</w:t>
      </w:r>
      <w:r>
        <w:rPr>
          <w:rFonts w:ascii="Arial" w:hAnsi="Arial" w:cs="Arial"/>
          <w:color w:val="D52424"/>
          <w:sz w:val="21"/>
          <w:szCs w:val="21"/>
          <w:u w:val="single"/>
        </w:rPr>
        <w:t>http://w</w:t>
      </w:r>
      <w:r>
        <w:rPr>
          <w:rFonts w:ascii="Arial" w:hAnsi="Arial" w:cs="Arial"/>
          <w:color w:val="D52424"/>
          <w:sz w:val="21"/>
          <w:szCs w:val="21"/>
          <w:u w:val="single"/>
        </w:rPr>
        <w:t>ww.sec.gov</w:t>
      </w:r>
      <w:r>
        <w:rPr>
          <w:rFonts w:ascii="Arial" w:hAnsi="Arial" w:cs="Arial"/>
          <w:color w:val="333333"/>
          <w:sz w:val="21"/>
          <w:szCs w:val="21"/>
        </w:rPr>
        <w:t>).</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Participants in Solicitation</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Torchlight and its directors, executive officers and other members of their management and employees, under SEC rules, may be deemed to be participants in the solicitation of proxies of Torchlight stockholders in c</w:t>
      </w:r>
      <w:r>
        <w:rPr>
          <w:rFonts w:ascii="Arial" w:hAnsi="Arial" w:cs="Arial"/>
          <w:color w:val="333333"/>
          <w:sz w:val="21"/>
          <w:szCs w:val="21"/>
        </w:rPr>
        <w:t>onnection with the Arrangement. Investors and security holders may obtain more detailed information regarding the names, affiliations and interests of Torchlight's directors in its Annual Report on Form 10-K for the fiscal year ended December 31, 2020, whi</w:t>
      </w:r>
      <w:r>
        <w:rPr>
          <w:rFonts w:ascii="Arial" w:hAnsi="Arial" w:cs="Arial"/>
          <w:color w:val="333333"/>
          <w:sz w:val="21"/>
          <w:szCs w:val="21"/>
        </w:rPr>
        <w:t>ch was filed with the SEC on March 18, 2021. Information regarding the persons who may, under SEC rules, be deemed participants in the solicitation of proxies to Torchlight's stockholders in connection with the Arrangement is also set forth in the proxy st</w:t>
      </w:r>
      <w:r>
        <w:rPr>
          <w:rFonts w:ascii="Arial" w:hAnsi="Arial" w:cs="Arial"/>
          <w:color w:val="333333"/>
          <w:sz w:val="21"/>
          <w:szCs w:val="21"/>
        </w:rPr>
        <w:t>atement for the Arrangement. Information concerning the interests of Torchlight's participants in the solicitation, which may, in some cases, be different than those of Torchlight's equity holders generally, is also set forth in the proxy statement relatin</w:t>
      </w:r>
      <w:r>
        <w:rPr>
          <w:rFonts w:ascii="Arial" w:hAnsi="Arial" w:cs="Arial"/>
          <w:color w:val="333333"/>
          <w:sz w:val="21"/>
          <w:szCs w:val="21"/>
        </w:rPr>
        <w:t>g to the Arrangement.</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Contact</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Derek Gradwell</w:t>
      </w:r>
      <w:r>
        <w:rPr>
          <w:rFonts w:ascii="Arial" w:hAnsi="Arial" w:cs="Arial"/>
          <w:color w:val="333333"/>
          <w:sz w:val="21"/>
          <w:szCs w:val="21"/>
        </w:rPr>
        <w:br/>
        <w:t>Phone: 512-270-6990</w:t>
      </w:r>
      <w:r>
        <w:rPr>
          <w:rFonts w:ascii="Arial" w:hAnsi="Arial" w:cs="Arial"/>
          <w:color w:val="333333"/>
          <w:sz w:val="21"/>
          <w:szCs w:val="21"/>
        </w:rPr>
        <w:br/>
      </w:r>
      <w:r>
        <w:rPr>
          <w:rFonts w:ascii="Arial" w:hAnsi="Arial" w:cs="Arial"/>
          <w:color w:val="D52424"/>
          <w:sz w:val="21"/>
          <w:szCs w:val="21"/>
          <w:u w:val="single"/>
        </w:rPr>
        <w:t>dgradwell@integcom.us</w:t>
      </w:r>
      <w:r>
        <w:rPr>
          <w:rFonts w:ascii="Arial" w:hAnsi="Arial" w:cs="Arial"/>
          <w:color w:val="333333"/>
          <w:sz w:val="21"/>
          <w:szCs w:val="21"/>
        </w:rPr>
        <w:br/>
      </w:r>
      <w:r>
        <w:rPr>
          <w:rFonts w:ascii="Arial" w:hAnsi="Arial" w:cs="Arial"/>
          <w:color w:val="D52424"/>
          <w:sz w:val="21"/>
          <w:szCs w:val="21"/>
          <w:u w:val="single"/>
        </w:rPr>
        <w:t>ir@torchlightenergy.com</w:t>
      </w:r>
    </w:p>
    <w:p w:rsidR="00EC525C" w:rsidRDefault="00DB4F07">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SOURCE: </w:t>
      </w:r>
      <w:r>
        <w:rPr>
          <w:rFonts w:ascii="Arial" w:hAnsi="Arial" w:cs="Arial"/>
          <w:color w:val="333333"/>
          <w:sz w:val="21"/>
          <w:szCs w:val="21"/>
        </w:rPr>
        <w:t>Torchlight Energy Resources, Inc.</w:t>
      </w:r>
    </w:p>
    <w:p w:rsidR="00EC525C" w:rsidRDefault="00EC525C">
      <w:pPr>
        <w:jc w:val="both"/>
        <w:rPr>
          <w:rFonts w:asciiTheme="minorHAnsi" w:hAnsiTheme="minorHAnsi" w:cstheme="minorHAnsi"/>
          <w:sz w:val="22"/>
          <w:szCs w:val="22"/>
        </w:rPr>
      </w:pPr>
    </w:p>
    <w:sectPr w:rsidR="00EC525C">
      <w:headerReference w:type="default" r:id="rId8"/>
      <w:headerReference w:type="first" r:id="rId9"/>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F07" w:rsidRDefault="00DB4F07">
      <w:r>
        <w:separator/>
      </w:r>
    </w:p>
  </w:endnote>
  <w:endnote w:type="continuationSeparator" w:id="0">
    <w:p w:rsidR="00DB4F07" w:rsidRDefault="00DB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F07" w:rsidRDefault="00DB4F07">
      <w:r>
        <w:separator/>
      </w:r>
    </w:p>
  </w:footnote>
  <w:footnote w:type="continuationSeparator" w:id="0">
    <w:p w:rsidR="00DB4F07" w:rsidRDefault="00DB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25C" w:rsidRDefault="00DB4F07">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25C" w:rsidRDefault="00DB4F0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EF"/>
    <w:multiLevelType w:val="hybridMultilevel"/>
    <w:tmpl w:val="8FE84170"/>
    <w:lvl w:ilvl="0" w:tplc="F95E362C">
      <w:start w:val="1"/>
      <w:numFmt w:val="bullet"/>
      <w:lvlText w:val="•"/>
      <w:lvlJc w:val="left"/>
      <w:pPr>
        <w:tabs>
          <w:tab w:val="num" w:pos="720"/>
        </w:tabs>
        <w:ind w:left="720" w:hanging="360"/>
      </w:pPr>
      <w:rPr>
        <w:rFonts w:ascii="Arial" w:hAnsi="Arial" w:hint="default"/>
      </w:rPr>
    </w:lvl>
    <w:lvl w:ilvl="1" w:tplc="9CDADB8E">
      <w:start w:val="1"/>
      <w:numFmt w:val="bullet"/>
      <w:lvlText w:val="•"/>
      <w:lvlJc w:val="left"/>
      <w:pPr>
        <w:tabs>
          <w:tab w:val="num" w:pos="1440"/>
        </w:tabs>
        <w:ind w:left="1440" w:hanging="360"/>
      </w:pPr>
      <w:rPr>
        <w:rFonts w:ascii="Arial" w:hAnsi="Arial" w:hint="default"/>
      </w:rPr>
    </w:lvl>
    <w:lvl w:ilvl="2" w:tplc="7B20E710" w:tentative="1">
      <w:start w:val="1"/>
      <w:numFmt w:val="bullet"/>
      <w:lvlText w:val="•"/>
      <w:lvlJc w:val="left"/>
      <w:pPr>
        <w:tabs>
          <w:tab w:val="num" w:pos="2160"/>
        </w:tabs>
        <w:ind w:left="2160" w:hanging="360"/>
      </w:pPr>
      <w:rPr>
        <w:rFonts w:ascii="Arial" w:hAnsi="Arial" w:hint="default"/>
      </w:rPr>
    </w:lvl>
    <w:lvl w:ilvl="3" w:tplc="0AF01026" w:tentative="1">
      <w:start w:val="1"/>
      <w:numFmt w:val="bullet"/>
      <w:lvlText w:val="•"/>
      <w:lvlJc w:val="left"/>
      <w:pPr>
        <w:tabs>
          <w:tab w:val="num" w:pos="2880"/>
        </w:tabs>
        <w:ind w:left="2880" w:hanging="360"/>
      </w:pPr>
      <w:rPr>
        <w:rFonts w:ascii="Arial" w:hAnsi="Arial" w:hint="default"/>
      </w:rPr>
    </w:lvl>
    <w:lvl w:ilvl="4" w:tplc="EC6A3216" w:tentative="1">
      <w:start w:val="1"/>
      <w:numFmt w:val="bullet"/>
      <w:lvlText w:val="•"/>
      <w:lvlJc w:val="left"/>
      <w:pPr>
        <w:tabs>
          <w:tab w:val="num" w:pos="3600"/>
        </w:tabs>
        <w:ind w:left="3600" w:hanging="360"/>
      </w:pPr>
      <w:rPr>
        <w:rFonts w:ascii="Arial" w:hAnsi="Arial" w:hint="default"/>
      </w:rPr>
    </w:lvl>
    <w:lvl w:ilvl="5" w:tplc="E35CF02E" w:tentative="1">
      <w:start w:val="1"/>
      <w:numFmt w:val="bullet"/>
      <w:lvlText w:val="•"/>
      <w:lvlJc w:val="left"/>
      <w:pPr>
        <w:tabs>
          <w:tab w:val="num" w:pos="4320"/>
        </w:tabs>
        <w:ind w:left="4320" w:hanging="360"/>
      </w:pPr>
      <w:rPr>
        <w:rFonts w:ascii="Arial" w:hAnsi="Arial" w:hint="default"/>
      </w:rPr>
    </w:lvl>
    <w:lvl w:ilvl="6" w:tplc="B8EA5D66" w:tentative="1">
      <w:start w:val="1"/>
      <w:numFmt w:val="bullet"/>
      <w:lvlText w:val="•"/>
      <w:lvlJc w:val="left"/>
      <w:pPr>
        <w:tabs>
          <w:tab w:val="num" w:pos="5040"/>
        </w:tabs>
        <w:ind w:left="5040" w:hanging="360"/>
      </w:pPr>
      <w:rPr>
        <w:rFonts w:ascii="Arial" w:hAnsi="Arial" w:hint="default"/>
      </w:rPr>
    </w:lvl>
    <w:lvl w:ilvl="7" w:tplc="8272F40C" w:tentative="1">
      <w:start w:val="1"/>
      <w:numFmt w:val="bullet"/>
      <w:lvlText w:val="•"/>
      <w:lvlJc w:val="left"/>
      <w:pPr>
        <w:tabs>
          <w:tab w:val="num" w:pos="5760"/>
        </w:tabs>
        <w:ind w:left="5760" w:hanging="360"/>
      </w:pPr>
      <w:rPr>
        <w:rFonts w:ascii="Arial" w:hAnsi="Arial" w:hint="default"/>
      </w:rPr>
    </w:lvl>
    <w:lvl w:ilvl="8" w:tplc="213A1B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BC6504"/>
    <w:multiLevelType w:val="hybridMultilevel"/>
    <w:tmpl w:val="790A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5DDA"/>
    <w:multiLevelType w:val="hybridMultilevel"/>
    <w:tmpl w:val="9A50958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6A42247A"/>
    <w:multiLevelType w:val="hybridMultilevel"/>
    <w:tmpl w:val="21867C8E"/>
    <w:lvl w:ilvl="0" w:tplc="F95E362C">
      <w:start w:val="1"/>
      <w:numFmt w:val="bullet"/>
      <w:lvlText w:val="•"/>
      <w:lvlJc w:val="left"/>
      <w:pPr>
        <w:tabs>
          <w:tab w:val="num" w:pos="720"/>
        </w:tabs>
        <w:ind w:left="720" w:hanging="360"/>
      </w:pPr>
      <w:rPr>
        <w:rFonts w:ascii="Arial" w:hAnsi="Arial" w:hint="default"/>
      </w:rPr>
    </w:lvl>
    <w:lvl w:ilvl="1" w:tplc="DC22896E">
      <w:start w:val="1"/>
      <w:numFmt w:val="bullet"/>
      <w:lvlText w:val="•"/>
      <w:lvlJc w:val="left"/>
      <w:pPr>
        <w:tabs>
          <w:tab w:val="num" w:pos="1440"/>
        </w:tabs>
        <w:ind w:left="1080" w:hanging="360"/>
      </w:pPr>
      <w:rPr>
        <w:rFonts w:ascii="Arial" w:hAnsi="Arial" w:hint="default"/>
      </w:rPr>
    </w:lvl>
    <w:lvl w:ilvl="2" w:tplc="7B20E710" w:tentative="1">
      <w:start w:val="1"/>
      <w:numFmt w:val="bullet"/>
      <w:lvlText w:val="•"/>
      <w:lvlJc w:val="left"/>
      <w:pPr>
        <w:tabs>
          <w:tab w:val="num" w:pos="2160"/>
        </w:tabs>
        <w:ind w:left="2160" w:hanging="360"/>
      </w:pPr>
      <w:rPr>
        <w:rFonts w:ascii="Arial" w:hAnsi="Arial" w:hint="default"/>
      </w:rPr>
    </w:lvl>
    <w:lvl w:ilvl="3" w:tplc="0AF01026" w:tentative="1">
      <w:start w:val="1"/>
      <w:numFmt w:val="bullet"/>
      <w:lvlText w:val="•"/>
      <w:lvlJc w:val="left"/>
      <w:pPr>
        <w:tabs>
          <w:tab w:val="num" w:pos="2880"/>
        </w:tabs>
        <w:ind w:left="2880" w:hanging="360"/>
      </w:pPr>
      <w:rPr>
        <w:rFonts w:ascii="Arial" w:hAnsi="Arial" w:hint="default"/>
      </w:rPr>
    </w:lvl>
    <w:lvl w:ilvl="4" w:tplc="EC6A3216" w:tentative="1">
      <w:start w:val="1"/>
      <w:numFmt w:val="bullet"/>
      <w:lvlText w:val="•"/>
      <w:lvlJc w:val="left"/>
      <w:pPr>
        <w:tabs>
          <w:tab w:val="num" w:pos="3600"/>
        </w:tabs>
        <w:ind w:left="3600" w:hanging="360"/>
      </w:pPr>
      <w:rPr>
        <w:rFonts w:ascii="Arial" w:hAnsi="Arial" w:hint="default"/>
      </w:rPr>
    </w:lvl>
    <w:lvl w:ilvl="5" w:tplc="E35CF02E" w:tentative="1">
      <w:start w:val="1"/>
      <w:numFmt w:val="bullet"/>
      <w:lvlText w:val="•"/>
      <w:lvlJc w:val="left"/>
      <w:pPr>
        <w:tabs>
          <w:tab w:val="num" w:pos="4320"/>
        </w:tabs>
        <w:ind w:left="4320" w:hanging="360"/>
      </w:pPr>
      <w:rPr>
        <w:rFonts w:ascii="Arial" w:hAnsi="Arial" w:hint="default"/>
      </w:rPr>
    </w:lvl>
    <w:lvl w:ilvl="6" w:tplc="B8EA5D66" w:tentative="1">
      <w:start w:val="1"/>
      <w:numFmt w:val="bullet"/>
      <w:lvlText w:val="•"/>
      <w:lvlJc w:val="left"/>
      <w:pPr>
        <w:tabs>
          <w:tab w:val="num" w:pos="5040"/>
        </w:tabs>
        <w:ind w:left="5040" w:hanging="360"/>
      </w:pPr>
      <w:rPr>
        <w:rFonts w:ascii="Arial" w:hAnsi="Arial" w:hint="default"/>
      </w:rPr>
    </w:lvl>
    <w:lvl w:ilvl="7" w:tplc="8272F40C" w:tentative="1">
      <w:start w:val="1"/>
      <w:numFmt w:val="bullet"/>
      <w:lvlText w:val="•"/>
      <w:lvlJc w:val="left"/>
      <w:pPr>
        <w:tabs>
          <w:tab w:val="num" w:pos="5760"/>
        </w:tabs>
        <w:ind w:left="5760" w:hanging="360"/>
      </w:pPr>
      <w:rPr>
        <w:rFonts w:ascii="Arial" w:hAnsi="Arial" w:hint="default"/>
      </w:rPr>
    </w:lvl>
    <w:lvl w:ilvl="8" w:tplc="213A1B5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DocIDAuthor" w:val="False"/>
    <w:docVar w:name="DocIDClientMatter" w:val="False"/>
    <w:docVar w:name="DocIDDate" w:val="False"/>
    <w:docVar w:name="DocIDDateText" w:val="True"/>
    <w:docVar w:name="DocIDLibrary" w:val="False"/>
    <w:docVar w:name="DocIDType" w:val="AllPages"/>
    <w:docVar w:name="DocIDTypist" w:val="False"/>
    <w:docVar w:name="LegacyDocIDRemoved" w:val="True"/>
  </w:docVars>
  <w:rsids>
    <w:rsidRoot w:val="00EC525C"/>
    <w:rsid w:val="002230DE"/>
    <w:rsid w:val="00DB4F07"/>
    <w:rsid w:val="00EC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674621-354C-40C3-9E48-C1010C17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lang w:eastAsia="ko-KR"/>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eastAsia="ko-KR"/>
    </w:rPr>
  </w:style>
  <w:style w:type="character" w:customStyle="1" w:styleId="DocID">
    <w:name w:val="DocID"/>
    <w:basedOn w:val="DefaultParagraphFont"/>
    <w:rPr>
      <w:rFonts w:ascii="Arial" w:hAnsi="Arial" w:cs="Arial"/>
      <w:b w:val="0"/>
      <w:i w:val="0"/>
      <w:caps w:val="0"/>
      <w:vanish w:val="0"/>
      <w:color w:val="000000"/>
      <w:sz w:val="15"/>
      <w:szCs w:val="22"/>
      <w:u w:val="no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ko-KR"/>
    </w:rPr>
  </w:style>
  <w:style w:type="paragraph" w:styleId="Revision">
    <w:name w:val="Revision"/>
    <w:hidden/>
    <w:uiPriority w:val="99"/>
    <w:semiHidden/>
    <w:rPr>
      <w:sz w:val="24"/>
      <w:szCs w:val="24"/>
      <w:lang w:eastAsia="ko-K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ko-K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pPr>
    <w:rPr>
      <w:lang w:eastAsia="en-US"/>
    </w:rPr>
  </w:style>
  <w:style w:type="character" w:styleId="FollowedHyperlink">
    <w:name w:val="FollowedHyperlink"/>
    <w:basedOn w:val="DefaultParagraphFont"/>
    <w:semiHidden/>
    <w:unhideWhenUsed/>
    <w:rPr>
      <w:color w:val="800080" w:themeColor="followedHyperlink"/>
      <w:u w:val="single"/>
    </w:rPr>
  </w:style>
  <w:style w:type="paragraph" w:customStyle="1" w:styleId="DocsID">
    <w:name w:val="DocsID"/>
    <w:basedOn w:val="Normal"/>
    <w:pPr>
      <w:spacing w:before="20"/>
    </w:pPr>
    <w:rPr>
      <w:rFonts w:ascii="Arial" w:hAnsi="Arial" w:cs="Arial"/>
      <w:color w:val="000080"/>
      <w:sz w:val="16"/>
      <w:szCs w:val="20"/>
      <w:lang w:val="en-CA"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05159">
      <w:bodyDiv w:val="1"/>
      <w:marLeft w:val="0"/>
      <w:marRight w:val="0"/>
      <w:marTop w:val="0"/>
      <w:marBottom w:val="0"/>
      <w:divBdr>
        <w:top w:val="none" w:sz="0" w:space="0" w:color="auto"/>
        <w:left w:val="none" w:sz="0" w:space="0" w:color="auto"/>
        <w:bottom w:val="none" w:sz="0" w:space="0" w:color="auto"/>
        <w:right w:val="none" w:sz="0" w:space="0" w:color="auto"/>
      </w:divBdr>
      <w:divsChild>
        <w:div w:id="443160772">
          <w:marLeft w:val="0"/>
          <w:marRight w:val="0"/>
          <w:marTop w:val="0"/>
          <w:marBottom w:val="0"/>
          <w:divBdr>
            <w:top w:val="none" w:sz="0" w:space="0" w:color="auto"/>
            <w:left w:val="none" w:sz="0" w:space="0" w:color="auto"/>
            <w:bottom w:val="none" w:sz="0" w:space="0" w:color="auto"/>
            <w:right w:val="none" w:sz="0" w:space="0" w:color="auto"/>
          </w:divBdr>
        </w:div>
      </w:divsChild>
    </w:div>
    <w:div w:id="410083346">
      <w:bodyDiv w:val="1"/>
      <w:marLeft w:val="0"/>
      <w:marRight w:val="0"/>
      <w:marTop w:val="0"/>
      <w:marBottom w:val="0"/>
      <w:divBdr>
        <w:top w:val="none" w:sz="0" w:space="0" w:color="auto"/>
        <w:left w:val="none" w:sz="0" w:space="0" w:color="auto"/>
        <w:bottom w:val="none" w:sz="0" w:space="0" w:color="auto"/>
        <w:right w:val="none" w:sz="0" w:space="0" w:color="auto"/>
      </w:divBdr>
    </w:div>
    <w:div w:id="439688430">
      <w:bodyDiv w:val="1"/>
      <w:marLeft w:val="0"/>
      <w:marRight w:val="0"/>
      <w:marTop w:val="0"/>
      <w:marBottom w:val="0"/>
      <w:divBdr>
        <w:top w:val="none" w:sz="0" w:space="0" w:color="auto"/>
        <w:left w:val="none" w:sz="0" w:space="0" w:color="auto"/>
        <w:bottom w:val="none" w:sz="0" w:space="0" w:color="auto"/>
        <w:right w:val="none" w:sz="0" w:space="0" w:color="auto"/>
      </w:divBdr>
    </w:div>
    <w:div w:id="482163014">
      <w:bodyDiv w:val="1"/>
      <w:marLeft w:val="0"/>
      <w:marRight w:val="0"/>
      <w:marTop w:val="0"/>
      <w:marBottom w:val="0"/>
      <w:divBdr>
        <w:top w:val="none" w:sz="0" w:space="0" w:color="auto"/>
        <w:left w:val="none" w:sz="0" w:space="0" w:color="auto"/>
        <w:bottom w:val="none" w:sz="0" w:space="0" w:color="auto"/>
        <w:right w:val="none" w:sz="0" w:space="0" w:color="auto"/>
      </w:divBdr>
      <w:divsChild>
        <w:div w:id="1477186492">
          <w:marLeft w:val="0"/>
          <w:marRight w:val="0"/>
          <w:marTop w:val="0"/>
          <w:marBottom w:val="0"/>
          <w:divBdr>
            <w:top w:val="none" w:sz="0" w:space="0" w:color="auto"/>
            <w:left w:val="none" w:sz="0" w:space="0" w:color="auto"/>
            <w:bottom w:val="none" w:sz="0" w:space="0" w:color="auto"/>
            <w:right w:val="none" w:sz="0" w:space="0" w:color="auto"/>
          </w:divBdr>
          <w:divsChild>
            <w:div w:id="41248931">
              <w:marLeft w:val="0"/>
              <w:marRight w:val="0"/>
              <w:marTop w:val="0"/>
              <w:marBottom w:val="0"/>
              <w:divBdr>
                <w:top w:val="none" w:sz="0" w:space="0" w:color="auto"/>
                <w:left w:val="none" w:sz="0" w:space="0" w:color="auto"/>
                <w:bottom w:val="none" w:sz="0" w:space="0" w:color="auto"/>
                <w:right w:val="none" w:sz="0" w:space="0" w:color="auto"/>
              </w:divBdr>
              <w:divsChild>
                <w:div w:id="1168208297">
                  <w:marLeft w:val="0"/>
                  <w:marRight w:val="0"/>
                  <w:marTop w:val="0"/>
                  <w:marBottom w:val="0"/>
                  <w:divBdr>
                    <w:top w:val="none" w:sz="0" w:space="0" w:color="auto"/>
                    <w:left w:val="none" w:sz="0" w:space="0" w:color="auto"/>
                    <w:bottom w:val="none" w:sz="0" w:space="0" w:color="auto"/>
                    <w:right w:val="none" w:sz="0" w:space="0" w:color="auto"/>
                  </w:divBdr>
                  <w:divsChild>
                    <w:div w:id="12372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5279">
      <w:bodyDiv w:val="1"/>
      <w:marLeft w:val="0"/>
      <w:marRight w:val="0"/>
      <w:marTop w:val="0"/>
      <w:marBottom w:val="0"/>
      <w:divBdr>
        <w:top w:val="none" w:sz="0" w:space="0" w:color="auto"/>
        <w:left w:val="none" w:sz="0" w:space="0" w:color="auto"/>
        <w:bottom w:val="none" w:sz="0" w:space="0" w:color="auto"/>
        <w:right w:val="none" w:sz="0" w:space="0" w:color="auto"/>
      </w:divBdr>
    </w:div>
    <w:div w:id="708992378">
      <w:bodyDiv w:val="1"/>
      <w:marLeft w:val="0"/>
      <w:marRight w:val="0"/>
      <w:marTop w:val="0"/>
      <w:marBottom w:val="0"/>
      <w:divBdr>
        <w:top w:val="none" w:sz="0" w:space="0" w:color="auto"/>
        <w:left w:val="none" w:sz="0" w:space="0" w:color="auto"/>
        <w:bottom w:val="none" w:sz="0" w:space="0" w:color="auto"/>
        <w:right w:val="none" w:sz="0" w:space="0" w:color="auto"/>
      </w:divBdr>
      <w:divsChild>
        <w:div w:id="945700202">
          <w:marLeft w:val="0"/>
          <w:marRight w:val="0"/>
          <w:marTop w:val="0"/>
          <w:marBottom w:val="0"/>
          <w:divBdr>
            <w:top w:val="none" w:sz="0" w:space="0" w:color="auto"/>
            <w:left w:val="none" w:sz="0" w:space="0" w:color="auto"/>
            <w:bottom w:val="none" w:sz="0" w:space="0" w:color="auto"/>
            <w:right w:val="none" w:sz="0" w:space="0" w:color="auto"/>
          </w:divBdr>
        </w:div>
        <w:div w:id="860822439">
          <w:marLeft w:val="0"/>
          <w:marRight w:val="0"/>
          <w:marTop w:val="0"/>
          <w:marBottom w:val="0"/>
          <w:divBdr>
            <w:top w:val="none" w:sz="0" w:space="0" w:color="auto"/>
            <w:left w:val="none" w:sz="0" w:space="0" w:color="auto"/>
            <w:bottom w:val="none" w:sz="0" w:space="0" w:color="auto"/>
            <w:right w:val="none" w:sz="0" w:space="0" w:color="auto"/>
          </w:divBdr>
        </w:div>
        <w:div w:id="1420562427">
          <w:marLeft w:val="0"/>
          <w:marRight w:val="0"/>
          <w:marTop w:val="0"/>
          <w:marBottom w:val="0"/>
          <w:divBdr>
            <w:top w:val="none" w:sz="0" w:space="0" w:color="auto"/>
            <w:left w:val="none" w:sz="0" w:space="0" w:color="auto"/>
            <w:bottom w:val="none" w:sz="0" w:space="0" w:color="auto"/>
            <w:right w:val="none" w:sz="0" w:space="0" w:color="auto"/>
          </w:divBdr>
        </w:div>
      </w:divsChild>
    </w:div>
    <w:div w:id="1517108969">
      <w:bodyDiv w:val="1"/>
      <w:marLeft w:val="0"/>
      <w:marRight w:val="0"/>
      <w:marTop w:val="0"/>
      <w:marBottom w:val="0"/>
      <w:divBdr>
        <w:top w:val="none" w:sz="0" w:space="0" w:color="auto"/>
        <w:left w:val="none" w:sz="0" w:space="0" w:color="auto"/>
        <w:bottom w:val="none" w:sz="0" w:space="0" w:color="auto"/>
        <w:right w:val="none" w:sz="0" w:space="0" w:color="auto"/>
      </w:divBdr>
    </w:div>
    <w:div w:id="1663242637">
      <w:bodyDiv w:val="1"/>
      <w:marLeft w:val="0"/>
      <w:marRight w:val="0"/>
      <w:marTop w:val="0"/>
      <w:marBottom w:val="0"/>
      <w:divBdr>
        <w:top w:val="none" w:sz="0" w:space="0" w:color="auto"/>
        <w:left w:val="none" w:sz="0" w:space="0" w:color="auto"/>
        <w:bottom w:val="none" w:sz="0" w:space="0" w:color="auto"/>
        <w:right w:val="none" w:sz="0" w:space="0" w:color="auto"/>
      </w:divBdr>
    </w:div>
    <w:div w:id="1715425165">
      <w:bodyDiv w:val="1"/>
      <w:marLeft w:val="0"/>
      <w:marRight w:val="0"/>
      <w:marTop w:val="0"/>
      <w:marBottom w:val="0"/>
      <w:divBdr>
        <w:top w:val="none" w:sz="0" w:space="0" w:color="auto"/>
        <w:left w:val="none" w:sz="0" w:space="0" w:color="auto"/>
        <w:bottom w:val="none" w:sz="0" w:space="0" w:color="auto"/>
        <w:right w:val="none" w:sz="0" w:space="0" w:color="auto"/>
      </w:divBdr>
    </w:div>
    <w:div w:id="1738505759">
      <w:bodyDiv w:val="1"/>
      <w:marLeft w:val="0"/>
      <w:marRight w:val="0"/>
      <w:marTop w:val="0"/>
      <w:marBottom w:val="0"/>
      <w:divBdr>
        <w:top w:val="none" w:sz="0" w:space="0" w:color="auto"/>
        <w:left w:val="none" w:sz="0" w:space="0" w:color="auto"/>
        <w:bottom w:val="none" w:sz="0" w:space="0" w:color="auto"/>
        <w:right w:val="none" w:sz="0" w:space="0" w:color="auto"/>
      </w:divBdr>
    </w:div>
    <w:div w:id="1826892237">
      <w:bodyDiv w:val="1"/>
      <w:marLeft w:val="0"/>
      <w:marRight w:val="0"/>
      <w:marTop w:val="0"/>
      <w:marBottom w:val="0"/>
      <w:divBdr>
        <w:top w:val="none" w:sz="0" w:space="0" w:color="auto"/>
        <w:left w:val="none" w:sz="0" w:space="0" w:color="auto"/>
        <w:bottom w:val="none" w:sz="0" w:space="0" w:color="auto"/>
        <w:right w:val="none" w:sz="0" w:space="0" w:color="auto"/>
      </w:divBdr>
    </w:div>
    <w:div w:id="1865170913">
      <w:bodyDiv w:val="1"/>
      <w:marLeft w:val="0"/>
      <w:marRight w:val="0"/>
      <w:marTop w:val="0"/>
      <w:marBottom w:val="0"/>
      <w:divBdr>
        <w:top w:val="none" w:sz="0" w:space="0" w:color="auto"/>
        <w:left w:val="none" w:sz="0" w:space="0" w:color="auto"/>
        <w:bottom w:val="none" w:sz="0" w:space="0" w:color="auto"/>
        <w:right w:val="none" w:sz="0" w:space="0" w:color="auto"/>
      </w:divBdr>
    </w:div>
    <w:div w:id="1963683708">
      <w:bodyDiv w:val="1"/>
      <w:marLeft w:val="0"/>
      <w:marRight w:val="0"/>
      <w:marTop w:val="0"/>
      <w:marBottom w:val="0"/>
      <w:divBdr>
        <w:top w:val="none" w:sz="0" w:space="0" w:color="auto"/>
        <w:left w:val="none" w:sz="0" w:space="0" w:color="auto"/>
        <w:bottom w:val="none" w:sz="0" w:space="0" w:color="auto"/>
        <w:right w:val="none" w:sz="0" w:space="0" w:color="auto"/>
      </w:divBdr>
      <w:divsChild>
        <w:div w:id="1430732155">
          <w:marLeft w:val="720"/>
          <w:marRight w:val="0"/>
          <w:marTop w:val="0"/>
          <w:marBottom w:val="120"/>
          <w:divBdr>
            <w:top w:val="none" w:sz="0" w:space="0" w:color="auto"/>
            <w:left w:val="none" w:sz="0" w:space="0" w:color="auto"/>
            <w:bottom w:val="none" w:sz="0" w:space="0" w:color="auto"/>
            <w:right w:val="none" w:sz="0" w:space="0" w:color="auto"/>
          </w:divBdr>
        </w:div>
        <w:div w:id="1451168521">
          <w:marLeft w:val="720"/>
          <w:marRight w:val="0"/>
          <w:marTop w:val="0"/>
          <w:marBottom w:val="120"/>
          <w:divBdr>
            <w:top w:val="none" w:sz="0" w:space="0" w:color="auto"/>
            <w:left w:val="none" w:sz="0" w:space="0" w:color="auto"/>
            <w:bottom w:val="none" w:sz="0" w:space="0" w:color="auto"/>
            <w:right w:val="none" w:sz="0" w:space="0" w:color="auto"/>
          </w:divBdr>
        </w:div>
        <w:div w:id="1845394441">
          <w:marLeft w:val="720"/>
          <w:marRight w:val="0"/>
          <w:marTop w:val="0"/>
          <w:marBottom w:val="120"/>
          <w:divBdr>
            <w:top w:val="none" w:sz="0" w:space="0" w:color="auto"/>
            <w:left w:val="none" w:sz="0" w:space="0" w:color="auto"/>
            <w:bottom w:val="none" w:sz="0" w:space="0" w:color="auto"/>
            <w:right w:val="none" w:sz="0" w:space="0" w:color="auto"/>
          </w:divBdr>
        </w:div>
        <w:div w:id="1578709511">
          <w:marLeft w:val="720"/>
          <w:marRight w:val="0"/>
          <w:marTop w:val="0"/>
          <w:marBottom w:val="120"/>
          <w:divBdr>
            <w:top w:val="none" w:sz="0" w:space="0" w:color="auto"/>
            <w:left w:val="none" w:sz="0" w:space="0" w:color="auto"/>
            <w:bottom w:val="none" w:sz="0" w:space="0" w:color="auto"/>
            <w:right w:val="none" w:sz="0" w:space="0" w:color="auto"/>
          </w:divBdr>
        </w:div>
        <w:div w:id="2064211443">
          <w:marLeft w:val="720"/>
          <w:marRight w:val="0"/>
          <w:marTop w:val="0"/>
          <w:marBottom w:val="120"/>
          <w:divBdr>
            <w:top w:val="none" w:sz="0" w:space="0" w:color="auto"/>
            <w:left w:val="none" w:sz="0" w:space="0" w:color="auto"/>
            <w:bottom w:val="none" w:sz="0" w:space="0" w:color="auto"/>
            <w:right w:val="none" w:sz="0" w:space="0" w:color="auto"/>
          </w:divBdr>
        </w:div>
        <w:div w:id="432408432">
          <w:marLeft w:val="720"/>
          <w:marRight w:val="0"/>
          <w:marTop w:val="0"/>
          <w:marBottom w:val="120"/>
          <w:divBdr>
            <w:top w:val="none" w:sz="0" w:space="0" w:color="auto"/>
            <w:left w:val="none" w:sz="0" w:space="0" w:color="auto"/>
            <w:bottom w:val="none" w:sz="0" w:space="0" w:color="auto"/>
            <w:right w:val="none" w:sz="0" w:space="0" w:color="auto"/>
          </w:divBdr>
        </w:div>
        <w:div w:id="1072894037">
          <w:marLeft w:val="720"/>
          <w:marRight w:val="0"/>
          <w:marTop w:val="0"/>
          <w:marBottom w:val="120"/>
          <w:divBdr>
            <w:top w:val="none" w:sz="0" w:space="0" w:color="auto"/>
            <w:left w:val="none" w:sz="0" w:space="0" w:color="auto"/>
            <w:bottom w:val="none" w:sz="0" w:space="0" w:color="auto"/>
            <w:right w:val="none" w:sz="0" w:space="0" w:color="auto"/>
          </w:divBdr>
        </w:div>
        <w:div w:id="472258481">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CH@dfk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Needham &amp; Company</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Coulombe</dc:creator>
  <cp:keywords/>
  <dc:description/>
  <cp:lastModifiedBy>Derek Gradwell</cp:lastModifiedBy>
  <cp:revision>2</cp:revision>
  <cp:lastPrinted>2021-05-06T22:30:00Z</cp:lastPrinted>
  <dcterms:created xsi:type="dcterms:W3CDTF">2021-05-25T00:03:00Z</dcterms:created>
  <dcterms:modified xsi:type="dcterms:W3CDTF">2021-05-25T00:03:00Z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501239689 v1</vt:lpwstr>
  </property>
  <property fmtid="{D5CDD505-2E9C-101B-9397-08002B2CF9AE}" pid="3" name="DocIDAutoUpdate">
    <vt:lpwstr>ALL</vt:lpwstr>
  </property>
  <property fmtid="{D5CDD505-2E9C-101B-9397-08002B2CF9AE}" pid="4" name="DocsID">
    <vt:lpwstr>4153-4986-0135 v10</vt:lpwstr>
  </property>
</Properties>
</file>