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C2AD2" w14:textId="77777777" w:rsidR="00AD6171" w:rsidRDefault="00AD6171" w:rsidP="00AD6171">
      <w:pPr>
        <w:rPr>
          <w:rFonts w:ascii="Arial" w:hAnsi="Arial" w:cs="Arial"/>
          <w:b/>
          <w:bCs/>
        </w:rPr>
      </w:pPr>
      <w:r>
        <w:rPr>
          <w:rFonts w:ascii="Arial" w:hAnsi="Arial" w:cs="Arial"/>
          <w:b/>
          <w:bCs/>
        </w:rPr>
        <w:t>Tortoise Essential Assets Income Term Fund (TEAF) Announces Upcoming Name Change to Ecofin Sustainable and Social Impact Term Fund</w:t>
      </w:r>
    </w:p>
    <w:p w14:paraId="60C9256E" w14:textId="77777777" w:rsidR="00C0582A" w:rsidRDefault="00C0582A" w:rsidP="00BC1E77">
      <w:pPr>
        <w:rPr>
          <w:sz w:val="20"/>
          <w:szCs w:val="20"/>
        </w:rPr>
      </w:pPr>
    </w:p>
    <w:p w14:paraId="2EE0A1B5" w14:textId="3B526C50" w:rsidR="00624FE2" w:rsidRPr="009A141C" w:rsidRDefault="00624FE2" w:rsidP="00624FE2">
      <w:pPr>
        <w:pStyle w:val="Default"/>
        <w:ind w:right="180"/>
        <w:rPr>
          <w:sz w:val="20"/>
          <w:szCs w:val="20"/>
        </w:rPr>
      </w:pPr>
      <w:r w:rsidRPr="009A141C">
        <w:rPr>
          <w:sz w:val="20"/>
          <w:szCs w:val="20"/>
        </w:rPr>
        <w:t xml:space="preserve">FOR IMMEDIATE RELEASE </w:t>
      </w:r>
    </w:p>
    <w:p w14:paraId="7AA8653E" w14:textId="77777777" w:rsidR="00624FE2" w:rsidRPr="009A141C" w:rsidRDefault="00624FE2" w:rsidP="00624FE2">
      <w:pPr>
        <w:pStyle w:val="Default"/>
        <w:ind w:right="180"/>
        <w:rPr>
          <w:sz w:val="20"/>
          <w:szCs w:val="20"/>
        </w:rPr>
      </w:pPr>
    </w:p>
    <w:p w14:paraId="40968E85" w14:textId="2659D330" w:rsidR="00556175" w:rsidRDefault="00624FE2" w:rsidP="00556175">
      <w:pPr>
        <w:autoSpaceDE w:val="0"/>
        <w:autoSpaceDN w:val="0"/>
        <w:adjustRightInd w:val="0"/>
        <w:rPr>
          <w:rFonts w:ascii="Arial" w:hAnsi="Arial" w:cs="Arial"/>
          <w:sz w:val="20"/>
          <w:szCs w:val="20"/>
        </w:rPr>
      </w:pPr>
      <w:r w:rsidRPr="009A141C">
        <w:rPr>
          <w:rFonts w:ascii="Arial" w:hAnsi="Arial" w:cs="Arial"/>
          <w:b/>
          <w:sz w:val="20"/>
          <w:szCs w:val="20"/>
        </w:rPr>
        <w:t>LEAWOOD,</w:t>
      </w:r>
      <w:r w:rsidR="00B50E05">
        <w:rPr>
          <w:rFonts w:ascii="Arial" w:hAnsi="Arial" w:cs="Arial"/>
          <w:b/>
          <w:sz w:val="20"/>
          <w:szCs w:val="20"/>
        </w:rPr>
        <w:t xml:space="preserve"> KS</w:t>
      </w:r>
      <w:r w:rsidR="009D2560">
        <w:rPr>
          <w:rFonts w:ascii="Arial" w:hAnsi="Arial" w:cs="Arial"/>
          <w:b/>
          <w:sz w:val="20"/>
          <w:szCs w:val="20"/>
        </w:rPr>
        <w:t xml:space="preserve"> / ACCESSWIRE/ </w:t>
      </w:r>
      <w:r w:rsidR="003968A5" w:rsidRPr="009D2560">
        <w:rPr>
          <w:rFonts w:ascii="Arial" w:hAnsi="Arial" w:cs="Arial"/>
          <w:b/>
          <w:sz w:val="20"/>
          <w:szCs w:val="20"/>
        </w:rPr>
        <w:t xml:space="preserve">June </w:t>
      </w:r>
      <w:r w:rsidR="003968A5" w:rsidRPr="00EF39A3">
        <w:rPr>
          <w:rFonts w:ascii="Arial" w:hAnsi="Arial" w:cs="Arial"/>
          <w:b/>
          <w:sz w:val="20"/>
          <w:szCs w:val="20"/>
        </w:rPr>
        <w:t>1</w:t>
      </w:r>
      <w:r w:rsidR="00197792" w:rsidRPr="00EF39A3">
        <w:rPr>
          <w:rFonts w:ascii="Arial" w:hAnsi="Arial" w:cs="Arial"/>
          <w:b/>
          <w:sz w:val="20"/>
          <w:szCs w:val="20"/>
        </w:rPr>
        <w:t>6</w:t>
      </w:r>
      <w:r w:rsidR="00BE267B" w:rsidRPr="009D2560">
        <w:rPr>
          <w:rFonts w:ascii="Arial" w:hAnsi="Arial" w:cs="Arial"/>
          <w:b/>
          <w:sz w:val="20"/>
          <w:szCs w:val="20"/>
        </w:rPr>
        <w:t>, 2</w:t>
      </w:r>
      <w:r w:rsidR="003D0170" w:rsidRPr="009D2560">
        <w:rPr>
          <w:rFonts w:ascii="Arial" w:hAnsi="Arial" w:cs="Arial"/>
          <w:b/>
          <w:sz w:val="20"/>
          <w:szCs w:val="20"/>
        </w:rPr>
        <w:t>021</w:t>
      </w:r>
      <w:r w:rsidR="009D2560">
        <w:rPr>
          <w:rFonts w:ascii="Arial" w:hAnsi="Arial" w:cs="Arial"/>
          <w:sz w:val="20"/>
          <w:szCs w:val="20"/>
        </w:rPr>
        <w:t xml:space="preserve"> </w:t>
      </w:r>
      <w:r w:rsidR="009D2560" w:rsidRPr="009D2560">
        <w:rPr>
          <w:rFonts w:ascii="Arial" w:hAnsi="Arial" w:cs="Arial"/>
          <w:b/>
          <w:sz w:val="20"/>
          <w:szCs w:val="20"/>
        </w:rPr>
        <w:t>/</w:t>
      </w:r>
      <w:r w:rsidR="00F85407">
        <w:rPr>
          <w:rFonts w:ascii="Arial" w:hAnsi="Arial" w:cs="Arial"/>
          <w:sz w:val="20"/>
          <w:szCs w:val="20"/>
        </w:rPr>
        <w:t xml:space="preserve"> </w:t>
      </w:r>
      <w:r w:rsidR="005C5D67">
        <w:rPr>
          <w:rFonts w:ascii="Arial" w:hAnsi="Arial" w:cs="Arial"/>
          <w:sz w:val="20"/>
          <w:szCs w:val="20"/>
        </w:rPr>
        <w:t xml:space="preserve">Tortoise Essential Assets Income </w:t>
      </w:r>
      <w:r w:rsidR="00016DD5" w:rsidRPr="00EF39A3">
        <w:rPr>
          <w:rFonts w:ascii="Arial" w:hAnsi="Arial" w:cs="Arial"/>
          <w:sz w:val="20"/>
          <w:szCs w:val="20"/>
        </w:rPr>
        <w:t>Term Fund</w:t>
      </w:r>
      <w:r w:rsidR="00016DD5">
        <w:rPr>
          <w:rFonts w:ascii="Arial" w:hAnsi="Arial" w:cs="Arial"/>
          <w:sz w:val="20"/>
          <w:szCs w:val="20"/>
        </w:rPr>
        <w:t xml:space="preserve"> (</w:t>
      </w:r>
      <w:r w:rsidR="00556175">
        <w:rPr>
          <w:rFonts w:ascii="Arial" w:hAnsi="Arial" w:cs="Arial"/>
          <w:sz w:val="20"/>
          <w:szCs w:val="20"/>
        </w:rPr>
        <w:t xml:space="preserve">NYSE: </w:t>
      </w:r>
      <w:r w:rsidR="00016DD5">
        <w:rPr>
          <w:rFonts w:ascii="Arial" w:hAnsi="Arial" w:cs="Arial"/>
          <w:sz w:val="20"/>
          <w:szCs w:val="20"/>
        </w:rPr>
        <w:t>TEAF) and</w:t>
      </w:r>
      <w:r w:rsidR="008734B9">
        <w:rPr>
          <w:rFonts w:ascii="Arial" w:hAnsi="Arial" w:cs="Arial"/>
          <w:sz w:val="20"/>
          <w:szCs w:val="20"/>
        </w:rPr>
        <w:t xml:space="preserve"> parent company,</w:t>
      </w:r>
      <w:r w:rsidR="00016DD5" w:rsidRPr="00DB4727">
        <w:rPr>
          <w:rFonts w:ascii="Arial" w:hAnsi="Arial" w:cs="Arial"/>
          <w:sz w:val="20"/>
          <w:szCs w:val="20"/>
        </w:rPr>
        <w:t xml:space="preserve"> </w:t>
      </w:r>
      <w:proofErr w:type="spellStart"/>
      <w:r w:rsidR="00A3614E" w:rsidRPr="00DB4727">
        <w:rPr>
          <w:rFonts w:ascii="Arial" w:hAnsi="Arial" w:cs="Arial"/>
          <w:sz w:val="20"/>
          <w:szCs w:val="20"/>
        </w:rPr>
        <w:t>Tortoise</w:t>
      </w:r>
      <w:r w:rsidR="00CE0DDF">
        <w:rPr>
          <w:rFonts w:ascii="Arial" w:hAnsi="Arial" w:cs="Arial"/>
          <w:sz w:val="20"/>
          <w:szCs w:val="20"/>
        </w:rPr>
        <w:t>Ecofin</w:t>
      </w:r>
      <w:proofErr w:type="spellEnd"/>
      <w:r w:rsidR="008734B9">
        <w:rPr>
          <w:rFonts w:ascii="Arial" w:hAnsi="Arial" w:cs="Arial"/>
          <w:sz w:val="20"/>
          <w:szCs w:val="20"/>
        </w:rPr>
        <w:t>,</w:t>
      </w:r>
      <w:r w:rsidR="00016DD5">
        <w:rPr>
          <w:rFonts w:ascii="Arial" w:hAnsi="Arial" w:cs="Arial"/>
          <w:sz w:val="20"/>
          <w:szCs w:val="20"/>
        </w:rPr>
        <w:t xml:space="preserve"> announced today</w:t>
      </w:r>
      <w:r w:rsidR="00A634FA">
        <w:rPr>
          <w:rFonts w:ascii="Arial" w:hAnsi="Arial" w:cs="Arial"/>
          <w:sz w:val="20"/>
          <w:szCs w:val="20"/>
        </w:rPr>
        <w:t xml:space="preserve"> </w:t>
      </w:r>
      <w:r w:rsidR="00857D43">
        <w:rPr>
          <w:rFonts w:ascii="Arial" w:hAnsi="Arial" w:cs="Arial"/>
          <w:sz w:val="20"/>
          <w:szCs w:val="20"/>
        </w:rPr>
        <w:t>that</w:t>
      </w:r>
      <w:r w:rsidR="005C7BAA">
        <w:rPr>
          <w:rFonts w:ascii="Arial" w:hAnsi="Arial" w:cs="Arial"/>
          <w:sz w:val="20"/>
          <w:szCs w:val="20"/>
        </w:rPr>
        <w:t xml:space="preserve"> effective June 30, 2021,</w:t>
      </w:r>
      <w:r w:rsidR="00016DD5">
        <w:rPr>
          <w:rFonts w:ascii="Arial" w:hAnsi="Arial" w:cs="Arial"/>
          <w:sz w:val="20"/>
          <w:szCs w:val="20"/>
        </w:rPr>
        <w:t xml:space="preserve"> the fund name </w:t>
      </w:r>
      <w:r w:rsidR="005C5D67">
        <w:rPr>
          <w:rFonts w:ascii="Arial" w:hAnsi="Arial" w:cs="Arial"/>
          <w:sz w:val="20"/>
          <w:szCs w:val="20"/>
        </w:rPr>
        <w:t>will be</w:t>
      </w:r>
      <w:r w:rsidR="00016DD5">
        <w:rPr>
          <w:rFonts w:ascii="Arial" w:hAnsi="Arial" w:cs="Arial"/>
          <w:sz w:val="20"/>
          <w:szCs w:val="20"/>
        </w:rPr>
        <w:t xml:space="preserve"> changed from Tortoise Essential Assets Income Term Fund to Ecofin Sustainable and Social Impact Term Fund.</w:t>
      </w:r>
      <w:r w:rsidR="000307E4">
        <w:rPr>
          <w:rFonts w:ascii="Arial" w:hAnsi="Arial" w:cs="Arial"/>
          <w:sz w:val="20"/>
          <w:szCs w:val="20"/>
        </w:rPr>
        <w:t xml:space="preserve"> </w:t>
      </w:r>
      <w:r w:rsidR="00A73722">
        <w:rPr>
          <w:rFonts w:ascii="Arial" w:hAnsi="Arial" w:cs="Arial"/>
          <w:sz w:val="20"/>
          <w:szCs w:val="20"/>
        </w:rPr>
        <w:t xml:space="preserve">TEAF is a multi-strategy vehicle that invests in private and public investments within sustainable infrastructure and social impact, and has reached </w:t>
      </w:r>
      <w:r w:rsidR="000307E4">
        <w:rPr>
          <w:rFonts w:ascii="Arial" w:hAnsi="Arial" w:cs="Arial"/>
          <w:sz w:val="20"/>
          <w:szCs w:val="20"/>
        </w:rPr>
        <w:t xml:space="preserve">an allocation of </w:t>
      </w:r>
      <w:r w:rsidR="001D2D08">
        <w:rPr>
          <w:rFonts w:ascii="Arial" w:hAnsi="Arial" w:cs="Arial"/>
          <w:sz w:val="20"/>
          <w:szCs w:val="20"/>
        </w:rPr>
        <w:t>87%</w:t>
      </w:r>
      <w:r w:rsidR="000307E4">
        <w:rPr>
          <w:rFonts w:ascii="Arial" w:hAnsi="Arial" w:cs="Arial"/>
          <w:sz w:val="20"/>
          <w:szCs w:val="20"/>
        </w:rPr>
        <w:t xml:space="preserve"> i</w:t>
      </w:r>
      <w:r w:rsidR="00A73722">
        <w:rPr>
          <w:rFonts w:ascii="Arial" w:hAnsi="Arial" w:cs="Arial"/>
          <w:sz w:val="20"/>
          <w:szCs w:val="20"/>
        </w:rPr>
        <w:t>n such impact</w:t>
      </w:r>
      <w:r w:rsidR="000307E4">
        <w:rPr>
          <w:rFonts w:ascii="Arial" w:hAnsi="Arial" w:cs="Arial"/>
          <w:sz w:val="20"/>
          <w:szCs w:val="20"/>
        </w:rPr>
        <w:t xml:space="preserve"> investments</w:t>
      </w:r>
      <w:r w:rsidR="00691F66">
        <w:rPr>
          <w:rFonts w:ascii="Arial" w:hAnsi="Arial" w:cs="Arial"/>
          <w:sz w:val="20"/>
          <w:szCs w:val="20"/>
        </w:rPr>
        <w:t xml:space="preserve">. </w:t>
      </w:r>
      <w:r w:rsidR="00AA7150">
        <w:rPr>
          <w:rFonts w:ascii="Arial" w:hAnsi="Arial" w:cs="Arial"/>
          <w:sz w:val="20"/>
          <w:szCs w:val="20"/>
        </w:rPr>
        <w:t xml:space="preserve">Some of the fund’s investments include solar, wind, </w:t>
      </w:r>
      <w:r w:rsidR="0025599F">
        <w:rPr>
          <w:rFonts w:ascii="Arial" w:hAnsi="Arial" w:cs="Arial"/>
          <w:sz w:val="20"/>
          <w:szCs w:val="20"/>
        </w:rPr>
        <w:t xml:space="preserve">water, </w:t>
      </w:r>
      <w:r w:rsidR="00AA7150">
        <w:rPr>
          <w:rFonts w:ascii="Arial" w:hAnsi="Arial" w:cs="Arial"/>
          <w:sz w:val="20"/>
          <w:szCs w:val="20"/>
        </w:rPr>
        <w:t>bioenergy, waste-to-energy,</w:t>
      </w:r>
      <w:r w:rsidR="00BF70E7">
        <w:rPr>
          <w:rFonts w:ascii="Arial" w:hAnsi="Arial" w:cs="Arial"/>
          <w:sz w:val="20"/>
          <w:szCs w:val="20"/>
        </w:rPr>
        <w:t xml:space="preserve"> recycling,</w:t>
      </w:r>
      <w:r w:rsidR="00882C2F">
        <w:rPr>
          <w:rFonts w:ascii="Arial" w:hAnsi="Arial" w:cs="Arial"/>
          <w:sz w:val="20"/>
          <w:szCs w:val="20"/>
        </w:rPr>
        <w:t xml:space="preserve"> education</w:t>
      </w:r>
      <w:r w:rsidR="00A759D8">
        <w:rPr>
          <w:rFonts w:ascii="Arial" w:hAnsi="Arial" w:cs="Arial"/>
          <w:sz w:val="20"/>
          <w:szCs w:val="20"/>
        </w:rPr>
        <w:t xml:space="preserve"> and </w:t>
      </w:r>
      <w:r w:rsidR="004164F3">
        <w:rPr>
          <w:rFonts w:ascii="Arial" w:hAnsi="Arial" w:cs="Arial"/>
          <w:sz w:val="20"/>
          <w:szCs w:val="20"/>
        </w:rPr>
        <w:t>assisted living,</w:t>
      </w:r>
      <w:r w:rsidR="00A759D8">
        <w:rPr>
          <w:rFonts w:ascii="Arial" w:hAnsi="Arial" w:cs="Arial"/>
          <w:sz w:val="20"/>
          <w:szCs w:val="20"/>
        </w:rPr>
        <w:t xml:space="preserve"> which </w:t>
      </w:r>
      <w:r w:rsidR="00221FCA">
        <w:rPr>
          <w:rFonts w:ascii="Arial" w:hAnsi="Arial" w:cs="Arial"/>
          <w:sz w:val="20"/>
          <w:szCs w:val="20"/>
        </w:rPr>
        <w:t xml:space="preserve">collectively </w:t>
      </w:r>
      <w:r w:rsidR="00A759D8">
        <w:rPr>
          <w:rFonts w:ascii="Arial" w:hAnsi="Arial" w:cs="Arial"/>
          <w:sz w:val="20"/>
          <w:szCs w:val="20"/>
        </w:rPr>
        <w:t>makes the fund one of the first of its kind</w:t>
      </w:r>
      <w:r w:rsidR="00520F69">
        <w:rPr>
          <w:rFonts w:ascii="Arial" w:hAnsi="Arial" w:cs="Arial"/>
          <w:sz w:val="20"/>
          <w:szCs w:val="20"/>
        </w:rPr>
        <w:t>; a</w:t>
      </w:r>
      <w:r w:rsidR="009D3C6B">
        <w:rPr>
          <w:rFonts w:ascii="Arial" w:hAnsi="Arial" w:cs="Arial"/>
          <w:sz w:val="20"/>
          <w:szCs w:val="20"/>
        </w:rPr>
        <w:t xml:space="preserve"> </w:t>
      </w:r>
      <w:r w:rsidR="00A759D8">
        <w:rPr>
          <w:rFonts w:ascii="Arial" w:hAnsi="Arial" w:cs="Arial"/>
          <w:sz w:val="20"/>
          <w:szCs w:val="20"/>
        </w:rPr>
        <w:t xml:space="preserve">sustainable </w:t>
      </w:r>
      <w:r w:rsidR="002F796B">
        <w:rPr>
          <w:rFonts w:ascii="Arial" w:hAnsi="Arial" w:cs="Arial"/>
          <w:sz w:val="20"/>
          <w:szCs w:val="20"/>
        </w:rPr>
        <w:t xml:space="preserve">and thematic </w:t>
      </w:r>
      <w:r w:rsidR="00A759D8">
        <w:rPr>
          <w:rFonts w:ascii="Arial" w:hAnsi="Arial" w:cs="Arial"/>
          <w:sz w:val="20"/>
          <w:szCs w:val="20"/>
        </w:rPr>
        <w:t>closed-end fund.</w:t>
      </w:r>
      <w:r w:rsidR="004164F3">
        <w:rPr>
          <w:rFonts w:ascii="Arial" w:hAnsi="Arial" w:cs="Arial"/>
          <w:sz w:val="20"/>
          <w:szCs w:val="20"/>
        </w:rPr>
        <w:t xml:space="preserve"> </w:t>
      </w:r>
      <w:r w:rsidR="00A73722">
        <w:rPr>
          <w:rFonts w:ascii="Arial" w:hAnsi="Arial" w:cs="Arial"/>
          <w:sz w:val="20"/>
          <w:szCs w:val="20"/>
        </w:rPr>
        <w:t xml:space="preserve">The </w:t>
      </w:r>
      <w:r w:rsidR="00F977AA">
        <w:rPr>
          <w:rFonts w:ascii="Arial" w:hAnsi="Arial" w:cs="Arial"/>
          <w:sz w:val="20"/>
          <w:szCs w:val="20"/>
        </w:rPr>
        <w:t>fund</w:t>
      </w:r>
      <w:r w:rsidR="006C3BE2">
        <w:rPr>
          <w:rFonts w:ascii="Arial" w:hAnsi="Arial" w:cs="Arial"/>
          <w:sz w:val="20"/>
          <w:szCs w:val="20"/>
        </w:rPr>
        <w:t xml:space="preserve"> </w:t>
      </w:r>
      <w:r w:rsidR="00F977AA">
        <w:rPr>
          <w:rFonts w:ascii="Arial" w:hAnsi="Arial" w:cs="Arial"/>
          <w:sz w:val="20"/>
          <w:szCs w:val="20"/>
        </w:rPr>
        <w:t>will</w:t>
      </w:r>
      <w:r w:rsidR="00016DD5">
        <w:rPr>
          <w:rFonts w:ascii="Arial" w:hAnsi="Arial" w:cs="Arial"/>
          <w:sz w:val="20"/>
          <w:szCs w:val="20"/>
        </w:rPr>
        <w:t xml:space="preserve"> </w:t>
      </w:r>
      <w:r w:rsidR="00A73722">
        <w:rPr>
          <w:rFonts w:ascii="Arial" w:hAnsi="Arial" w:cs="Arial"/>
          <w:sz w:val="20"/>
          <w:szCs w:val="20"/>
        </w:rPr>
        <w:t xml:space="preserve">join Ecofin’s </w:t>
      </w:r>
      <w:r w:rsidR="00DA4743">
        <w:rPr>
          <w:rFonts w:ascii="Arial" w:hAnsi="Arial" w:cs="Arial"/>
          <w:sz w:val="20"/>
          <w:szCs w:val="20"/>
        </w:rPr>
        <w:t>other products dedicated</w:t>
      </w:r>
      <w:r w:rsidR="00F977AA">
        <w:rPr>
          <w:rFonts w:ascii="Arial" w:hAnsi="Arial" w:cs="Arial"/>
          <w:sz w:val="20"/>
          <w:szCs w:val="20"/>
        </w:rPr>
        <w:t xml:space="preserve"> to</w:t>
      </w:r>
      <w:r w:rsidR="00DA4743">
        <w:rPr>
          <w:rFonts w:ascii="Arial" w:hAnsi="Arial" w:cs="Arial"/>
          <w:sz w:val="20"/>
          <w:szCs w:val="20"/>
        </w:rPr>
        <w:t xml:space="preserve"> </w:t>
      </w:r>
      <w:r w:rsidR="00F977AA">
        <w:rPr>
          <w:rFonts w:ascii="Arial" w:hAnsi="Arial" w:cs="Arial"/>
          <w:sz w:val="20"/>
          <w:szCs w:val="20"/>
        </w:rPr>
        <w:t>impact and sustainability</w:t>
      </w:r>
      <w:r w:rsidR="00DA4743">
        <w:rPr>
          <w:rFonts w:ascii="Arial" w:hAnsi="Arial" w:cs="Arial"/>
          <w:sz w:val="20"/>
          <w:szCs w:val="20"/>
        </w:rPr>
        <w:t>.</w:t>
      </w:r>
      <w:r w:rsidR="008734B9">
        <w:rPr>
          <w:rFonts w:ascii="Arial" w:hAnsi="Arial" w:cs="Arial"/>
          <w:sz w:val="20"/>
          <w:szCs w:val="20"/>
        </w:rPr>
        <w:t xml:space="preserve"> </w:t>
      </w:r>
      <w:r w:rsidR="00556175">
        <w:rPr>
          <w:rFonts w:ascii="Arial" w:hAnsi="Arial" w:cs="Arial"/>
          <w:sz w:val="20"/>
          <w:szCs w:val="20"/>
        </w:rPr>
        <w:t xml:space="preserve">Consequently, the Board approved </w:t>
      </w:r>
      <w:r w:rsidR="00B46768">
        <w:rPr>
          <w:rFonts w:ascii="Arial" w:hAnsi="Arial" w:cs="Arial"/>
          <w:sz w:val="20"/>
          <w:szCs w:val="20"/>
        </w:rPr>
        <w:t xml:space="preserve">the </w:t>
      </w:r>
      <w:r w:rsidR="00556175">
        <w:rPr>
          <w:rFonts w:ascii="Arial" w:hAnsi="Arial" w:cs="Arial"/>
          <w:sz w:val="20"/>
          <w:szCs w:val="20"/>
        </w:rPr>
        <w:t>name change and</w:t>
      </w:r>
      <w:r w:rsidR="00D5697D">
        <w:rPr>
          <w:rFonts w:ascii="Arial" w:hAnsi="Arial" w:cs="Arial"/>
          <w:sz w:val="20"/>
          <w:szCs w:val="20"/>
        </w:rPr>
        <w:t xml:space="preserve"> the fund</w:t>
      </w:r>
      <w:r w:rsidR="00556175">
        <w:rPr>
          <w:rFonts w:ascii="Arial" w:hAnsi="Arial" w:cs="Arial"/>
          <w:sz w:val="20"/>
          <w:szCs w:val="20"/>
        </w:rPr>
        <w:t xml:space="preserve"> </w:t>
      </w:r>
      <w:r w:rsidR="00E11EA6">
        <w:rPr>
          <w:rFonts w:ascii="Arial" w:hAnsi="Arial" w:cs="Arial"/>
          <w:sz w:val="20"/>
          <w:szCs w:val="20"/>
        </w:rPr>
        <w:t>is expected to</w:t>
      </w:r>
      <w:r w:rsidR="00E11EA6" w:rsidRPr="00A45D4D">
        <w:rPr>
          <w:rFonts w:ascii="Arial" w:hAnsi="Arial" w:cs="Arial"/>
          <w:sz w:val="20"/>
          <w:szCs w:val="20"/>
        </w:rPr>
        <w:t xml:space="preserve"> </w:t>
      </w:r>
      <w:r w:rsidR="00556175" w:rsidRPr="00A45D4D">
        <w:rPr>
          <w:rFonts w:ascii="Arial" w:hAnsi="Arial" w:cs="Arial"/>
          <w:sz w:val="20"/>
          <w:szCs w:val="20"/>
        </w:rPr>
        <w:t xml:space="preserve">begin trading under its new name on </w:t>
      </w:r>
      <w:r w:rsidR="005C7BAA">
        <w:rPr>
          <w:rFonts w:ascii="Arial" w:hAnsi="Arial" w:cs="Arial"/>
          <w:sz w:val="20"/>
          <w:szCs w:val="20"/>
        </w:rPr>
        <w:t>July 1</w:t>
      </w:r>
      <w:r w:rsidR="00556175" w:rsidRPr="00697F09">
        <w:rPr>
          <w:rFonts w:ascii="Arial" w:hAnsi="Arial" w:cs="Arial"/>
          <w:sz w:val="20"/>
          <w:szCs w:val="20"/>
        </w:rPr>
        <w:t>, 2021</w:t>
      </w:r>
      <w:r w:rsidR="007D2596">
        <w:rPr>
          <w:rFonts w:ascii="Arial" w:hAnsi="Arial" w:cs="Arial"/>
          <w:sz w:val="20"/>
          <w:szCs w:val="20"/>
        </w:rPr>
        <w:t xml:space="preserve">. It </w:t>
      </w:r>
      <w:r w:rsidR="00556175" w:rsidRPr="00A45D4D">
        <w:rPr>
          <w:rFonts w:ascii="Arial" w:hAnsi="Arial" w:cs="Arial"/>
          <w:sz w:val="20"/>
          <w:szCs w:val="20"/>
        </w:rPr>
        <w:t>will continue to trade</w:t>
      </w:r>
      <w:r w:rsidR="00556175">
        <w:rPr>
          <w:rFonts w:ascii="Arial" w:hAnsi="Arial" w:cs="Arial"/>
          <w:sz w:val="20"/>
          <w:szCs w:val="20"/>
        </w:rPr>
        <w:t xml:space="preserve"> </w:t>
      </w:r>
      <w:r w:rsidR="00556175" w:rsidRPr="00A45D4D">
        <w:rPr>
          <w:rFonts w:ascii="Arial" w:hAnsi="Arial" w:cs="Arial"/>
          <w:sz w:val="20"/>
          <w:szCs w:val="20"/>
        </w:rPr>
        <w:t xml:space="preserve">on the New York Stock Exchange (“NYSE”) under the </w:t>
      </w:r>
      <w:r w:rsidR="00A81D6D">
        <w:rPr>
          <w:rFonts w:ascii="Arial" w:hAnsi="Arial" w:cs="Arial"/>
          <w:sz w:val="20"/>
          <w:szCs w:val="20"/>
        </w:rPr>
        <w:t xml:space="preserve">current </w:t>
      </w:r>
      <w:r w:rsidR="00556175" w:rsidRPr="00A45D4D">
        <w:rPr>
          <w:rFonts w:ascii="Arial" w:hAnsi="Arial" w:cs="Arial"/>
          <w:sz w:val="20"/>
          <w:szCs w:val="20"/>
        </w:rPr>
        <w:t xml:space="preserve">ticker symbol </w:t>
      </w:r>
      <w:r w:rsidR="00556175">
        <w:rPr>
          <w:rFonts w:ascii="Arial" w:hAnsi="Arial" w:cs="Arial"/>
          <w:sz w:val="20"/>
          <w:szCs w:val="20"/>
        </w:rPr>
        <w:t>TEAF</w:t>
      </w:r>
      <w:r w:rsidR="00D149AD">
        <w:rPr>
          <w:rFonts w:ascii="Arial" w:hAnsi="Arial" w:cs="Arial"/>
          <w:sz w:val="20"/>
          <w:szCs w:val="20"/>
        </w:rPr>
        <w:t xml:space="preserve"> and </w:t>
      </w:r>
      <w:r w:rsidR="00556175">
        <w:rPr>
          <w:rFonts w:ascii="Arial" w:hAnsi="Arial" w:cs="Arial"/>
          <w:sz w:val="20"/>
          <w:szCs w:val="20"/>
        </w:rPr>
        <w:t xml:space="preserve">new </w:t>
      </w:r>
      <w:r w:rsidR="00D149AD">
        <w:rPr>
          <w:rFonts w:ascii="Arial" w:hAnsi="Arial" w:cs="Arial"/>
          <w:sz w:val="20"/>
          <w:szCs w:val="20"/>
        </w:rPr>
        <w:t>CUSIP</w:t>
      </w:r>
      <w:r w:rsidR="00556175">
        <w:rPr>
          <w:rFonts w:ascii="Arial" w:hAnsi="Arial" w:cs="Arial"/>
          <w:sz w:val="20"/>
          <w:szCs w:val="20"/>
        </w:rPr>
        <w:t>:</w:t>
      </w:r>
      <w:r w:rsidR="00362946" w:rsidRPr="00362946">
        <w:rPr>
          <w:rFonts w:ascii="Arial" w:hAnsi="Arial" w:cs="Arial"/>
          <w:sz w:val="20"/>
          <w:szCs w:val="20"/>
        </w:rPr>
        <w:t xml:space="preserve"> </w:t>
      </w:r>
      <w:r w:rsidR="00362946">
        <w:rPr>
          <w:rFonts w:ascii="Arial" w:hAnsi="Arial" w:cs="Arial"/>
          <w:sz w:val="20"/>
          <w:szCs w:val="20"/>
        </w:rPr>
        <w:t>27901F109</w:t>
      </w:r>
      <w:r w:rsidR="00D149AD">
        <w:rPr>
          <w:rFonts w:ascii="Arial" w:hAnsi="Arial" w:cs="Arial"/>
          <w:sz w:val="20"/>
          <w:szCs w:val="20"/>
        </w:rPr>
        <w:t>.</w:t>
      </w:r>
    </w:p>
    <w:p w14:paraId="2528C277" w14:textId="77777777" w:rsidR="00D81145" w:rsidRDefault="00D81145" w:rsidP="00AC725B">
      <w:pPr>
        <w:autoSpaceDE w:val="0"/>
        <w:autoSpaceDN w:val="0"/>
        <w:adjustRightInd w:val="0"/>
        <w:rPr>
          <w:rFonts w:ascii="Arial" w:hAnsi="Arial" w:cs="Arial"/>
          <w:sz w:val="20"/>
          <w:szCs w:val="20"/>
        </w:rPr>
      </w:pPr>
    </w:p>
    <w:p w14:paraId="5E988FB8" w14:textId="6E026650" w:rsidR="00827F8D" w:rsidRDefault="00827F8D" w:rsidP="00827F8D">
      <w:pPr>
        <w:rPr>
          <w:rFonts w:ascii="Arial" w:hAnsi="Arial" w:cs="Arial"/>
          <w:sz w:val="20"/>
          <w:szCs w:val="20"/>
        </w:rPr>
      </w:pPr>
      <w:r>
        <w:rPr>
          <w:rFonts w:ascii="Arial" w:hAnsi="Arial" w:cs="Arial"/>
          <w:sz w:val="20"/>
          <w:szCs w:val="20"/>
        </w:rPr>
        <w:t>“</w:t>
      </w:r>
      <w:r w:rsidR="00AF3F70" w:rsidRPr="00AF3F70">
        <w:rPr>
          <w:rFonts w:ascii="Arial" w:hAnsi="Arial" w:cs="Arial"/>
          <w:sz w:val="20"/>
          <w:szCs w:val="20"/>
        </w:rPr>
        <w:t>With the growth of renewables and</w:t>
      </w:r>
      <w:r w:rsidR="00AF3F70">
        <w:rPr>
          <w:rFonts w:ascii="Arial" w:hAnsi="Arial" w:cs="Arial"/>
          <w:sz w:val="20"/>
          <w:szCs w:val="20"/>
        </w:rPr>
        <w:t xml:space="preserve"> increased</w:t>
      </w:r>
      <w:r w:rsidR="00AF3F70" w:rsidRPr="00AF3F70">
        <w:rPr>
          <w:rFonts w:ascii="Arial" w:hAnsi="Arial" w:cs="Arial"/>
          <w:sz w:val="20"/>
          <w:szCs w:val="20"/>
        </w:rPr>
        <w:t xml:space="preserve"> focus on impact </w:t>
      </w:r>
      <w:r w:rsidR="0007444D">
        <w:rPr>
          <w:rFonts w:ascii="Arial" w:hAnsi="Arial" w:cs="Arial"/>
          <w:sz w:val="20"/>
          <w:szCs w:val="20"/>
        </w:rPr>
        <w:t xml:space="preserve">and ESG </w:t>
      </w:r>
      <w:r w:rsidR="00AF3F70" w:rsidRPr="00AF3F70">
        <w:rPr>
          <w:rFonts w:ascii="Arial" w:hAnsi="Arial" w:cs="Arial"/>
          <w:sz w:val="20"/>
          <w:szCs w:val="20"/>
        </w:rPr>
        <w:t>investing, we</w:t>
      </w:r>
      <w:r w:rsidR="00D149AD">
        <w:rPr>
          <w:rFonts w:ascii="Arial" w:hAnsi="Arial" w:cs="Arial"/>
          <w:sz w:val="20"/>
          <w:szCs w:val="20"/>
        </w:rPr>
        <w:t xml:space="preserve"> </w:t>
      </w:r>
      <w:r w:rsidR="00A81D6D">
        <w:rPr>
          <w:rFonts w:ascii="Arial" w:hAnsi="Arial" w:cs="Arial"/>
          <w:sz w:val="20"/>
          <w:szCs w:val="20"/>
        </w:rPr>
        <w:t xml:space="preserve">feel we can </w:t>
      </w:r>
      <w:r w:rsidR="00D5697D">
        <w:rPr>
          <w:rFonts w:ascii="Arial" w:hAnsi="Arial" w:cs="Arial"/>
          <w:sz w:val="20"/>
          <w:szCs w:val="20"/>
        </w:rPr>
        <w:t>best meet</w:t>
      </w:r>
      <w:r w:rsidR="00A81D6D">
        <w:rPr>
          <w:rFonts w:ascii="Arial" w:hAnsi="Arial" w:cs="Arial"/>
          <w:sz w:val="20"/>
          <w:szCs w:val="20"/>
        </w:rPr>
        <w:t xml:space="preserve"> </w:t>
      </w:r>
      <w:r w:rsidR="00B36EAE">
        <w:rPr>
          <w:rFonts w:ascii="Arial" w:hAnsi="Arial" w:cs="Arial"/>
          <w:sz w:val="20"/>
          <w:szCs w:val="20"/>
        </w:rPr>
        <w:t>our</w:t>
      </w:r>
      <w:r w:rsidR="00A81D6D">
        <w:rPr>
          <w:rFonts w:ascii="Arial" w:hAnsi="Arial" w:cs="Arial"/>
          <w:sz w:val="20"/>
          <w:szCs w:val="20"/>
        </w:rPr>
        <w:t xml:space="preserve"> long-term objectives </w:t>
      </w:r>
      <w:r w:rsidR="00B36EAE">
        <w:rPr>
          <w:rFonts w:ascii="Arial" w:hAnsi="Arial" w:cs="Arial"/>
          <w:sz w:val="20"/>
          <w:szCs w:val="20"/>
        </w:rPr>
        <w:t xml:space="preserve">and </w:t>
      </w:r>
      <w:r w:rsidR="00A81D6D">
        <w:rPr>
          <w:rFonts w:ascii="Arial" w:hAnsi="Arial" w:cs="Arial"/>
          <w:sz w:val="20"/>
          <w:szCs w:val="20"/>
        </w:rPr>
        <w:t xml:space="preserve">enhance the portfolio </w:t>
      </w:r>
      <w:r w:rsidR="00B36EAE">
        <w:rPr>
          <w:rFonts w:ascii="Arial" w:hAnsi="Arial" w:cs="Arial"/>
          <w:sz w:val="20"/>
          <w:szCs w:val="20"/>
        </w:rPr>
        <w:t xml:space="preserve">by </w:t>
      </w:r>
      <w:r w:rsidR="007D2596">
        <w:rPr>
          <w:rFonts w:ascii="Arial" w:hAnsi="Arial" w:cs="Arial"/>
          <w:sz w:val="20"/>
          <w:szCs w:val="20"/>
        </w:rPr>
        <w:t>aiming</w:t>
      </w:r>
      <w:r w:rsidR="00B36EAE">
        <w:rPr>
          <w:rFonts w:ascii="Arial" w:hAnsi="Arial" w:cs="Arial"/>
          <w:sz w:val="20"/>
          <w:szCs w:val="20"/>
        </w:rPr>
        <w:t xml:space="preserve"> to take advantage</w:t>
      </w:r>
      <w:r w:rsidR="00A81D6D">
        <w:rPr>
          <w:rFonts w:ascii="Arial" w:hAnsi="Arial" w:cs="Arial"/>
          <w:sz w:val="20"/>
          <w:szCs w:val="20"/>
        </w:rPr>
        <w:t xml:space="preserve"> </w:t>
      </w:r>
      <w:r w:rsidR="00AF3F70" w:rsidRPr="00AF3F70">
        <w:rPr>
          <w:rFonts w:ascii="Arial" w:hAnsi="Arial" w:cs="Arial"/>
          <w:sz w:val="20"/>
          <w:szCs w:val="20"/>
        </w:rPr>
        <w:t>of these secular shifts in the market</w:t>
      </w:r>
      <w:r w:rsidR="004C76D4">
        <w:rPr>
          <w:rFonts w:ascii="Arial" w:hAnsi="Arial" w:cs="Arial"/>
          <w:sz w:val="20"/>
          <w:szCs w:val="20"/>
        </w:rPr>
        <w:t>.</w:t>
      </w:r>
      <w:r w:rsidR="001466B9">
        <w:rPr>
          <w:rFonts w:ascii="Arial" w:hAnsi="Arial" w:cs="Arial"/>
          <w:sz w:val="20"/>
          <w:szCs w:val="20"/>
        </w:rPr>
        <w:t xml:space="preserve"> </w:t>
      </w:r>
      <w:r w:rsidR="00BE2874">
        <w:rPr>
          <w:rFonts w:ascii="Arial" w:hAnsi="Arial" w:cs="Arial"/>
          <w:sz w:val="20"/>
          <w:szCs w:val="20"/>
        </w:rPr>
        <w:t>Participating in this sustainability</w:t>
      </w:r>
      <w:r w:rsidR="001466B9">
        <w:rPr>
          <w:rFonts w:ascii="Arial" w:hAnsi="Arial" w:cs="Arial"/>
          <w:sz w:val="20"/>
          <w:szCs w:val="20"/>
        </w:rPr>
        <w:t xml:space="preserve"> </w:t>
      </w:r>
      <w:r w:rsidR="00162C83">
        <w:rPr>
          <w:rFonts w:ascii="Arial" w:hAnsi="Arial" w:cs="Arial"/>
          <w:sz w:val="20"/>
          <w:szCs w:val="20"/>
        </w:rPr>
        <w:t>r</w:t>
      </w:r>
      <w:r w:rsidR="001466B9">
        <w:rPr>
          <w:rFonts w:ascii="Arial" w:hAnsi="Arial" w:cs="Arial"/>
          <w:sz w:val="20"/>
          <w:szCs w:val="20"/>
        </w:rPr>
        <w:t>evolution</w:t>
      </w:r>
      <w:r w:rsidR="00BE2874">
        <w:rPr>
          <w:rFonts w:ascii="Arial" w:hAnsi="Arial" w:cs="Arial"/>
          <w:sz w:val="20"/>
          <w:szCs w:val="20"/>
        </w:rPr>
        <w:t xml:space="preserve"> provide</w:t>
      </w:r>
      <w:r w:rsidR="00EC42CE">
        <w:rPr>
          <w:rFonts w:ascii="Arial" w:hAnsi="Arial" w:cs="Arial"/>
          <w:sz w:val="20"/>
          <w:szCs w:val="20"/>
        </w:rPr>
        <w:t>s the potential for</w:t>
      </w:r>
      <w:r w:rsidR="00BE2874">
        <w:rPr>
          <w:rFonts w:ascii="Arial" w:hAnsi="Arial" w:cs="Arial"/>
          <w:sz w:val="20"/>
          <w:szCs w:val="20"/>
        </w:rPr>
        <w:t xml:space="preserve"> returns to our clients</w:t>
      </w:r>
      <w:r w:rsidR="00162C83">
        <w:rPr>
          <w:rFonts w:ascii="Arial" w:hAnsi="Arial" w:cs="Arial"/>
          <w:sz w:val="20"/>
          <w:szCs w:val="20"/>
        </w:rPr>
        <w:t xml:space="preserve"> while</w:t>
      </w:r>
      <w:r w:rsidR="001466B9">
        <w:rPr>
          <w:rFonts w:ascii="Arial" w:hAnsi="Arial" w:cs="Arial"/>
          <w:sz w:val="20"/>
          <w:szCs w:val="20"/>
        </w:rPr>
        <w:t xml:space="preserve"> </w:t>
      </w:r>
      <w:r w:rsidR="00162C83" w:rsidRPr="00162C83">
        <w:rPr>
          <w:rFonts w:ascii="Arial" w:hAnsi="Arial" w:cs="Arial"/>
          <w:sz w:val="20"/>
          <w:szCs w:val="20"/>
        </w:rPr>
        <w:t>addressing</w:t>
      </w:r>
      <w:r w:rsidR="004C76D4" w:rsidRPr="00162C83">
        <w:rPr>
          <w:rFonts w:ascii="Arial" w:hAnsi="Arial" w:cs="Arial"/>
          <w:sz w:val="20"/>
          <w:szCs w:val="20"/>
        </w:rPr>
        <w:t xml:space="preserve"> some of the </w:t>
      </w:r>
      <w:r w:rsidR="00162C83" w:rsidRPr="00162C83">
        <w:rPr>
          <w:rFonts w:ascii="Arial" w:hAnsi="Arial" w:cs="Arial"/>
          <w:sz w:val="20"/>
          <w:szCs w:val="20"/>
        </w:rPr>
        <w:t>world’s major</w:t>
      </w:r>
      <w:r w:rsidR="004C76D4" w:rsidRPr="00162C83">
        <w:rPr>
          <w:rFonts w:ascii="Arial" w:hAnsi="Arial" w:cs="Arial"/>
          <w:sz w:val="20"/>
          <w:szCs w:val="20"/>
        </w:rPr>
        <w:t xml:space="preserve"> challenges by investing in companies </w:t>
      </w:r>
      <w:r w:rsidR="00EC42CE">
        <w:rPr>
          <w:rFonts w:ascii="Arial" w:hAnsi="Arial" w:cs="Arial"/>
          <w:sz w:val="20"/>
          <w:szCs w:val="20"/>
        </w:rPr>
        <w:t xml:space="preserve">that have been </w:t>
      </w:r>
      <w:r w:rsidR="004C76D4" w:rsidRPr="00162C83">
        <w:rPr>
          <w:rFonts w:ascii="Arial" w:hAnsi="Arial" w:cs="Arial"/>
          <w:sz w:val="20"/>
          <w:szCs w:val="20"/>
        </w:rPr>
        <w:t>earning solid returns and doing business in ethical and responsible ways</w:t>
      </w:r>
      <w:r>
        <w:rPr>
          <w:rFonts w:ascii="Arial" w:hAnsi="Arial" w:cs="Arial"/>
          <w:sz w:val="20"/>
          <w:szCs w:val="20"/>
        </w:rPr>
        <w:t xml:space="preserve">,” said </w:t>
      </w:r>
      <w:r w:rsidR="00AF3F70">
        <w:rPr>
          <w:rFonts w:ascii="Arial" w:hAnsi="Arial" w:cs="Arial"/>
          <w:sz w:val="20"/>
          <w:szCs w:val="20"/>
        </w:rPr>
        <w:t>Nick Holmes, Portfolio Manager</w:t>
      </w:r>
      <w:r w:rsidRPr="00DB4727">
        <w:rPr>
          <w:rFonts w:ascii="Arial" w:hAnsi="Arial" w:cs="Arial"/>
          <w:sz w:val="20"/>
          <w:szCs w:val="20"/>
        </w:rPr>
        <w:t xml:space="preserve">. </w:t>
      </w:r>
      <w:r>
        <w:rPr>
          <w:rFonts w:ascii="Arial" w:hAnsi="Arial" w:cs="Arial"/>
          <w:sz w:val="20"/>
          <w:szCs w:val="20"/>
        </w:rPr>
        <w:t>“</w:t>
      </w:r>
      <w:r w:rsidR="00AF3F70">
        <w:rPr>
          <w:rFonts w:ascii="Arial" w:hAnsi="Arial" w:cs="Arial"/>
          <w:sz w:val="20"/>
          <w:szCs w:val="20"/>
        </w:rPr>
        <w:t>Listed energy infrastructure was a significant allocation at the launch of the fund as we ramped up the private deals in the portfolio</w:t>
      </w:r>
      <w:r w:rsidR="00BC1E77">
        <w:rPr>
          <w:rFonts w:ascii="Arial" w:hAnsi="Arial" w:cs="Arial"/>
          <w:sz w:val="20"/>
          <w:szCs w:val="20"/>
        </w:rPr>
        <w:t>, and now</w:t>
      </w:r>
      <w:r w:rsidR="00BC1E77" w:rsidDel="00BC1E77">
        <w:rPr>
          <w:rFonts w:ascii="Arial" w:hAnsi="Arial" w:cs="Arial"/>
          <w:sz w:val="20"/>
          <w:szCs w:val="20"/>
        </w:rPr>
        <w:t xml:space="preserve"> </w:t>
      </w:r>
      <w:r w:rsidR="00BC1E77">
        <w:rPr>
          <w:rFonts w:ascii="Arial" w:hAnsi="Arial" w:cs="Arial"/>
          <w:sz w:val="20"/>
          <w:szCs w:val="20"/>
        </w:rPr>
        <w:t>a</w:t>
      </w:r>
      <w:r w:rsidR="00AF3F70">
        <w:rPr>
          <w:rFonts w:ascii="Arial" w:hAnsi="Arial" w:cs="Arial"/>
          <w:sz w:val="20"/>
          <w:szCs w:val="20"/>
        </w:rPr>
        <w:t xml:space="preserve">s we near our target allocation to private investments with a robust pipeline of opportunities, we have more flexibility </w:t>
      </w:r>
      <w:r w:rsidR="00232F47">
        <w:rPr>
          <w:rFonts w:ascii="Arial" w:hAnsi="Arial" w:cs="Arial"/>
          <w:sz w:val="20"/>
          <w:szCs w:val="20"/>
        </w:rPr>
        <w:t>within</w:t>
      </w:r>
      <w:r w:rsidR="00AF3F70">
        <w:rPr>
          <w:rFonts w:ascii="Arial" w:hAnsi="Arial" w:cs="Arial"/>
          <w:sz w:val="20"/>
          <w:szCs w:val="20"/>
        </w:rPr>
        <w:t xml:space="preserve"> the portfolio.</w:t>
      </w:r>
      <w:r>
        <w:rPr>
          <w:rFonts w:ascii="Arial" w:hAnsi="Arial" w:cs="Arial"/>
          <w:sz w:val="20"/>
          <w:szCs w:val="20"/>
        </w:rPr>
        <w:t xml:space="preserve">” </w:t>
      </w:r>
    </w:p>
    <w:p w14:paraId="1DCE78A3" w14:textId="77777777" w:rsidR="00827F8D" w:rsidRDefault="00827F8D" w:rsidP="00827F8D">
      <w:pPr>
        <w:rPr>
          <w:rFonts w:ascii="Arial" w:hAnsi="Arial" w:cs="Arial"/>
          <w:sz w:val="20"/>
          <w:szCs w:val="20"/>
        </w:rPr>
      </w:pPr>
    </w:p>
    <w:p w14:paraId="42EA7F88" w14:textId="1A8DBD87" w:rsidR="00644A36" w:rsidRDefault="00D5697D" w:rsidP="00AB70EF">
      <w:pPr>
        <w:autoSpaceDE w:val="0"/>
        <w:autoSpaceDN w:val="0"/>
        <w:adjustRightInd w:val="0"/>
        <w:rPr>
          <w:rFonts w:ascii="Arial" w:hAnsi="Arial" w:cs="Arial"/>
          <w:sz w:val="20"/>
          <w:szCs w:val="20"/>
        </w:rPr>
      </w:pPr>
      <w:r>
        <w:rPr>
          <w:rFonts w:ascii="Arial" w:hAnsi="Arial" w:cs="Arial"/>
          <w:sz w:val="20"/>
          <w:szCs w:val="20"/>
        </w:rPr>
        <w:t xml:space="preserve">The </w:t>
      </w:r>
      <w:r w:rsidR="004B05EB">
        <w:rPr>
          <w:rFonts w:ascii="Arial" w:hAnsi="Arial" w:cs="Arial"/>
          <w:sz w:val="20"/>
          <w:szCs w:val="20"/>
        </w:rPr>
        <w:t xml:space="preserve">allocations shown below </w:t>
      </w:r>
      <w:r>
        <w:rPr>
          <w:rFonts w:ascii="Arial" w:hAnsi="Arial" w:cs="Arial"/>
          <w:sz w:val="20"/>
          <w:szCs w:val="20"/>
        </w:rPr>
        <w:t xml:space="preserve">are intended to provide a depiction of how the portfolio has transitioned over the last five months. </w:t>
      </w:r>
    </w:p>
    <w:p w14:paraId="37CF10C6" w14:textId="77777777" w:rsidR="00B46768" w:rsidRDefault="00B46768" w:rsidP="00AB70EF">
      <w:pPr>
        <w:autoSpaceDE w:val="0"/>
        <w:autoSpaceDN w:val="0"/>
        <w:adjustRightInd w:val="0"/>
        <w:rPr>
          <w:rFonts w:ascii="Arial" w:hAnsi="Arial" w:cs="Arial"/>
          <w:sz w:val="20"/>
          <w:szCs w:val="20"/>
        </w:rPr>
      </w:pPr>
    </w:p>
    <w:tbl>
      <w:tblPr>
        <w:tblW w:w="7830" w:type="dxa"/>
        <w:tblLook w:val="04A0" w:firstRow="1" w:lastRow="0" w:firstColumn="1" w:lastColumn="0" w:noHBand="0" w:noVBand="1"/>
      </w:tblPr>
      <w:tblGrid>
        <w:gridCol w:w="2970"/>
        <w:gridCol w:w="1350"/>
        <w:gridCol w:w="270"/>
        <w:gridCol w:w="1533"/>
        <w:gridCol w:w="267"/>
        <w:gridCol w:w="1440"/>
      </w:tblGrid>
      <w:tr w:rsidR="00DA4743" w:rsidRPr="00A759E8" w14:paraId="559B135F" w14:textId="076AAC13" w:rsidTr="00D5697D">
        <w:trPr>
          <w:trHeight w:val="308"/>
        </w:trPr>
        <w:tc>
          <w:tcPr>
            <w:tcW w:w="2970" w:type="dxa"/>
            <w:shd w:val="clear" w:color="auto" w:fill="auto"/>
            <w:vAlign w:val="center"/>
          </w:tcPr>
          <w:p w14:paraId="2DA3C2D0" w14:textId="77777777" w:rsidR="00DA4743" w:rsidRDefault="00DA4743" w:rsidP="00DA4743">
            <w:pPr>
              <w:suppressAutoHyphens/>
              <w:autoSpaceDE w:val="0"/>
              <w:autoSpaceDN w:val="0"/>
              <w:adjustRightInd w:val="0"/>
              <w:jc w:val="center"/>
              <w:rPr>
                <w:rFonts w:ascii="Arial" w:hAnsi="Arial" w:cs="Arial"/>
                <w:sz w:val="20"/>
                <w:szCs w:val="20"/>
              </w:rPr>
            </w:pPr>
          </w:p>
        </w:tc>
        <w:tc>
          <w:tcPr>
            <w:tcW w:w="1350" w:type="dxa"/>
            <w:tcBorders>
              <w:bottom w:val="single" w:sz="4" w:space="0" w:color="auto"/>
            </w:tcBorders>
            <w:shd w:val="clear" w:color="auto" w:fill="auto"/>
            <w:vAlign w:val="center"/>
          </w:tcPr>
          <w:p w14:paraId="7E7580BF" w14:textId="31C85F2F" w:rsidR="00DA4743" w:rsidRPr="00AE2D77" w:rsidRDefault="00DA4743" w:rsidP="00DA4743">
            <w:pPr>
              <w:suppressAutoHyphens/>
              <w:autoSpaceDE w:val="0"/>
              <w:autoSpaceDN w:val="0"/>
              <w:adjustRightInd w:val="0"/>
              <w:jc w:val="center"/>
              <w:rPr>
                <w:rFonts w:ascii="Arial" w:hAnsi="Arial" w:cs="Arial"/>
                <w:b/>
                <w:bCs/>
                <w:sz w:val="20"/>
                <w:szCs w:val="20"/>
              </w:rPr>
            </w:pPr>
            <w:r w:rsidRPr="00AE2D77">
              <w:rPr>
                <w:rFonts w:ascii="Arial" w:hAnsi="Arial" w:cs="Arial"/>
                <w:b/>
                <w:bCs/>
                <w:sz w:val="20"/>
                <w:szCs w:val="20"/>
              </w:rPr>
              <w:t>1</w:t>
            </w:r>
            <w:r>
              <w:rPr>
                <w:rFonts w:ascii="Arial" w:hAnsi="Arial" w:cs="Arial"/>
                <w:b/>
                <w:bCs/>
                <w:sz w:val="20"/>
                <w:szCs w:val="20"/>
              </w:rPr>
              <w:t>2</w:t>
            </w:r>
            <w:r w:rsidRPr="00AE2D77">
              <w:rPr>
                <w:rFonts w:ascii="Arial" w:hAnsi="Arial" w:cs="Arial"/>
                <w:b/>
                <w:bCs/>
                <w:sz w:val="20"/>
                <w:szCs w:val="20"/>
              </w:rPr>
              <w:t>/31/2020 Portfolio</w:t>
            </w:r>
          </w:p>
        </w:tc>
        <w:tc>
          <w:tcPr>
            <w:tcW w:w="270" w:type="dxa"/>
            <w:shd w:val="clear" w:color="auto" w:fill="auto"/>
            <w:vAlign w:val="center"/>
          </w:tcPr>
          <w:p w14:paraId="7CD92D43" w14:textId="77777777" w:rsidR="00DA4743" w:rsidRPr="00AE2D77" w:rsidRDefault="00DA4743" w:rsidP="00DA4743">
            <w:pPr>
              <w:suppressAutoHyphens/>
              <w:autoSpaceDE w:val="0"/>
              <w:autoSpaceDN w:val="0"/>
              <w:adjustRightInd w:val="0"/>
              <w:jc w:val="center"/>
              <w:rPr>
                <w:rFonts w:ascii="Arial" w:hAnsi="Arial" w:cs="Arial"/>
                <w:b/>
                <w:bCs/>
                <w:sz w:val="20"/>
                <w:szCs w:val="20"/>
              </w:rPr>
            </w:pPr>
          </w:p>
        </w:tc>
        <w:tc>
          <w:tcPr>
            <w:tcW w:w="1533" w:type="dxa"/>
            <w:tcBorders>
              <w:bottom w:val="single" w:sz="4" w:space="0" w:color="auto"/>
            </w:tcBorders>
            <w:vAlign w:val="center"/>
          </w:tcPr>
          <w:p w14:paraId="4A7DC27D" w14:textId="24293893" w:rsidR="00DA4743" w:rsidRPr="00AE2D77" w:rsidRDefault="00D5697D" w:rsidP="00DA4743">
            <w:pPr>
              <w:suppressAutoHyphens/>
              <w:autoSpaceDE w:val="0"/>
              <w:autoSpaceDN w:val="0"/>
              <w:adjustRightInd w:val="0"/>
              <w:jc w:val="center"/>
              <w:rPr>
                <w:rFonts w:ascii="Arial" w:hAnsi="Arial" w:cs="Arial"/>
                <w:b/>
                <w:bCs/>
                <w:sz w:val="20"/>
                <w:szCs w:val="20"/>
              </w:rPr>
            </w:pPr>
            <w:r w:rsidRPr="006F1425">
              <w:rPr>
                <w:rFonts w:ascii="Arial" w:hAnsi="Arial" w:cs="Arial"/>
                <w:b/>
                <w:bCs/>
                <w:sz w:val="20"/>
                <w:szCs w:val="20"/>
              </w:rPr>
              <w:t>5/31/</w:t>
            </w:r>
            <w:r>
              <w:rPr>
                <w:rFonts w:ascii="Arial" w:hAnsi="Arial" w:cs="Arial"/>
                <w:b/>
                <w:bCs/>
                <w:sz w:val="20"/>
                <w:szCs w:val="20"/>
              </w:rPr>
              <w:t>2021</w:t>
            </w:r>
            <w:r w:rsidRPr="00AE2D77">
              <w:rPr>
                <w:rFonts w:ascii="Arial" w:hAnsi="Arial" w:cs="Arial"/>
                <w:b/>
                <w:bCs/>
                <w:sz w:val="20"/>
                <w:szCs w:val="20"/>
              </w:rPr>
              <w:t xml:space="preserve"> </w:t>
            </w:r>
            <w:r w:rsidR="00DA4743" w:rsidRPr="00AE2D77">
              <w:rPr>
                <w:rFonts w:ascii="Arial" w:hAnsi="Arial" w:cs="Arial"/>
                <w:b/>
                <w:bCs/>
                <w:sz w:val="20"/>
                <w:szCs w:val="20"/>
              </w:rPr>
              <w:t>Portfolio</w:t>
            </w:r>
          </w:p>
        </w:tc>
        <w:tc>
          <w:tcPr>
            <w:tcW w:w="267" w:type="dxa"/>
            <w:vAlign w:val="center"/>
          </w:tcPr>
          <w:p w14:paraId="5E30778F" w14:textId="048B7C54" w:rsidR="00DA4743" w:rsidRPr="00AE2D77" w:rsidRDefault="00DA4743" w:rsidP="00DA4743">
            <w:pPr>
              <w:suppressAutoHyphens/>
              <w:autoSpaceDE w:val="0"/>
              <w:autoSpaceDN w:val="0"/>
              <w:adjustRightInd w:val="0"/>
              <w:jc w:val="center"/>
              <w:rPr>
                <w:rFonts w:ascii="Arial" w:hAnsi="Arial" w:cs="Arial"/>
                <w:b/>
                <w:bCs/>
                <w:sz w:val="20"/>
                <w:szCs w:val="20"/>
              </w:rPr>
            </w:pPr>
          </w:p>
        </w:tc>
        <w:tc>
          <w:tcPr>
            <w:tcW w:w="1440" w:type="dxa"/>
            <w:tcBorders>
              <w:bottom w:val="single" w:sz="4" w:space="0" w:color="auto"/>
            </w:tcBorders>
            <w:vAlign w:val="center"/>
          </w:tcPr>
          <w:p w14:paraId="1B870ACC" w14:textId="5AE896B4" w:rsidR="00DA4743" w:rsidRPr="00AE2D77" w:rsidRDefault="00DA4743" w:rsidP="00DA4743">
            <w:pPr>
              <w:suppressAutoHyphens/>
              <w:autoSpaceDE w:val="0"/>
              <w:autoSpaceDN w:val="0"/>
              <w:adjustRightInd w:val="0"/>
              <w:jc w:val="center"/>
              <w:rPr>
                <w:rFonts w:ascii="Arial" w:hAnsi="Arial" w:cs="Arial"/>
                <w:b/>
                <w:bCs/>
                <w:sz w:val="20"/>
                <w:szCs w:val="20"/>
              </w:rPr>
            </w:pPr>
            <w:r w:rsidRPr="00AE2D77">
              <w:rPr>
                <w:rFonts w:ascii="Arial" w:hAnsi="Arial" w:cs="Arial"/>
                <w:b/>
                <w:bCs/>
                <w:sz w:val="20"/>
                <w:szCs w:val="20"/>
              </w:rPr>
              <w:t>Target Portfolio</w:t>
            </w:r>
          </w:p>
        </w:tc>
      </w:tr>
      <w:tr w:rsidR="00DA4743" w:rsidRPr="00A759E8" w14:paraId="4ECF7BA3" w14:textId="252F6F75" w:rsidTr="00D5697D">
        <w:trPr>
          <w:trHeight w:val="308"/>
        </w:trPr>
        <w:tc>
          <w:tcPr>
            <w:tcW w:w="2970" w:type="dxa"/>
            <w:shd w:val="clear" w:color="auto" w:fill="auto"/>
            <w:vAlign w:val="center"/>
          </w:tcPr>
          <w:p w14:paraId="7C574D45" w14:textId="451315DB" w:rsidR="00DA4743" w:rsidRPr="00C826E5" w:rsidRDefault="00DA4743" w:rsidP="00DA4743">
            <w:pPr>
              <w:suppressAutoHyphens/>
              <w:autoSpaceDE w:val="0"/>
              <w:autoSpaceDN w:val="0"/>
              <w:adjustRightInd w:val="0"/>
              <w:rPr>
                <w:rFonts w:ascii="Arial" w:hAnsi="Arial" w:cs="Arial"/>
                <w:sz w:val="20"/>
                <w:szCs w:val="20"/>
              </w:rPr>
            </w:pPr>
            <w:r>
              <w:rPr>
                <w:rFonts w:ascii="Arial" w:hAnsi="Arial" w:cs="Arial"/>
                <w:sz w:val="20"/>
                <w:szCs w:val="20"/>
              </w:rPr>
              <w:t>Sustainable infrastructure</w:t>
            </w:r>
          </w:p>
        </w:tc>
        <w:tc>
          <w:tcPr>
            <w:tcW w:w="1350" w:type="dxa"/>
            <w:tcBorders>
              <w:top w:val="single" w:sz="4" w:space="0" w:color="auto"/>
            </w:tcBorders>
            <w:shd w:val="clear" w:color="auto" w:fill="auto"/>
            <w:vAlign w:val="center"/>
          </w:tcPr>
          <w:p w14:paraId="3C3C4F4C" w14:textId="5F7930D4" w:rsidR="00DA4743" w:rsidRPr="00C826E5" w:rsidRDefault="00DA4743" w:rsidP="00DA4743">
            <w:pPr>
              <w:suppressAutoHyphens/>
              <w:autoSpaceDE w:val="0"/>
              <w:autoSpaceDN w:val="0"/>
              <w:adjustRightInd w:val="0"/>
              <w:jc w:val="center"/>
              <w:rPr>
                <w:rFonts w:ascii="Arial" w:hAnsi="Arial" w:cs="Arial"/>
                <w:sz w:val="20"/>
                <w:szCs w:val="20"/>
              </w:rPr>
            </w:pPr>
            <w:r>
              <w:rPr>
                <w:rFonts w:ascii="Arial" w:hAnsi="Arial" w:cs="Arial"/>
                <w:sz w:val="20"/>
                <w:szCs w:val="20"/>
              </w:rPr>
              <w:t>58%</w:t>
            </w:r>
          </w:p>
        </w:tc>
        <w:tc>
          <w:tcPr>
            <w:tcW w:w="270" w:type="dxa"/>
            <w:shd w:val="clear" w:color="auto" w:fill="auto"/>
            <w:vAlign w:val="center"/>
          </w:tcPr>
          <w:p w14:paraId="70BAF17F" w14:textId="5F139ED6" w:rsidR="00DA4743" w:rsidRPr="009263E6" w:rsidRDefault="00DA4743" w:rsidP="00DA4743">
            <w:pPr>
              <w:suppressAutoHyphens/>
              <w:autoSpaceDE w:val="0"/>
              <w:autoSpaceDN w:val="0"/>
              <w:adjustRightInd w:val="0"/>
              <w:jc w:val="center"/>
              <w:rPr>
                <w:rFonts w:ascii="Arial" w:hAnsi="Arial" w:cs="Arial"/>
                <w:sz w:val="20"/>
                <w:szCs w:val="20"/>
                <w:highlight w:val="yellow"/>
              </w:rPr>
            </w:pPr>
          </w:p>
        </w:tc>
        <w:tc>
          <w:tcPr>
            <w:tcW w:w="1533" w:type="dxa"/>
            <w:tcBorders>
              <w:top w:val="single" w:sz="4" w:space="0" w:color="auto"/>
            </w:tcBorders>
            <w:vAlign w:val="center"/>
          </w:tcPr>
          <w:p w14:paraId="74694545" w14:textId="5C6C2D54" w:rsidR="00DA4743" w:rsidRPr="00036F83" w:rsidRDefault="00D5697D" w:rsidP="00DA4743">
            <w:pPr>
              <w:suppressAutoHyphens/>
              <w:autoSpaceDE w:val="0"/>
              <w:autoSpaceDN w:val="0"/>
              <w:adjustRightInd w:val="0"/>
              <w:jc w:val="center"/>
              <w:rPr>
                <w:rFonts w:ascii="Arial" w:hAnsi="Arial" w:cs="Arial"/>
                <w:sz w:val="20"/>
                <w:szCs w:val="20"/>
              </w:rPr>
            </w:pPr>
            <w:r>
              <w:rPr>
                <w:rFonts w:ascii="Arial" w:hAnsi="Arial" w:cs="Arial"/>
                <w:sz w:val="20"/>
                <w:szCs w:val="20"/>
              </w:rPr>
              <w:t>6</w:t>
            </w:r>
            <w:r w:rsidR="006F1425">
              <w:rPr>
                <w:rFonts w:ascii="Arial" w:hAnsi="Arial" w:cs="Arial"/>
                <w:sz w:val="20"/>
                <w:szCs w:val="20"/>
              </w:rPr>
              <w:t>5</w:t>
            </w:r>
            <w:r w:rsidR="00DA4743">
              <w:rPr>
                <w:rFonts w:ascii="Arial" w:hAnsi="Arial" w:cs="Arial"/>
                <w:sz w:val="20"/>
                <w:szCs w:val="20"/>
              </w:rPr>
              <w:t>%</w:t>
            </w:r>
          </w:p>
        </w:tc>
        <w:tc>
          <w:tcPr>
            <w:tcW w:w="267" w:type="dxa"/>
            <w:vAlign w:val="center"/>
          </w:tcPr>
          <w:p w14:paraId="14E2D099" w14:textId="762D43A2" w:rsidR="00DA4743" w:rsidRDefault="00DA4743" w:rsidP="00DA4743">
            <w:pPr>
              <w:suppressAutoHyphens/>
              <w:autoSpaceDE w:val="0"/>
              <w:autoSpaceDN w:val="0"/>
              <w:adjustRightInd w:val="0"/>
              <w:jc w:val="center"/>
              <w:rPr>
                <w:rFonts w:ascii="Arial" w:hAnsi="Arial" w:cs="Arial"/>
                <w:sz w:val="20"/>
                <w:szCs w:val="20"/>
              </w:rPr>
            </w:pPr>
          </w:p>
        </w:tc>
        <w:tc>
          <w:tcPr>
            <w:tcW w:w="1440" w:type="dxa"/>
            <w:tcBorders>
              <w:top w:val="single" w:sz="4" w:space="0" w:color="auto"/>
            </w:tcBorders>
            <w:vAlign w:val="center"/>
          </w:tcPr>
          <w:p w14:paraId="2E7ED4C4" w14:textId="27EA5B92" w:rsidR="00DA4743" w:rsidRDefault="00DA4743" w:rsidP="00DA4743">
            <w:pPr>
              <w:suppressAutoHyphens/>
              <w:autoSpaceDE w:val="0"/>
              <w:autoSpaceDN w:val="0"/>
              <w:adjustRightInd w:val="0"/>
              <w:jc w:val="center"/>
              <w:rPr>
                <w:rFonts w:ascii="Arial" w:hAnsi="Arial" w:cs="Arial"/>
                <w:sz w:val="20"/>
                <w:szCs w:val="20"/>
              </w:rPr>
            </w:pPr>
            <w:r>
              <w:rPr>
                <w:rFonts w:ascii="Arial" w:hAnsi="Arial" w:cs="Arial"/>
                <w:sz w:val="20"/>
                <w:szCs w:val="20"/>
              </w:rPr>
              <w:t>60-65%</w:t>
            </w:r>
          </w:p>
        </w:tc>
      </w:tr>
      <w:tr w:rsidR="00DA4743" w:rsidRPr="00A759E8" w14:paraId="7460337B" w14:textId="7C79C9D3" w:rsidTr="00D5697D">
        <w:trPr>
          <w:trHeight w:val="308"/>
        </w:trPr>
        <w:tc>
          <w:tcPr>
            <w:tcW w:w="2970" w:type="dxa"/>
            <w:shd w:val="clear" w:color="auto" w:fill="auto"/>
            <w:vAlign w:val="center"/>
          </w:tcPr>
          <w:p w14:paraId="5C5375A3" w14:textId="0276D521" w:rsidR="00DA4743" w:rsidRPr="00A759E8" w:rsidRDefault="00DA4743" w:rsidP="00DA4743">
            <w:pPr>
              <w:suppressAutoHyphens/>
              <w:autoSpaceDE w:val="0"/>
              <w:autoSpaceDN w:val="0"/>
              <w:adjustRightInd w:val="0"/>
              <w:rPr>
                <w:rFonts w:ascii="Arial" w:hAnsi="Arial" w:cs="Arial"/>
                <w:sz w:val="20"/>
                <w:szCs w:val="20"/>
              </w:rPr>
            </w:pPr>
            <w:r>
              <w:rPr>
                <w:rFonts w:ascii="Arial" w:hAnsi="Arial" w:cs="Arial"/>
                <w:sz w:val="20"/>
                <w:szCs w:val="20"/>
              </w:rPr>
              <w:t>Social impact</w:t>
            </w:r>
          </w:p>
        </w:tc>
        <w:tc>
          <w:tcPr>
            <w:tcW w:w="1350" w:type="dxa"/>
            <w:shd w:val="clear" w:color="auto" w:fill="auto"/>
            <w:vAlign w:val="center"/>
          </w:tcPr>
          <w:p w14:paraId="08D4D8C4" w14:textId="1538EA99" w:rsidR="00DA4743" w:rsidRPr="00A759E8" w:rsidRDefault="005C7BAA" w:rsidP="00D5697D">
            <w:pPr>
              <w:suppressAutoHyphens/>
              <w:autoSpaceDE w:val="0"/>
              <w:autoSpaceDN w:val="0"/>
              <w:adjustRightInd w:val="0"/>
              <w:jc w:val="center"/>
              <w:rPr>
                <w:rFonts w:ascii="Arial" w:hAnsi="Arial" w:cs="Arial"/>
                <w:sz w:val="20"/>
                <w:szCs w:val="20"/>
              </w:rPr>
            </w:pPr>
            <w:r>
              <w:rPr>
                <w:rFonts w:ascii="Arial" w:hAnsi="Arial" w:cs="Arial"/>
                <w:sz w:val="20"/>
                <w:szCs w:val="20"/>
              </w:rPr>
              <w:t>18</w:t>
            </w:r>
            <w:r w:rsidR="00DA4743">
              <w:rPr>
                <w:rFonts w:ascii="Arial" w:hAnsi="Arial" w:cs="Arial"/>
                <w:sz w:val="20"/>
                <w:szCs w:val="20"/>
              </w:rPr>
              <w:t>%</w:t>
            </w:r>
          </w:p>
        </w:tc>
        <w:tc>
          <w:tcPr>
            <w:tcW w:w="270" w:type="dxa"/>
            <w:shd w:val="clear" w:color="auto" w:fill="auto"/>
            <w:vAlign w:val="center"/>
          </w:tcPr>
          <w:p w14:paraId="688C95EA" w14:textId="2B749202" w:rsidR="00DA4743" w:rsidRPr="00F85407" w:rsidRDefault="00DA4743" w:rsidP="00DA4743">
            <w:pPr>
              <w:suppressAutoHyphens/>
              <w:autoSpaceDE w:val="0"/>
              <w:autoSpaceDN w:val="0"/>
              <w:adjustRightInd w:val="0"/>
              <w:jc w:val="center"/>
              <w:rPr>
                <w:rFonts w:ascii="Arial" w:hAnsi="Arial" w:cs="Arial"/>
                <w:sz w:val="20"/>
                <w:szCs w:val="20"/>
              </w:rPr>
            </w:pPr>
          </w:p>
        </w:tc>
        <w:tc>
          <w:tcPr>
            <w:tcW w:w="1533" w:type="dxa"/>
            <w:vAlign w:val="center"/>
          </w:tcPr>
          <w:p w14:paraId="4156D9EF" w14:textId="23846926" w:rsidR="00DA4743" w:rsidRPr="00036F83" w:rsidRDefault="00D5697D" w:rsidP="00DA4743">
            <w:pPr>
              <w:suppressAutoHyphens/>
              <w:autoSpaceDE w:val="0"/>
              <w:autoSpaceDN w:val="0"/>
              <w:adjustRightInd w:val="0"/>
              <w:jc w:val="center"/>
              <w:rPr>
                <w:rFonts w:ascii="Arial" w:hAnsi="Arial" w:cs="Arial"/>
                <w:sz w:val="20"/>
                <w:szCs w:val="20"/>
              </w:rPr>
            </w:pPr>
            <w:r>
              <w:rPr>
                <w:rFonts w:ascii="Arial" w:hAnsi="Arial" w:cs="Arial"/>
                <w:sz w:val="20"/>
                <w:szCs w:val="20"/>
              </w:rPr>
              <w:t>22</w:t>
            </w:r>
            <w:r w:rsidR="00DA4743">
              <w:rPr>
                <w:rFonts w:ascii="Arial" w:hAnsi="Arial" w:cs="Arial"/>
                <w:sz w:val="20"/>
                <w:szCs w:val="20"/>
              </w:rPr>
              <w:t>%</w:t>
            </w:r>
          </w:p>
        </w:tc>
        <w:tc>
          <w:tcPr>
            <w:tcW w:w="267" w:type="dxa"/>
            <w:vAlign w:val="center"/>
          </w:tcPr>
          <w:p w14:paraId="4AB13C71" w14:textId="418882A1" w:rsidR="00DA4743" w:rsidRDefault="00DA4743" w:rsidP="00DA4743">
            <w:pPr>
              <w:suppressAutoHyphens/>
              <w:autoSpaceDE w:val="0"/>
              <w:autoSpaceDN w:val="0"/>
              <w:adjustRightInd w:val="0"/>
              <w:jc w:val="center"/>
              <w:rPr>
                <w:rFonts w:ascii="Arial" w:hAnsi="Arial" w:cs="Arial"/>
                <w:sz w:val="20"/>
                <w:szCs w:val="20"/>
              </w:rPr>
            </w:pPr>
          </w:p>
        </w:tc>
        <w:tc>
          <w:tcPr>
            <w:tcW w:w="1440" w:type="dxa"/>
            <w:vAlign w:val="center"/>
          </w:tcPr>
          <w:p w14:paraId="0A954778" w14:textId="64C7C442" w:rsidR="00DA4743" w:rsidRDefault="00DA4743" w:rsidP="00DA4743">
            <w:pPr>
              <w:suppressAutoHyphens/>
              <w:autoSpaceDE w:val="0"/>
              <w:autoSpaceDN w:val="0"/>
              <w:adjustRightInd w:val="0"/>
              <w:jc w:val="center"/>
              <w:rPr>
                <w:rFonts w:ascii="Arial" w:hAnsi="Arial" w:cs="Arial"/>
                <w:sz w:val="20"/>
                <w:szCs w:val="20"/>
              </w:rPr>
            </w:pPr>
            <w:r>
              <w:rPr>
                <w:rFonts w:ascii="Arial" w:hAnsi="Arial" w:cs="Arial"/>
                <w:sz w:val="20"/>
                <w:szCs w:val="20"/>
              </w:rPr>
              <w:t>35%</w:t>
            </w:r>
          </w:p>
        </w:tc>
      </w:tr>
      <w:tr w:rsidR="00DA4743" w:rsidRPr="00C826E5" w14:paraId="340BC158" w14:textId="33319908" w:rsidTr="00D5697D">
        <w:trPr>
          <w:trHeight w:val="335"/>
        </w:trPr>
        <w:tc>
          <w:tcPr>
            <w:tcW w:w="2970" w:type="dxa"/>
            <w:shd w:val="clear" w:color="auto" w:fill="auto"/>
            <w:vAlign w:val="center"/>
          </w:tcPr>
          <w:p w14:paraId="3DDAE666" w14:textId="019F085C" w:rsidR="00DA4743" w:rsidRDefault="00DA4743" w:rsidP="00DA4743">
            <w:pPr>
              <w:suppressAutoHyphens/>
              <w:autoSpaceDE w:val="0"/>
              <w:autoSpaceDN w:val="0"/>
              <w:adjustRightInd w:val="0"/>
              <w:rPr>
                <w:rFonts w:ascii="Arial" w:hAnsi="Arial" w:cs="Arial"/>
                <w:sz w:val="20"/>
                <w:szCs w:val="20"/>
              </w:rPr>
            </w:pPr>
            <w:r>
              <w:rPr>
                <w:rFonts w:ascii="Arial" w:hAnsi="Arial" w:cs="Arial"/>
                <w:sz w:val="20"/>
                <w:szCs w:val="20"/>
              </w:rPr>
              <w:t>Energy infrastructure</w:t>
            </w:r>
          </w:p>
        </w:tc>
        <w:tc>
          <w:tcPr>
            <w:tcW w:w="1350" w:type="dxa"/>
            <w:tcBorders>
              <w:bottom w:val="single" w:sz="4" w:space="0" w:color="auto"/>
            </w:tcBorders>
            <w:shd w:val="clear" w:color="auto" w:fill="auto"/>
            <w:vAlign w:val="center"/>
          </w:tcPr>
          <w:p w14:paraId="11C5A296" w14:textId="08AE01B7" w:rsidR="00DA4743" w:rsidRDefault="00FD536D" w:rsidP="00D5697D">
            <w:pPr>
              <w:suppressAutoHyphens/>
              <w:autoSpaceDE w:val="0"/>
              <w:autoSpaceDN w:val="0"/>
              <w:adjustRightInd w:val="0"/>
              <w:jc w:val="center"/>
              <w:rPr>
                <w:rFonts w:ascii="Arial" w:hAnsi="Arial" w:cs="Arial"/>
                <w:sz w:val="20"/>
                <w:szCs w:val="20"/>
              </w:rPr>
            </w:pPr>
            <w:r>
              <w:rPr>
                <w:rFonts w:ascii="Arial" w:hAnsi="Arial" w:cs="Arial"/>
                <w:sz w:val="20"/>
                <w:szCs w:val="20"/>
              </w:rPr>
              <w:t>24</w:t>
            </w:r>
            <w:r w:rsidR="00DA4743">
              <w:rPr>
                <w:rFonts w:ascii="Arial" w:hAnsi="Arial" w:cs="Arial"/>
                <w:sz w:val="20"/>
                <w:szCs w:val="20"/>
              </w:rPr>
              <w:t>%</w:t>
            </w:r>
          </w:p>
        </w:tc>
        <w:tc>
          <w:tcPr>
            <w:tcW w:w="270" w:type="dxa"/>
            <w:shd w:val="clear" w:color="auto" w:fill="auto"/>
            <w:vAlign w:val="center"/>
          </w:tcPr>
          <w:p w14:paraId="65FB0B90" w14:textId="77777777" w:rsidR="00DA4743" w:rsidRPr="00036F83" w:rsidRDefault="00DA4743" w:rsidP="00DA4743">
            <w:pPr>
              <w:suppressAutoHyphens/>
              <w:autoSpaceDE w:val="0"/>
              <w:autoSpaceDN w:val="0"/>
              <w:adjustRightInd w:val="0"/>
              <w:jc w:val="center"/>
              <w:rPr>
                <w:rFonts w:ascii="Arial" w:hAnsi="Arial" w:cs="Arial"/>
                <w:sz w:val="20"/>
                <w:szCs w:val="20"/>
              </w:rPr>
            </w:pPr>
          </w:p>
        </w:tc>
        <w:tc>
          <w:tcPr>
            <w:tcW w:w="1533" w:type="dxa"/>
            <w:tcBorders>
              <w:bottom w:val="single" w:sz="4" w:space="0" w:color="auto"/>
            </w:tcBorders>
            <w:vAlign w:val="center"/>
          </w:tcPr>
          <w:p w14:paraId="6AF7808E" w14:textId="3D13C5C2" w:rsidR="00DA4743" w:rsidRDefault="00D5697D" w:rsidP="00DA4743">
            <w:pPr>
              <w:suppressAutoHyphens/>
              <w:autoSpaceDE w:val="0"/>
              <w:autoSpaceDN w:val="0"/>
              <w:adjustRightInd w:val="0"/>
              <w:jc w:val="center"/>
              <w:rPr>
                <w:rFonts w:ascii="Arial" w:hAnsi="Arial" w:cs="Arial"/>
                <w:sz w:val="20"/>
                <w:szCs w:val="20"/>
              </w:rPr>
            </w:pPr>
            <w:r>
              <w:rPr>
                <w:rFonts w:ascii="Arial" w:hAnsi="Arial" w:cs="Arial"/>
                <w:sz w:val="20"/>
                <w:szCs w:val="20"/>
              </w:rPr>
              <w:t>1</w:t>
            </w:r>
            <w:r w:rsidR="006F1425">
              <w:rPr>
                <w:rFonts w:ascii="Arial" w:hAnsi="Arial" w:cs="Arial"/>
                <w:sz w:val="20"/>
                <w:szCs w:val="20"/>
              </w:rPr>
              <w:t>3</w:t>
            </w:r>
            <w:r w:rsidR="00DA4743">
              <w:rPr>
                <w:rFonts w:ascii="Arial" w:hAnsi="Arial" w:cs="Arial"/>
                <w:sz w:val="20"/>
                <w:szCs w:val="20"/>
              </w:rPr>
              <w:t>%</w:t>
            </w:r>
          </w:p>
        </w:tc>
        <w:tc>
          <w:tcPr>
            <w:tcW w:w="267" w:type="dxa"/>
            <w:vAlign w:val="center"/>
          </w:tcPr>
          <w:p w14:paraId="20CBFB88" w14:textId="2D08402B" w:rsidR="00DA4743" w:rsidRDefault="00DA4743" w:rsidP="00DA4743">
            <w:pPr>
              <w:suppressAutoHyphens/>
              <w:autoSpaceDE w:val="0"/>
              <w:autoSpaceDN w:val="0"/>
              <w:adjustRightInd w:val="0"/>
              <w:jc w:val="center"/>
              <w:rPr>
                <w:rFonts w:ascii="Arial" w:hAnsi="Arial" w:cs="Arial"/>
                <w:sz w:val="20"/>
                <w:szCs w:val="20"/>
              </w:rPr>
            </w:pPr>
          </w:p>
        </w:tc>
        <w:tc>
          <w:tcPr>
            <w:tcW w:w="1440" w:type="dxa"/>
            <w:tcBorders>
              <w:bottom w:val="single" w:sz="4" w:space="0" w:color="auto"/>
            </w:tcBorders>
            <w:vAlign w:val="center"/>
          </w:tcPr>
          <w:p w14:paraId="020B07FD" w14:textId="5EC0F81C" w:rsidR="00DA4743" w:rsidRDefault="00DA4743" w:rsidP="00DA4743">
            <w:pPr>
              <w:suppressAutoHyphens/>
              <w:autoSpaceDE w:val="0"/>
              <w:autoSpaceDN w:val="0"/>
              <w:adjustRightInd w:val="0"/>
              <w:jc w:val="center"/>
              <w:rPr>
                <w:rFonts w:ascii="Arial" w:hAnsi="Arial" w:cs="Arial"/>
                <w:sz w:val="20"/>
                <w:szCs w:val="20"/>
              </w:rPr>
            </w:pPr>
            <w:r>
              <w:rPr>
                <w:rFonts w:ascii="Arial" w:hAnsi="Arial" w:cs="Arial"/>
                <w:sz w:val="20"/>
                <w:szCs w:val="20"/>
              </w:rPr>
              <w:t>0-5%</w:t>
            </w:r>
          </w:p>
        </w:tc>
      </w:tr>
      <w:tr w:rsidR="00DA4743" w:rsidRPr="00C826E5" w14:paraId="0BD6EFCE" w14:textId="7ADB1A9A" w:rsidTr="00D5697D">
        <w:trPr>
          <w:trHeight w:val="335"/>
        </w:trPr>
        <w:tc>
          <w:tcPr>
            <w:tcW w:w="2970" w:type="dxa"/>
            <w:shd w:val="clear" w:color="auto" w:fill="auto"/>
            <w:vAlign w:val="center"/>
          </w:tcPr>
          <w:p w14:paraId="13E984C9" w14:textId="6BFC8FC3" w:rsidR="00DA4743" w:rsidRDefault="00DA4743" w:rsidP="00DA4743">
            <w:pPr>
              <w:suppressAutoHyphens/>
              <w:autoSpaceDE w:val="0"/>
              <w:autoSpaceDN w:val="0"/>
              <w:adjustRightInd w:val="0"/>
              <w:rPr>
                <w:rFonts w:ascii="Arial" w:hAnsi="Arial" w:cs="Arial"/>
                <w:sz w:val="20"/>
                <w:szCs w:val="20"/>
              </w:rPr>
            </w:pPr>
            <w:r>
              <w:rPr>
                <w:rFonts w:ascii="Arial" w:hAnsi="Arial" w:cs="Arial"/>
                <w:sz w:val="20"/>
                <w:szCs w:val="20"/>
              </w:rPr>
              <w:t xml:space="preserve">    Total</w:t>
            </w:r>
          </w:p>
        </w:tc>
        <w:tc>
          <w:tcPr>
            <w:tcW w:w="1350" w:type="dxa"/>
            <w:tcBorders>
              <w:top w:val="single" w:sz="4" w:space="0" w:color="auto"/>
            </w:tcBorders>
            <w:shd w:val="clear" w:color="auto" w:fill="auto"/>
            <w:vAlign w:val="center"/>
          </w:tcPr>
          <w:p w14:paraId="0097D855" w14:textId="790DC22E" w:rsidR="00DA4743" w:rsidRDefault="00DA4743" w:rsidP="00DA4743">
            <w:pPr>
              <w:suppressAutoHyphens/>
              <w:autoSpaceDE w:val="0"/>
              <w:autoSpaceDN w:val="0"/>
              <w:adjustRightInd w:val="0"/>
              <w:jc w:val="center"/>
              <w:rPr>
                <w:rFonts w:ascii="Arial" w:hAnsi="Arial" w:cs="Arial"/>
                <w:sz w:val="20"/>
                <w:szCs w:val="20"/>
              </w:rPr>
            </w:pPr>
            <w:r>
              <w:rPr>
                <w:rFonts w:ascii="Arial" w:hAnsi="Arial" w:cs="Arial"/>
                <w:sz w:val="20"/>
                <w:szCs w:val="20"/>
              </w:rPr>
              <w:t>100%</w:t>
            </w:r>
          </w:p>
        </w:tc>
        <w:tc>
          <w:tcPr>
            <w:tcW w:w="270" w:type="dxa"/>
            <w:shd w:val="clear" w:color="auto" w:fill="auto"/>
            <w:vAlign w:val="center"/>
          </w:tcPr>
          <w:p w14:paraId="5C52E907" w14:textId="77777777" w:rsidR="00DA4743" w:rsidRPr="00036F83" w:rsidRDefault="00DA4743" w:rsidP="00DA4743">
            <w:pPr>
              <w:suppressAutoHyphens/>
              <w:autoSpaceDE w:val="0"/>
              <w:autoSpaceDN w:val="0"/>
              <w:adjustRightInd w:val="0"/>
              <w:jc w:val="center"/>
              <w:rPr>
                <w:rFonts w:ascii="Arial" w:hAnsi="Arial" w:cs="Arial"/>
                <w:sz w:val="20"/>
                <w:szCs w:val="20"/>
              </w:rPr>
            </w:pPr>
          </w:p>
        </w:tc>
        <w:tc>
          <w:tcPr>
            <w:tcW w:w="1533" w:type="dxa"/>
            <w:tcBorders>
              <w:top w:val="single" w:sz="4" w:space="0" w:color="auto"/>
            </w:tcBorders>
            <w:vAlign w:val="center"/>
          </w:tcPr>
          <w:p w14:paraId="73C29B91" w14:textId="078C4E7B" w:rsidR="00DA4743" w:rsidRDefault="00DA4743" w:rsidP="00DA4743">
            <w:pPr>
              <w:suppressAutoHyphens/>
              <w:autoSpaceDE w:val="0"/>
              <w:autoSpaceDN w:val="0"/>
              <w:adjustRightInd w:val="0"/>
              <w:jc w:val="center"/>
              <w:rPr>
                <w:rFonts w:ascii="Arial" w:hAnsi="Arial" w:cs="Arial"/>
                <w:sz w:val="20"/>
                <w:szCs w:val="20"/>
              </w:rPr>
            </w:pPr>
            <w:r>
              <w:rPr>
                <w:rFonts w:ascii="Arial" w:hAnsi="Arial" w:cs="Arial"/>
                <w:sz w:val="20"/>
                <w:szCs w:val="20"/>
              </w:rPr>
              <w:t>100%</w:t>
            </w:r>
          </w:p>
        </w:tc>
        <w:tc>
          <w:tcPr>
            <w:tcW w:w="267" w:type="dxa"/>
            <w:vAlign w:val="center"/>
          </w:tcPr>
          <w:p w14:paraId="7F28C9AC" w14:textId="309277C1" w:rsidR="00DA4743" w:rsidRDefault="00DA4743" w:rsidP="00DA4743">
            <w:pPr>
              <w:suppressAutoHyphens/>
              <w:autoSpaceDE w:val="0"/>
              <w:autoSpaceDN w:val="0"/>
              <w:adjustRightInd w:val="0"/>
              <w:jc w:val="center"/>
              <w:rPr>
                <w:rFonts w:ascii="Arial" w:hAnsi="Arial" w:cs="Arial"/>
                <w:sz w:val="20"/>
                <w:szCs w:val="20"/>
              </w:rPr>
            </w:pPr>
          </w:p>
        </w:tc>
        <w:tc>
          <w:tcPr>
            <w:tcW w:w="1440" w:type="dxa"/>
            <w:tcBorders>
              <w:top w:val="single" w:sz="4" w:space="0" w:color="auto"/>
            </w:tcBorders>
            <w:vAlign w:val="center"/>
          </w:tcPr>
          <w:p w14:paraId="789D2441" w14:textId="2BFB25BC" w:rsidR="00DA4743" w:rsidRDefault="00DA4743" w:rsidP="00DA4743">
            <w:pPr>
              <w:suppressAutoHyphens/>
              <w:autoSpaceDE w:val="0"/>
              <w:autoSpaceDN w:val="0"/>
              <w:adjustRightInd w:val="0"/>
              <w:jc w:val="center"/>
              <w:rPr>
                <w:rFonts w:ascii="Arial" w:hAnsi="Arial" w:cs="Arial"/>
                <w:sz w:val="20"/>
                <w:szCs w:val="20"/>
              </w:rPr>
            </w:pPr>
            <w:r>
              <w:rPr>
                <w:rFonts w:ascii="Arial" w:hAnsi="Arial" w:cs="Arial"/>
                <w:sz w:val="20"/>
                <w:szCs w:val="20"/>
              </w:rPr>
              <w:t>100%</w:t>
            </w:r>
          </w:p>
        </w:tc>
      </w:tr>
      <w:tr w:rsidR="00DA4743" w:rsidRPr="00C826E5" w14:paraId="5A8D49E8" w14:textId="6CF838A9" w:rsidTr="00D5697D">
        <w:trPr>
          <w:trHeight w:val="335"/>
        </w:trPr>
        <w:tc>
          <w:tcPr>
            <w:tcW w:w="2970" w:type="dxa"/>
            <w:shd w:val="clear" w:color="auto" w:fill="auto"/>
            <w:vAlign w:val="center"/>
          </w:tcPr>
          <w:p w14:paraId="6058F41A" w14:textId="77777777" w:rsidR="00DA4743" w:rsidRDefault="00DA4743" w:rsidP="00DA4743">
            <w:pPr>
              <w:suppressAutoHyphens/>
              <w:autoSpaceDE w:val="0"/>
              <w:autoSpaceDN w:val="0"/>
              <w:adjustRightInd w:val="0"/>
              <w:rPr>
                <w:rFonts w:ascii="Arial" w:hAnsi="Arial" w:cs="Arial"/>
                <w:sz w:val="20"/>
                <w:szCs w:val="20"/>
              </w:rPr>
            </w:pPr>
          </w:p>
        </w:tc>
        <w:tc>
          <w:tcPr>
            <w:tcW w:w="1350" w:type="dxa"/>
            <w:shd w:val="clear" w:color="auto" w:fill="auto"/>
            <w:vAlign w:val="center"/>
          </w:tcPr>
          <w:p w14:paraId="4F996575" w14:textId="77777777" w:rsidR="00DA4743" w:rsidRDefault="00DA4743" w:rsidP="00DA4743">
            <w:pPr>
              <w:suppressAutoHyphens/>
              <w:autoSpaceDE w:val="0"/>
              <w:autoSpaceDN w:val="0"/>
              <w:adjustRightInd w:val="0"/>
              <w:jc w:val="center"/>
              <w:rPr>
                <w:rFonts w:ascii="Arial" w:hAnsi="Arial" w:cs="Arial"/>
                <w:sz w:val="20"/>
                <w:szCs w:val="20"/>
              </w:rPr>
            </w:pPr>
          </w:p>
        </w:tc>
        <w:tc>
          <w:tcPr>
            <w:tcW w:w="270" w:type="dxa"/>
            <w:shd w:val="clear" w:color="auto" w:fill="auto"/>
            <w:vAlign w:val="center"/>
          </w:tcPr>
          <w:p w14:paraId="4AD61571" w14:textId="77777777" w:rsidR="00DA4743" w:rsidRPr="00036F83" w:rsidRDefault="00DA4743" w:rsidP="00DA4743">
            <w:pPr>
              <w:suppressAutoHyphens/>
              <w:autoSpaceDE w:val="0"/>
              <w:autoSpaceDN w:val="0"/>
              <w:adjustRightInd w:val="0"/>
              <w:jc w:val="center"/>
              <w:rPr>
                <w:rFonts w:ascii="Arial" w:hAnsi="Arial" w:cs="Arial"/>
                <w:sz w:val="20"/>
                <w:szCs w:val="20"/>
              </w:rPr>
            </w:pPr>
          </w:p>
        </w:tc>
        <w:tc>
          <w:tcPr>
            <w:tcW w:w="1533" w:type="dxa"/>
            <w:vAlign w:val="center"/>
          </w:tcPr>
          <w:p w14:paraId="12016506" w14:textId="77777777" w:rsidR="00DA4743" w:rsidRDefault="00DA4743" w:rsidP="00DA4743">
            <w:pPr>
              <w:suppressAutoHyphens/>
              <w:autoSpaceDE w:val="0"/>
              <w:autoSpaceDN w:val="0"/>
              <w:adjustRightInd w:val="0"/>
              <w:jc w:val="center"/>
              <w:rPr>
                <w:rFonts w:ascii="Arial" w:hAnsi="Arial" w:cs="Arial"/>
                <w:sz w:val="20"/>
                <w:szCs w:val="20"/>
              </w:rPr>
            </w:pPr>
          </w:p>
        </w:tc>
        <w:tc>
          <w:tcPr>
            <w:tcW w:w="267" w:type="dxa"/>
            <w:vAlign w:val="center"/>
          </w:tcPr>
          <w:p w14:paraId="23009CCA" w14:textId="77777777" w:rsidR="00DA4743" w:rsidRDefault="00DA4743" w:rsidP="00DA4743">
            <w:pPr>
              <w:suppressAutoHyphens/>
              <w:autoSpaceDE w:val="0"/>
              <w:autoSpaceDN w:val="0"/>
              <w:adjustRightInd w:val="0"/>
              <w:jc w:val="center"/>
              <w:rPr>
                <w:rFonts w:ascii="Arial" w:hAnsi="Arial" w:cs="Arial"/>
                <w:sz w:val="20"/>
                <w:szCs w:val="20"/>
              </w:rPr>
            </w:pPr>
          </w:p>
        </w:tc>
        <w:tc>
          <w:tcPr>
            <w:tcW w:w="1440" w:type="dxa"/>
            <w:vAlign w:val="center"/>
          </w:tcPr>
          <w:p w14:paraId="663B479E" w14:textId="77777777" w:rsidR="00DA4743" w:rsidRDefault="00DA4743" w:rsidP="00DA4743">
            <w:pPr>
              <w:suppressAutoHyphens/>
              <w:autoSpaceDE w:val="0"/>
              <w:autoSpaceDN w:val="0"/>
              <w:adjustRightInd w:val="0"/>
              <w:jc w:val="center"/>
              <w:rPr>
                <w:rFonts w:ascii="Arial" w:hAnsi="Arial" w:cs="Arial"/>
                <w:sz w:val="20"/>
                <w:szCs w:val="20"/>
              </w:rPr>
            </w:pPr>
          </w:p>
        </w:tc>
      </w:tr>
      <w:tr w:rsidR="00DA4743" w:rsidRPr="00C826E5" w14:paraId="75781F3B" w14:textId="3DF49D0E" w:rsidTr="00D5697D">
        <w:trPr>
          <w:trHeight w:val="335"/>
        </w:trPr>
        <w:tc>
          <w:tcPr>
            <w:tcW w:w="2970" w:type="dxa"/>
            <w:shd w:val="clear" w:color="auto" w:fill="auto"/>
            <w:vAlign w:val="center"/>
          </w:tcPr>
          <w:p w14:paraId="795921FE" w14:textId="38239689" w:rsidR="00DA4743" w:rsidRDefault="00DA4743" w:rsidP="00DA4743">
            <w:pPr>
              <w:suppressAutoHyphens/>
              <w:autoSpaceDE w:val="0"/>
              <w:autoSpaceDN w:val="0"/>
              <w:adjustRightInd w:val="0"/>
              <w:rPr>
                <w:rFonts w:ascii="Arial" w:hAnsi="Arial" w:cs="Arial"/>
                <w:sz w:val="20"/>
                <w:szCs w:val="20"/>
              </w:rPr>
            </w:pPr>
            <w:r>
              <w:rPr>
                <w:rFonts w:ascii="Arial" w:hAnsi="Arial" w:cs="Arial"/>
                <w:sz w:val="20"/>
                <w:szCs w:val="20"/>
              </w:rPr>
              <w:t>Public investments</w:t>
            </w:r>
          </w:p>
        </w:tc>
        <w:tc>
          <w:tcPr>
            <w:tcW w:w="1350" w:type="dxa"/>
            <w:shd w:val="clear" w:color="auto" w:fill="auto"/>
            <w:vAlign w:val="center"/>
          </w:tcPr>
          <w:p w14:paraId="6B7A0FDF" w14:textId="3053C6CF" w:rsidR="00DA4743" w:rsidRDefault="00DA4743" w:rsidP="00DA4743">
            <w:pPr>
              <w:suppressAutoHyphens/>
              <w:autoSpaceDE w:val="0"/>
              <w:autoSpaceDN w:val="0"/>
              <w:adjustRightInd w:val="0"/>
              <w:jc w:val="center"/>
              <w:rPr>
                <w:rFonts w:ascii="Arial" w:hAnsi="Arial" w:cs="Arial"/>
                <w:sz w:val="20"/>
                <w:szCs w:val="20"/>
              </w:rPr>
            </w:pPr>
            <w:r>
              <w:rPr>
                <w:rFonts w:ascii="Arial" w:hAnsi="Arial" w:cs="Arial"/>
                <w:sz w:val="20"/>
                <w:szCs w:val="20"/>
              </w:rPr>
              <w:t>54%</w:t>
            </w:r>
          </w:p>
        </w:tc>
        <w:tc>
          <w:tcPr>
            <w:tcW w:w="270" w:type="dxa"/>
            <w:shd w:val="clear" w:color="auto" w:fill="auto"/>
            <w:vAlign w:val="center"/>
          </w:tcPr>
          <w:p w14:paraId="44BFCEEE" w14:textId="77777777" w:rsidR="00DA4743" w:rsidRPr="00036F83" w:rsidRDefault="00DA4743" w:rsidP="00DA4743">
            <w:pPr>
              <w:suppressAutoHyphens/>
              <w:autoSpaceDE w:val="0"/>
              <w:autoSpaceDN w:val="0"/>
              <w:adjustRightInd w:val="0"/>
              <w:jc w:val="center"/>
              <w:rPr>
                <w:rFonts w:ascii="Arial" w:hAnsi="Arial" w:cs="Arial"/>
                <w:sz w:val="20"/>
                <w:szCs w:val="20"/>
              </w:rPr>
            </w:pPr>
          </w:p>
        </w:tc>
        <w:tc>
          <w:tcPr>
            <w:tcW w:w="1533" w:type="dxa"/>
            <w:vAlign w:val="center"/>
          </w:tcPr>
          <w:p w14:paraId="0D72501D" w14:textId="3A967FF0" w:rsidR="00DA4743" w:rsidRDefault="00D5697D" w:rsidP="00DA4743">
            <w:pPr>
              <w:suppressAutoHyphens/>
              <w:autoSpaceDE w:val="0"/>
              <w:autoSpaceDN w:val="0"/>
              <w:adjustRightInd w:val="0"/>
              <w:jc w:val="center"/>
              <w:rPr>
                <w:rFonts w:ascii="Arial" w:hAnsi="Arial" w:cs="Arial"/>
                <w:sz w:val="20"/>
                <w:szCs w:val="20"/>
              </w:rPr>
            </w:pPr>
            <w:r>
              <w:rPr>
                <w:rFonts w:ascii="Arial" w:hAnsi="Arial" w:cs="Arial"/>
                <w:sz w:val="20"/>
                <w:szCs w:val="20"/>
              </w:rPr>
              <w:t>5</w:t>
            </w:r>
            <w:r w:rsidR="006F1425">
              <w:rPr>
                <w:rFonts w:ascii="Arial" w:hAnsi="Arial" w:cs="Arial"/>
                <w:sz w:val="20"/>
                <w:szCs w:val="20"/>
              </w:rPr>
              <w:t>1</w:t>
            </w:r>
            <w:r w:rsidR="00DA4743">
              <w:rPr>
                <w:rFonts w:ascii="Arial" w:hAnsi="Arial" w:cs="Arial"/>
                <w:sz w:val="20"/>
                <w:szCs w:val="20"/>
              </w:rPr>
              <w:t>%</w:t>
            </w:r>
          </w:p>
        </w:tc>
        <w:tc>
          <w:tcPr>
            <w:tcW w:w="267" w:type="dxa"/>
            <w:vAlign w:val="center"/>
          </w:tcPr>
          <w:p w14:paraId="2F3766F7" w14:textId="7E09018C" w:rsidR="00DA4743" w:rsidRDefault="00DA4743" w:rsidP="00DA4743">
            <w:pPr>
              <w:suppressAutoHyphens/>
              <w:autoSpaceDE w:val="0"/>
              <w:autoSpaceDN w:val="0"/>
              <w:adjustRightInd w:val="0"/>
              <w:jc w:val="center"/>
              <w:rPr>
                <w:rFonts w:ascii="Arial" w:hAnsi="Arial" w:cs="Arial"/>
                <w:sz w:val="20"/>
                <w:szCs w:val="20"/>
              </w:rPr>
            </w:pPr>
          </w:p>
        </w:tc>
        <w:tc>
          <w:tcPr>
            <w:tcW w:w="1440" w:type="dxa"/>
            <w:vAlign w:val="center"/>
          </w:tcPr>
          <w:p w14:paraId="6817F4C4" w14:textId="5CE375C9" w:rsidR="00DA4743" w:rsidRDefault="00DA4743" w:rsidP="00DA4743">
            <w:pPr>
              <w:suppressAutoHyphens/>
              <w:autoSpaceDE w:val="0"/>
              <w:autoSpaceDN w:val="0"/>
              <w:adjustRightInd w:val="0"/>
              <w:jc w:val="center"/>
              <w:rPr>
                <w:rFonts w:ascii="Arial" w:hAnsi="Arial" w:cs="Arial"/>
                <w:sz w:val="20"/>
                <w:szCs w:val="20"/>
              </w:rPr>
            </w:pPr>
            <w:r>
              <w:rPr>
                <w:rFonts w:ascii="Arial" w:hAnsi="Arial" w:cs="Arial"/>
                <w:sz w:val="20"/>
                <w:szCs w:val="20"/>
              </w:rPr>
              <w:t>~40%</w:t>
            </w:r>
          </w:p>
        </w:tc>
      </w:tr>
      <w:tr w:rsidR="00DA4743" w:rsidRPr="00C826E5" w14:paraId="46FFD9F2" w14:textId="066BB151" w:rsidTr="00D5697D">
        <w:trPr>
          <w:trHeight w:val="335"/>
        </w:trPr>
        <w:tc>
          <w:tcPr>
            <w:tcW w:w="2970" w:type="dxa"/>
            <w:shd w:val="clear" w:color="auto" w:fill="auto"/>
            <w:vAlign w:val="center"/>
          </w:tcPr>
          <w:p w14:paraId="188866C0" w14:textId="3BF8D2CA" w:rsidR="00DA4743" w:rsidRDefault="00DA4743" w:rsidP="00DA4743">
            <w:pPr>
              <w:suppressAutoHyphens/>
              <w:autoSpaceDE w:val="0"/>
              <w:autoSpaceDN w:val="0"/>
              <w:adjustRightInd w:val="0"/>
              <w:rPr>
                <w:rFonts w:ascii="Arial" w:hAnsi="Arial" w:cs="Arial"/>
                <w:sz w:val="20"/>
                <w:szCs w:val="20"/>
              </w:rPr>
            </w:pPr>
            <w:r>
              <w:rPr>
                <w:rFonts w:ascii="Arial" w:hAnsi="Arial" w:cs="Arial"/>
                <w:sz w:val="20"/>
                <w:szCs w:val="20"/>
              </w:rPr>
              <w:t>Private investments</w:t>
            </w:r>
          </w:p>
        </w:tc>
        <w:tc>
          <w:tcPr>
            <w:tcW w:w="1350" w:type="dxa"/>
            <w:shd w:val="clear" w:color="auto" w:fill="auto"/>
            <w:vAlign w:val="center"/>
          </w:tcPr>
          <w:p w14:paraId="43DAA2A6" w14:textId="01D90CA3" w:rsidR="00DA4743" w:rsidRDefault="00DA4743" w:rsidP="00DA4743">
            <w:pPr>
              <w:suppressAutoHyphens/>
              <w:autoSpaceDE w:val="0"/>
              <w:autoSpaceDN w:val="0"/>
              <w:adjustRightInd w:val="0"/>
              <w:jc w:val="center"/>
              <w:rPr>
                <w:rFonts w:ascii="Arial" w:hAnsi="Arial" w:cs="Arial"/>
                <w:sz w:val="20"/>
                <w:szCs w:val="20"/>
              </w:rPr>
            </w:pPr>
            <w:r>
              <w:rPr>
                <w:rFonts w:ascii="Arial" w:hAnsi="Arial" w:cs="Arial"/>
                <w:sz w:val="20"/>
                <w:szCs w:val="20"/>
              </w:rPr>
              <w:t>46%</w:t>
            </w:r>
          </w:p>
        </w:tc>
        <w:tc>
          <w:tcPr>
            <w:tcW w:w="270" w:type="dxa"/>
            <w:shd w:val="clear" w:color="auto" w:fill="auto"/>
            <w:vAlign w:val="center"/>
          </w:tcPr>
          <w:p w14:paraId="359E9E69" w14:textId="77777777" w:rsidR="00DA4743" w:rsidRPr="00036F83" w:rsidRDefault="00DA4743" w:rsidP="00DA4743">
            <w:pPr>
              <w:suppressAutoHyphens/>
              <w:autoSpaceDE w:val="0"/>
              <w:autoSpaceDN w:val="0"/>
              <w:adjustRightInd w:val="0"/>
              <w:jc w:val="center"/>
              <w:rPr>
                <w:rFonts w:ascii="Arial" w:hAnsi="Arial" w:cs="Arial"/>
                <w:sz w:val="20"/>
                <w:szCs w:val="20"/>
              </w:rPr>
            </w:pPr>
          </w:p>
        </w:tc>
        <w:tc>
          <w:tcPr>
            <w:tcW w:w="1533" w:type="dxa"/>
            <w:vAlign w:val="center"/>
          </w:tcPr>
          <w:p w14:paraId="212FEF66" w14:textId="189138A6" w:rsidR="00DA4743" w:rsidRDefault="006F1425" w:rsidP="00DA4743">
            <w:pPr>
              <w:suppressAutoHyphens/>
              <w:autoSpaceDE w:val="0"/>
              <w:autoSpaceDN w:val="0"/>
              <w:adjustRightInd w:val="0"/>
              <w:jc w:val="center"/>
              <w:rPr>
                <w:rFonts w:ascii="Arial" w:hAnsi="Arial" w:cs="Arial"/>
                <w:sz w:val="20"/>
                <w:szCs w:val="20"/>
              </w:rPr>
            </w:pPr>
            <w:r>
              <w:rPr>
                <w:rFonts w:ascii="Arial" w:hAnsi="Arial" w:cs="Arial"/>
                <w:sz w:val="20"/>
                <w:szCs w:val="20"/>
              </w:rPr>
              <w:t>49</w:t>
            </w:r>
            <w:r w:rsidR="00DA4743">
              <w:rPr>
                <w:rFonts w:ascii="Arial" w:hAnsi="Arial" w:cs="Arial"/>
                <w:sz w:val="20"/>
                <w:szCs w:val="20"/>
              </w:rPr>
              <w:t>%</w:t>
            </w:r>
          </w:p>
        </w:tc>
        <w:tc>
          <w:tcPr>
            <w:tcW w:w="267" w:type="dxa"/>
            <w:vAlign w:val="center"/>
          </w:tcPr>
          <w:p w14:paraId="71322761" w14:textId="3A8D6147" w:rsidR="00DA4743" w:rsidRDefault="00DA4743" w:rsidP="00DA4743">
            <w:pPr>
              <w:suppressAutoHyphens/>
              <w:autoSpaceDE w:val="0"/>
              <w:autoSpaceDN w:val="0"/>
              <w:adjustRightInd w:val="0"/>
              <w:jc w:val="center"/>
              <w:rPr>
                <w:rFonts w:ascii="Arial" w:hAnsi="Arial" w:cs="Arial"/>
                <w:sz w:val="20"/>
                <w:szCs w:val="20"/>
              </w:rPr>
            </w:pPr>
          </w:p>
        </w:tc>
        <w:tc>
          <w:tcPr>
            <w:tcW w:w="1440" w:type="dxa"/>
            <w:vAlign w:val="center"/>
          </w:tcPr>
          <w:p w14:paraId="350CD250" w14:textId="1D2A8DB8" w:rsidR="00DA4743" w:rsidRDefault="00DA4743" w:rsidP="00DA4743">
            <w:pPr>
              <w:suppressAutoHyphens/>
              <w:autoSpaceDE w:val="0"/>
              <w:autoSpaceDN w:val="0"/>
              <w:adjustRightInd w:val="0"/>
              <w:jc w:val="center"/>
              <w:rPr>
                <w:rFonts w:ascii="Arial" w:hAnsi="Arial" w:cs="Arial"/>
                <w:sz w:val="20"/>
                <w:szCs w:val="20"/>
              </w:rPr>
            </w:pPr>
            <w:r>
              <w:rPr>
                <w:rFonts w:ascii="Arial" w:hAnsi="Arial" w:cs="Arial"/>
                <w:sz w:val="20"/>
                <w:szCs w:val="20"/>
              </w:rPr>
              <w:t>~60%</w:t>
            </w:r>
          </w:p>
        </w:tc>
      </w:tr>
    </w:tbl>
    <w:p w14:paraId="50BFBD91" w14:textId="426F1B7F" w:rsidR="00644A36" w:rsidRDefault="00644A36" w:rsidP="00AB70EF">
      <w:pPr>
        <w:autoSpaceDE w:val="0"/>
        <w:autoSpaceDN w:val="0"/>
        <w:adjustRightInd w:val="0"/>
        <w:rPr>
          <w:rFonts w:ascii="Arial" w:hAnsi="Arial" w:cs="Arial"/>
          <w:sz w:val="20"/>
          <w:szCs w:val="20"/>
        </w:rPr>
      </w:pPr>
    </w:p>
    <w:p w14:paraId="6B842BE3" w14:textId="34E59C68" w:rsidR="00CE0DDF" w:rsidRDefault="00F80FF2" w:rsidP="00CE0DDF">
      <w:pPr>
        <w:pStyle w:val="ListParagraph"/>
        <w:numPr>
          <w:ilvl w:val="0"/>
          <w:numId w:val="2"/>
        </w:numPr>
        <w:rPr>
          <w:rFonts w:ascii="Arial" w:hAnsi="Arial" w:cs="Arial"/>
          <w:sz w:val="20"/>
          <w:szCs w:val="20"/>
        </w:rPr>
      </w:pPr>
      <w:r w:rsidRPr="005A15AF">
        <w:rPr>
          <w:rFonts w:ascii="Arial" w:hAnsi="Arial" w:cs="Arial"/>
          <w:b/>
          <w:bCs/>
          <w:sz w:val="20"/>
          <w:szCs w:val="20"/>
        </w:rPr>
        <w:t>Sustainable infrastructure</w:t>
      </w:r>
      <w:r>
        <w:rPr>
          <w:rFonts w:ascii="Arial" w:hAnsi="Arial" w:cs="Arial"/>
          <w:sz w:val="20"/>
          <w:szCs w:val="20"/>
        </w:rPr>
        <w:t xml:space="preserve"> includes </w:t>
      </w:r>
      <w:r w:rsidR="00BC1E77">
        <w:rPr>
          <w:rFonts w:ascii="Arial" w:hAnsi="Arial" w:cs="Arial"/>
          <w:sz w:val="20"/>
          <w:szCs w:val="20"/>
        </w:rPr>
        <w:t>renewables</w:t>
      </w:r>
      <w:r>
        <w:rPr>
          <w:rFonts w:ascii="Arial" w:hAnsi="Arial" w:cs="Arial"/>
          <w:sz w:val="20"/>
          <w:szCs w:val="20"/>
        </w:rPr>
        <w:t xml:space="preserve">, </w:t>
      </w:r>
      <w:r w:rsidR="004B05EB">
        <w:rPr>
          <w:rFonts w:ascii="Arial" w:hAnsi="Arial" w:cs="Arial"/>
          <w:sz w:val="20"/>
          <w:szCs w:val="20"/>
        </w:rPr>
        <w:t>waste transition</w:t>
      </w:r>
      <w:r>
        <w:rPr>
          <w:rFonts w:ascii="Arial" w:hAnsi="Arial" w:cs="Arial"/>
          <w:sz w:val="20"/>
          <w:szCs w:val="20"/>
        </w:rPr>
        <w:t xml:space="preserve"> and water investments</w:t>
      </w:r>
    </w:p>
    <w:p w14:paraId="48949E92" w14:textId="7F876853" w:rsidR="00CE0DDF" w:rsidRPr="00F80FF2" w:rsidRDefault="00F80FF2" w:rsidP="00CE0DDF">
      <w:pPr>
        <w:pStyle w:val="ListParagraph"/>
        <w:numPr>
          <w:ilvl w:val="0"/>
          <w:numId w:val="2"/>
        </w:numPr>
        <w:rPr>
          <w:rFonts w:ascii="Times New Roman" w:hAnsi="Times New Roman" w:cs="Times New Roman"/>
          <w:sz w:val="24"/>
          <w:szCs w:val="24"/>
        </w:rPr>
      </w:pPr>
      <w:r w:rsidRPr="005A15AF">
        <w:rPr>
          <w:rFonts w:ascii="Arial" w:hAnsi="Arial" w:cs="Arial"/>
          <w:b/>
          <w:bCs/>
          <w:sz w:val="20"/>
          <w:szCs w:val="20"/>
        </w:rPr>
        <w:t>Social impact</w:t>
      </w:r>
      <w:r>
        <w:rPr>
          <w:rFonts w:ascii="Arial" w:hAnsi="Arial" w:cs="Arial"/>
          <w:sz w:val="20"/>
          <w:szCs w:val="20"/>
        </w:rPr>
        <w:t xml:space="preserve"> includes investments in senior living facilities and education</w:t>
      </w:r>
    </w:p>
    <w:p w14:paraId="35535301" w14:textId="7BDF7EBE" w:rsidR="00E4098A" w:rsidRPr="00E4098A" w:rsidRDefault="00F80FF2" w:rsidP="00E4098A">
      <w:pPr>
        <w:pStyle w:val="ListParagraph"/>
        <w:numPr>
          <w:ilvl w:val="0"/>
          <w:numId w:val="2"/>
        </w:numPr>
        <w:rPr>
          <w:rFonts w:ascii="Times New Roman" w:hAnsi="Times New Roman" w:cs="Times New Roman"/>
          <w:sz w:val="24"/>
          <w:szCs w:val="24"/>
        </w:rPr>
      </w:pPr>
      <w:r>
        <w:rPr>
          <w:rFonts w:ascii="Arial" w:hAnsi="Arial" w:cs="Arial"/>
          <w:sz w:val="20"/>
          <w:szCs w:val="20"/>
        </w:rPr>
        <w:t xml:space="preserve">The remaining </w:t>
      </w:r>
      <w:r w:rsidRPr="005A15AF">
        <w:rPr>
          <w:rFonts w:ascii="Arial" w:hAnsi="Arial" w:cs="Arial"/>
          <w:b/>
          <w:bCs/>
          <w:sz w:val="20"/>
          <w:szCs w:val="20"/>
        </w:rPr>
        <w:t>energy infrastructure</w:t>
      </w:r>
      <w:r>
        <w:rPr>
          <w:rFonts w:ascii="Arial" w:hAnsi="Arial" w:cs="Arial"/>
          <w:sz w:val="20"/>
          <w:szCs w:val="20"/>
        </w:rPr>
        <w:t xml:space="preserve"> investments will be opportunistically transitioned over time depending upon market conditions and liquidity status</w:t>
      </w:r>
    </w:p>
    <w:p w14:paraId="7A2B55B6" w14:textId="77777777" w:rsidR="00CE0DDF" w:rsidRDefault="00CE0DDF" w:rsidP="00564495">
      <w:pPr>
        <w:autoSpaceDE w:val="0"/>
        <w:autoSpaceDN w:val="0"/>
        <w:adjustRightInd w:val="0"/>
        <w:rPr>
          <w:rFonts w:ascii="Arial" w:hAnsi="Arial" w:cs="Arial"/>
          <w:sz w:val="20"/>
          <w:szCs w:val="20"/>
        </w:rPr>
      </w:pPr>
    </w:p>
    <w:p w14:paraId="35A4C6FA" w14:textId="34B5B684" w:rsidR="00564495" w:rsidRDefault="00AF3F70" w:rsidP="00564495">
      <w:pPr>
        <w:autoSpaceDE w:val="0"/>
        <w:autoSpaceDN w:val="0"/>
        <w:adjustRightInd w:val="0"/>
        <w:rPr>
          <w:rFonts w:ascii="Arial" w:hAnsi="Arial" w:cs="Arial"/>
          <w:sz w:val="20"/>
          <w:szCs w:val="20"/>
        </w:rPr>
      </w:pPr>
      <w:bookmarkStart w:id="0" w:name="_Hlk74210100"/>
      <w:r>
        <w:rPr>
          <w:rFonts w:ascii="Arial" w:hAnsi="Arial" w:cs="Arial"/>
          <w:sz w:val="20"/>
          <w:szCs w:val="20"/>
        </w:rPr>
        <w:t>“</w:t>
      </w:r>
      <w:r w:rsidR="00D87757">
        <w:rPr>
          <w:rFonts w:ascii="Arial" w:hAnsi="Arial" w:cs="Arial"/>
          <w:sz w:val="20"/>
          <w:szCs w:val="20"/>
        </w:rPr>
        <w:t>For</w:t>
      </w:r>
      <w:r w:rsidR="00985471">
        <w:rPr>
          <w:rFonts w:ascii="Arial" w:hAnsi="Arial" w:cs="Arial"/>
          <w:sz w:val="20"/>
          <w:szCs w:val="20"/>
        </w:rPr>
        <w:t xml:space="preserve"> many, t</w:t>
      </w:r>
      <w:r>
        <w:rPr>
          <w:rFonts w:ascii="Arial" w:hAnsi="Arial" w:cs="Arial"/>
          <w:sz w:val="20"/>
          <w:szCs w:val="20"/>
        </w:rPr>
        <w:t xml:space="preserve">he fund </w:t>
      </w:r>
      <w:r w:rsidR="00985471">
        <w:rPr>
          <w:rFonts w:ascii="Arial" w:hAnsi="Arial" w:cs="Arial"/>
          <w:sz w:val="20"/>
          <w:szCs w:val="20"/>
        </w:rPr>
        <w:t xml:space="preserve">identifies </w:t>
      </w:r>
      <w:r>
        <w:rPr>
          <w:rFonts w:ascii="Arial" w:hAnsi="Arial" w:cs="Arial"/>
          <w:sz w:val="20"/>
          <w:szCs w:val="20"/>
        </w:rPr>
        <w:t xml:space="preserve">with energy-focused closed-end funds, rather than </w:t>
      </w:r>
      <w:r w:rsidR="00EA5987">
        <w:rPr>
          <w:rFonts w:ascii="Arial" w:hAnsi="Arial" w:cs="Arial"/>
          <w:sz w:val="20"/>
          <w:szCs w:val="20"/>
        </w:rPr>
        <w:t>sustainable</w:t>
      </w:r>
      <w:r w:rsidR="00193CED">
        <w:rPr>
          <w:rFonts w:ascii="Arial" w:hAnsi="Arial" w:cs="Arial"/>
          <w:sz w:val="20"/>
          <w:szCs w:val="20"/>
        </w:rPr>
        <w:t xml:space="preserve"> investments</w:t>
      </w:r>
      <w:r w:rsidR="00EA5987">
        <w:rPr>
          <w:rFonts w:ascii="Arial" w:hAnsi="Arial" w:cs="Arial"/>
          <w:sz w:val="20"/>
          <w:szCs w:val="20"/>
        </w:rPr>
        <w:t xml:space="preserve">, such as </w:t>
      </w:r>
      <w:r>
        <w:rPr>
          <w:rFonts w:ascii="Arial" w:hAnsi="Arial" w:cs="Arial"/>
          <w:sz w:val="20"/>
          <w:szCs w:val="20"/>
        </w:rPr>
        <w:t>utilities and global infrastructure, which is a more appropriate universe for this fund”, said Brad Adams, CEO of TortoiseEcofin’s closed-end funds. “We think that this shift in the portfolio allocation</w:t>
      </w:r>
      <w:r w:rsidR="00362946">
        <w:rPr>
          <w:rFonts w:ascii="Arial" w:hAnsi="Arial" w:cs="Arial"/>
          <w:sz w:val="20"/>
          <w:szCs w:val="20"/>
        </w:rPr>
        <w:t xml:space="preserve"> and our rebranding efforts</w:t>
      </w:r>
      <w:r>
        <w:rPr>
          <w:rFonts w:ascii="Arial" w:hAnsi="Arial" w:cs="Arial"/>
          <w:sz w:val="20"/>
          <w:szCs w:val="20"/>
        </w:rPr>
        <w:t xml:space="preserve"> will </w:t>
      </w:r>
      <w:r w:rsidR="00EA5987">
        <w:rPr>
          <w:rFonts w:ascii="Arial" w:hAnsi="Arial" w:cs="Arial"/>
          <w:sz w:val="20"/>
          <w:szCs w:val="20"/>
        </w:rPr>
        <w:t xml:space="preserve">allow the fund to </w:t>
      </w:r>
      <w:r>
        <w:rPr>
          <w:rFonts w:ascii="Arial" w:hAnsi="Arial" w:cs="Arial"/>
          <w:sz w:val="20"/>
          <w:szCs w:val="20"/>
        </w:rPr>
        <w:t>trade closer to its NAV as the market recognizes the true makeup of the fund.”</w:t>
      </w:r>
    </w:p>
    <w:bookmarkEnd w:id="0"/>
    <w:p w14:paraId="3704A1FA" w14:textId="47C6D7A0" w:rsidR="00EA5987" w:rsidRDefault="00EA5987" w:rsidP="00564495">
      <w:pPr>
        <w:autoSpaceDE w:val="0"/>
        <w:autoSpaceDN w:val="0"/>
        <w:adjustRightInd w:val="0"/>
        <w:rPr>
          <w:rFonts w:ascii="Arial" w:hAnsi="Arial" w:cs="Arial"/>
          <w:sz w:val="20"/>
          <w:szCs w:val="20"/>
        </w:rPr>
      </w:pPr>
    </w:p>
    <w:p w14:paraId="324AECDE" w14:textId="5BBF724B" w:rsidR="00EA5987" w:rsidRDefault="00193CED" w:rsidP="00564495">
      <w:pPr>
        <w:autoSpaceDE w:val="0"/>
        <w:autoSpaceDN w:val="0"/>
        <w:adjustRightInd w:val="0"/>
        <w:rPr>
          <w:rFonts w:ascii="Arial" w:hAnsi="Arial" w:cs="Arial"/>
          <w:sz w:val="20"/>
          <w:szCs w:val="20"/>
        </w:rPr>
      </w:pPr>
      <w:bookmarkStart w:id="1" w:name="_Hlk73693954"/>
      <w:r>
        <w:rPr>
          <w:rFonts w:ascii="Arial" w:hAnsi="Arial" w:cs="Arial"/>
          <w:sz w:val="20"/>
          <w:szCs w:val="20"/>
        </w:rPr>
        <w:t>A</w:t>
      </w:r>
      <w:r w:rsidR="00EA5987">
        <w:rPr>
          <w:rFonts w:ascii="Arial" w:hAnsi="Arial" w:cs="Arial"/>
          <w:sz w:val="20"/>
          <w:szCs w:val="20"/>
        </w:rPr>
        <w:t>dditionally</w:t>
      </w:r>
      <w:r>
        <w:rPr>
          <w:rFonts w:ascii="Arial" w:hAnsi="Arial" w:cs="Arial"/>
          <w:sz w:val="20"/>
          <w:szCs w:val="20"/>
        </w:rPr>
        <w:t>,</w:t>
      </w:r>
      <w:r w:rsidR="00574A2E">
        <w:rPr>
          <w:rFonts w:ascii="Arial" w:hAnsi="Arial" w:cs="Arial"/>
          <w:sz w:val="20"/>
          <w:szCs w:val="20"/>
        </w:rPr>
        <w:t xml:space="preserve"> </w:t>
      </w:r>
      <w:r w:rsidR="007F2BDC">
        <w:rPr>
          <w:rFonts w:ascii="Arial" w:hAnsi="Arial" w:cs="Arial"/>
          <w:sz w:val="20"/>
          <w:szCs w:val="20"/>
        </w:rPr>
        <w:t>TEAF’s</w:t>
      </w:r>
      <w:r>
        <w:rPr>
          <w:rFonts w:ascii="Arial" w:hAnsi="Arial" w:cs="Arial"/>
          <w:sz w:val="20"/>
          <w:szCs w:val="20"/>
        </w:rPr>
        <w:t xml:space="preserve"> investment committee</w:t>
      </w:r>
      <w:r w:rsidR="00574A2E">
        <w:rPr>
          <w:rFonts w:ascii="Arial" w:hAnsi="Arial" w:cs="Arial"/>
          <w:sz w:val="20"/>
          <w:szCs w:val="20"/>
        </w:rPr>
        <w:t xml:space="preserve"> </w:t>
      </w:r>
      <w:r w:rsidR="00E11EA6">
        <w:rPr>
          <w:rFonts w:ascii="Arial" w:hAnsi="Arial" w:cs="Arial"/>
          <w:sz w:val="20"/>
          <w:szCs w:val="20"/>
        </w:rPr>
        <w:t>is being</w:t>
      </w:r>
      <w:r>
        <w:rPr>
          <w:rFonts w:ascii="Arial" w:hAnsi="Arial" w:cs="Arial"/>
          <w:sz w:val="20"/>
          <w:szCs w:val="20"/>
        </w:rPr>
        <w:t xml:space="preserve"> reconstituted </w:t>
      </w:r>
      <w:r w:rsidR="008A25AB">
        <w:rPr>
          <w:rFonts w:ascii="Arial" w:hAnsi="Arial" w:cs="Arial"/>
          <w:sz w:val="20"/>
          <w:szCs w:val="20"/>
        </w:rPr>
        <w:t xml:space="preserve">to </w:t>
      </w:r>
      <w:r>
        <w:rPr>
          <w:rFonts w:ascii="Arial" w:hAnsi="Arial" w:cs="Arial"/>
          <w:sz w:val="20"/>
          <w:szCs w:val="20"/>
        </w:rPr>
        <w:t xml:space="preserve">align </w:t>
      </w:r>
      <w:r w:rsidRPr="006F1425">
        <w:rPr>
          <w:rFonts w:ascii="Arial" w:hAnsi="Arial" w:cs="Arial"/>
          <w:sz w:val="20"/>
          <w:szCs w:val="20"/>
        </w:rPr>
        <w:t xml:space="preserve">with the </w:t>
      </w:r>
      <w:r w:rsidR="006F1425" w:rsidRPr="006F1425">
        <w:rPr>
          <w:rFonts w:ascii="Arial" w:hAnsi="Arial" w:cs="Arial"/>
          <w:sz w:val="20"/>
          <w:szCs w:val="20"/>
        </w:rPr>
        <w:t>progression of the</w:t>
      </w:r>
      <w:r w:rsidRPr="006F1425">
        <w:rPr>
          <w:rFonts w:ascii="Arial" w:hAnsi="Arial" w:cs="Arial"/>
          <w:sz w:val="20"/>
          <w:szCs w:val="20"/>
        </w:rPr>
        <w:t xml:space="preserve"> fund</w:t>
      </w:r>
      <w:r>
        <w:rPr>
          <w:rFonts w:ascii="Arial" w:hAnsi="Arial" w:cs="Arial"/>
          <w:sz w:val="20"/>
          <w:szCs w:val="20"/>
        </w:rPr>
        <w:t xml:space="preserve">. </w:t>
      </w:r>
      <w:r w:rsidR="006F1425">
        <w:rPr>
          <w:rFonts w:ascii="Arial" w:hAnsi="Arial" w:cs="Arial"/>
          <w:sz w:val="20"/>
          <w:szCs w:val="20"/>
        </w:rPr>
        <w:t xml:space="preserve">While multiple members </w:t>
      </w:r>
      <w:r w:rsidR="0087176B">
        <w:rPr>
          <w:rFonts w:ascii="Arial" w:hAnsi="Arial" w:cs="Arial"/>
          <w:sz w:val="20"/>
          <w:szCs w:val="20"/>
        </w:rPr>
        <w:t xml:space="preserve">will </w:t>
      </w:r>
      <w:r w:rsidR="006F1425">
        <w:rPr>
          <w:rFonts w:ascii="Arial" w:hAnsi="Arial" w:cs="Arial"/>
          <w:sz w:val="20"/>
          <w:szCs w:val="20"/>
        </w:rPr>
        <w:t xml:space="preserve">remain, </w:t>
      </w:r>
      <w:r>
        <w:rPr>
          <w:rFonts w:ascii="Arial" w:hAnsi="Arial" w:cs="Arial"/>
          <w:sz w:val="20"/>
          <w:szCs w:val="20"/>
        </w:rPr>
        <w:t>membe</w:t>
      </w:r>
      <w:r w:rsidR="008A25AB">
        <w:rPr>
          <w:rFonts w:ascii="Arial" w:hAnsi="Arial" w:cs="Arial"/>
          <w:sz w:val="20"/>
          <w:szCs w:val="20"/>
        </w:rPr>
        <w:t>rs</w:t>
      </w:r>
      <w:r w:rsidR="0087176B">
        <w:rPr>
          <w:rFonts w:ascii="Arial" w:hAnsi="Arial" w:cs="Arial"/>
          <w:sz w:val="20"/>
          <w:szCs w:val="20"/>
        </w:rPr>
        <w:t xml:space="preserve"> that will be newly appointed</w:t>
      </w:r>
      <w:r>
        <w:rPr>
          <w:rFonts w:ascii="Arial" w:hAnsi="Arial" w:cs="Arial"/>
          <w:sz w:val="20"/>
          <w:szCs w:val="20"/>
        </w:rPr>
        <w:t xml:space="preserve"> </w:t>
      </w:r>
      <w:r w:rsidR="00271E52">
        <w:rPr>
          <w:rFonts w:ascii="Arial" w:hAnsi="Arial" w:cs="Arial"/>
          <w:sz w:val="20"/>
          <w:szCs w:val="20"/>
        </w:rPr>
        <w:t>possess</w:t>
      </w:r>
      <w:r>
        <w:rPr>
          <w:rFonts w:ascii="Arial" w:hAnsi="Arial" w:cs="Arial"/>
          <w:sz w:val="20"/>
          <w:szCs w:val="20"/>
        </w:rPr>
        <w:t xml:space="preserve"> </w:t>
      </w:r>
      <w:r w:rsidR="00267485">
        <w:rPr>
          <w:rFonts w:ascii="Arial" w:hAnsi="Arial" w:cs="Arial"/>
          <w:sz w:val="20"/>
          <w:szCs w:val="20"/>
        </w:rPr>
        <w:t xml:space="preserve">substantial knowledge of sustainable strategies as well as expertise in asset </w:t>
      </w:r>
      <w:r w:rsidR="006F1425">
        <w:rPr>
          <w:rFonts w:ascii="Arial" w:hAnsi="Arial" w:cs="Arial"/>
          <w:sz w:val="20"/>
          <w:szCs w:val="20"/>
        </w:rPr>
        <w:t>allocation</w:t>
      </w:r>
      <w:r w:rsidR="00BE2542">
        <w:rPr>
          <w:rFonts w:ascii="Arial" w:hAnsi="Arial" w:cs="Arial"/>
          <w:sz w:val="20"/>
          <w:szCs w:val="20"/>
        </w:rPr>
        <w:t xml:space="preserve"> and deal structuring</w:t>
      </w:r>
      <w:r w:rsidR="006F1425">
        <w:rPr>
          <w:rFonts w:ascii="Arial" w:hAnsi="Arial" w:cs="Arial"/>
          <w:sz w:val="20"/>
          <w:szCs w:val="20"/>
        </w:rPr>
        <w:t>.</w:t>
      </w:r>
      <w:r>
        <w:rPr>
          <w:rFonts w:ascii="Arial" w:hAnsi="Arial" w:cs="Arial"/>
          <w:sz w:val="20"/>
          <w:szCs w:val="20"/>
        </w:rPr>
        <w:t xml:space="preserve"> </w:t>
      </w:r>
    </w:p>
    <w:bookmarkEnd w:id="1"/>
    <w:p w14:paraId="290C9566" w14:textId="77777777" w:rsidR="004B05EB" w:rsidRDefault="004B05EB" w:rsidP="00564495">
      <w:pPr>
        <w:autoSpaceDE w:val="0"/>
        <w:autoSpaceDN w:val="0"/>
        <w:adjustRightInd w:val="0"/>
        <w:rPr>
          <w:rFonts w:ascii="Arial" w:hAnsi="Arial" w:cs="Arial"/>
          <w:sz w:val="20"/>
          <w:szCs w:val="20"/>
        </w:rPr>
      </w:pPr>
    </w:p>
    <w:p w14:paraId="0F699715" w14:textId="6DF898CC" w:rsidR="00C841E0" w:rsidRPr="00B46768" w:rsidRDefault="0085401F" w:rsidP="009263E6">
      <w:pPr>
        <w:rPr>
          <w:rFonts w:ascii="Arial" w:hAnsi="Arial" w:cs="Arial"/>
          <w:sz w:val="20"/>
          <w:szCs w:val="20"/>
          <w:shd w:val="clear" w:color="auto" w:fill="FFFFFF"/>
        </w:rPr>
      </w:pPr>
      <w:r>
        <w:rPr>
          <w:rFonts w:ascii="Arial" w:hAnsi="Arial" w:cs="Arial"/>
          <w:sz w:val="20"/>
          <w:szCs w:val="20"/>
          <w:shd w:val="clear" w:color="auto" w:fill="FFFFFF"/>
        </w:rPr>
        <w:lastRenderedPageBreak/>
        <w:t xml:space="preserve">Further insights regarding </w:t>
      </w:r>
      <w:r w:rsidR="006F1425">
        <w:rPr>
          <w:rFonts w:ascii="Arial" w:hAnsi="Arial" w:cs="Arial"/>
          <w:sz w:val="20"/>
          <w:szCs w:val="20"/>
          <w:shd w:val="clear" w:color="auto" w:fill="FFFFFF"/>
        </w:rPr>
        <w:t>this announcement</w:t>
      </w:r>
      <w:r>
        <w:rPr>
          <w:rFonts w:ascii="Arial" w:hAnsi="Arial" w:cs="Arial"/>
          <w:sz w:val="20"/>
          <w:szCs w:val="20"/>
          <w:shd w:val="clear" w:color="auto" w:fill="FFFFFF"/>
        </w:rPr>
        <w:t xml:space="preserve"> can be found in</w:t>
      </w:r>
      <w:r w:rsidR="000307E4" w:rsidRPr="00B46768">
        <w:rPr>
          <w:rFonts w:ascii="Arial" w:hAnsi="Arial" w:cs="Arial"/>
          <w:sz w:val="20"/>
          <w:szCs w:val="20"/>
          <w:shd w:val="clear" w:color="auto" w:fill="FFFFFF"/>
        </w:rPr>
        <w:t xml:space="preserve"> </w:t>
      </w:r>
      <w:r w:rsidR="000307E4" w:rsidRPr="0085401F">
        <w:rPr>
          <w:rFonts w:ascii="Arial" w:hAnsi="Arial" w:cs="Arial"/>
          <w:sz w:val="20"/>
          <w:szCs w:val="20"/>
          <w:shd w:val="clear" w:color="auto" w:fill="FFFFFF"/>
        </w:rPr>
        <w:t>our</w:t>
      </w:r>
      <w:r w:rsidR="00491DD5" w:rsidRPr="0085401F">
        <w:rPr>
          <w:rFonts w:ascii="Arial" w:hAnsi="Arial" w:cs="Arial"/>
          <w:sz w:val="20"/>
          <w:szCs w:val="20"/>
          <w:shd w:val="clear" w:color="auto" w:fill="FFFFFF"/>
        </w:rPr>
        <w:t xml:space="preserve"> </w:t>
      </w:r>
      <w:hyperlink r:id="rId8" w:history="1">
        <w:r w:rsidR="000307E4" w:rsidRPr="00AD6171">
          <w:rPr>
            <w:rStyle w:val="Hyperlink"/>
            <w:rFonts w:ascii="Arial" w:hAnsi="Arial" w:cs="Arial"/>
            <w:sz w:val="20"/>
            <w:szCs w:val="20"/>
            <w:shd w:val="clear" w:color="auto" w:fill="FFFFFF"/>
          </w:rPr>
          <w:t>FAQ</w:t>
        </w:r>
      </w:hyperlink>
      <w:r w:rsidR="000307E4" w:rsidRPr="0085401F">
        <w:rPr>
          <w:rFonts w:ascii="Arial" w:hAnsi="Arial" w:cs="Arial"/>
          <w:sz w:val="20"/>
          <w:szCs w:val="20"/>
          <w:shd w:val="clear" w:color="auto" w:fill="FFFFFF"/>
        </w:rPr>
        <w:t xml:space="preserve"> document </w:t>
      </w:r>
      <w:r>
        <w:rPr>
          <w:rFonts w:ascii="Arial" w:hAnsi="Arial" w:cs="Arial"/>
          <w:sz w:val="20"/>
          <w:szCs w:val="20"/>
          <w:shd w:val="clear" w:color="auto" w:fill="FFFFFF"/>
        </w:rPr>
        <w:t xml:space="preserve">and </w:t>
      </w:r>
      <w:hyperlink r:id="rId9" w:history="1">
        <w:r w:rsidR="006F1425" w:rsidRPr="00AD6171">
          <w:rPr>
            <w:rStyle w:val="Hyperlink"/>
            <w:rFonts w:ascii="Arial" w:hAnsi="Arial" w:cs="Arial"/>
            <w:sz w:val="20"/>
            <w:szCs w:val="20"/>
            <w:shd w:val="clear" w:color="auto" w:fill="FFFFFF"/>
          </w:rPr>
          <w:t>v</w:t>
        </w:r>
        <w:r w:rsidR="000307E4" w:rsidRPr="00AD6171">
          <w:rPr>
            <w:rStyle w:val="Hyperlink"/>
            <w:rFonts w:ascii="Arial" w:hAnsi="Arial" w:cs="Arial"/>
            <w:sz w:val="20"/>
            <w:szCs w:val="20"/>
            <w:shd w:val="clear" w:color="auto" w:fill="FFFFFF"/>
          </w:rPr>
          <w:t>ideo</w:t>
        </w:r>
      </w:hyperlink>
      <w:r w:rsidR="00491DD5" w:rsidRPr="0085401F">
        <w:rPr>
          <w:rFonts w:ascii="Arial" w:hAnsi="Arial" w:cs="Arial"/>
          <w:sz w:val="20"/>
          <w:szCs w:val="20"/>
          <w:shd w:val="clear" w:color="auto" w:fill="FFFFFF"/>
        </w:rPr>
        <w:t>.</w:t>
      </w:r>
      <w:r w:rsidR="005815EF">
        <w:rPr>
          <w:rFonts w:ascii="Arial" w:hAnsi="Arial" w:cs="Arial"/>
          <w:sz w:val="20"/>
          <w:szCs w:val="20"/>
          <w:shd w:val="clear" w:color="auto" w:fill="FFFFFF"/>
        </w:rPr>
        <w:t xml:space="preserve"> You may also visit the </w:t>
      </w:r>
      <w:hyperlink r:id="rId10" w:anchor="deal-summaries-list" w:history="1">
        <w:r w:rsidR="005815EF" w:rsidRPr="005815EF">
          <w:rPr>
            <w:rStyle w:val="Hyperlink"/>
            <w:rFonts w:ascii="Arial" w:hAnsi="Arial" w:cs="Arial"/>
            <w:sz w:val="20"/>
            <w:szCs w:val="20"/>
            <w:shd w:val="clear" w:color="auto" w:fill="FFFFFF"/>
          </w:rPr>
          <w:t>deal summary</w:t>
        </w:r>
      </w:hyperlink>
      <w:r w:rsidR="005815EF">
        <w:rPr>
          <w:rFonts w:ascii="Arial" w:hAnsi="Arial" w:cs="Arial"/>
          <w:sz w:val="20"/>
          <w:szCs w:val="20"/>
          <w:shd w:val="clear" w:color="auto" w:fill="FFFFFF"/>
        </w:rPr>
        <w:t xml:space="preserve"> section of the </w:t>
      </w:r>
      <w:hyperlink r:id="rId11" w:history="1">
        <w:r w:rsidR="005815EF" w:rsidRPr="005815EF">
          <w:rPr>
            <w:rStyle w:val="Hyperlink"/>
            <w:rFonts w:ascii="Arial" w:hAnsi="Arial" w:cs="Arial"/>
            <w:sz w:val="20"/>
            <w:szCs w:val="20"/>
            <w:shd w:val="clear" w:color="auto" w:fill="FFFFFF"/>
          </w:rPr>
          <w:t>TEAF webpage</w:t>
        </w:r>
      </w:hyperlink>
      <w:r w:rsidR="005815EF">
        <w:rPr>
          <w:rFonts w:ascii="Arial" w:hAnsi="Arial" w:cs="Arial"/>
          <w:sz w:val="20"/>
          <w:szCs w:val="20"/>
          <w:shd w:val="clear" w:color="auto" w:fill="FFFFFF"/>
        </w:rPr>
        <w:t xml:space="preserve"> for more information on the </w:t>
      </w:r>
      <w:r w:rsidR="00362946">
        <w:rPr>
          <w:rFonts w:ascii="Arial" w:hAnsi="Arial" w:cs="Arial"/>
          <w:sz w:val="20"/>
          <w:szCs w:val="20"/>
          <w:shd w:val="clear" w:color="auto" w:fill="FFFFFF"/>
        </w:rPr>
        <w:t xml:space="preserve">private </w:t>
      </w:r>
      <w:r w:rsidR="005815EF">
        <w:rPr>
          <w:rFonts w:ascii="Arial" w:hAnsi="Arial" w:cs="Arial"/>
          <w:sz w:val="20"/>
          <w:szCs w:val="20"/>
          <w:shd w:val="clear" w:color="auto" w:fill="FFFFFF"/>
        </w:rPr>
        <w:t xml:space="preserve">investments </w:t>
      </w:r>
      <w:r w:rsidR="00E367A4">
        <w:rPr>
          <w:rFonts w:ascii="Arial" w:hAnsi="Arial" w:cs="Arial"/>
          <w:sz w:val="20"/>
          <w:szCs w:val="20"/>
          <w:shd w:val="clear" w:color="auto" w:fill="FFFFFF"/>
        </w:rPr>
        <w:t>with</w:t>
      </w:r>
      <w:r w:rsidR="005815EF">
        <w:rPr>
          <w:rFonts w:ascii="Arial" w:hAnsi="Arial" w:cs="Arial"/>
          <w:sz w:val="20"/>
          <w:szCs w:val="20"/>
          <w:shd w:val="clear" w:color="auto" w:fill="FFFFFF"/>
        </w:rPr>
        <w:t xml:space="preserve">in the fund. </w:t>
      </w:r>
    </w:p>
    <w:p w14:paraId="5684030E" w14:textId="77777777" w:rsidR="00B46768" w:rsidRDefault="00B46768" w:rsidP="009263E6">
      <w:pPr>
        <w:rPr>
          <w:rFonts w:ascii="Arial" w:hAnsi="Arial" w:cs="Arial"/>
          <w:sz w:val="18"/>
          <w:szCs w:val="18"/>
        </w:rPr>
      </w:pPr>
    </w:p>
    <w:p w14:paraId="011AC51B" w14:textId="3F33FCDB" w:rsidR="00C841E0" w:rsidRPr="00BC1E77" w:rsidRDefault="00BC1E77" w:rsidP="009263E6">
      <w:pPr>
        <w:rPr>
          <w:rFonts w:ascii="Arial" w:hAnsi="Arial" w:cs="Arial"/>
          <w:sz w:val="18"/>
          <w:szCs w:val="18"/>
        </w:rPr>
      </w:pPr>
      <w:r w:rsidRPr="00BC1E77">
        <w:rPr>
          <w:rFonts w:ascii="Arial" w:hAnsi="Arial" w:cs="Arial"/>
          <w:sz w:val="18"/>
          <w:szCs w:val="18"/>
        </w:rPr>
        <w:t>Tortoise Capital Advisors, L.L.C.</w:t>
      </w:r>
      <w:r w:rsidR="00016DD5">
        <w:rPr>
          <w:rFonts w:ascii="Arial" w:hAnsi="Arial" w:cs="Arial"/>
          <w:sz w:val="18"/>
          <w:szCs w:val="18"/>
        </w:rPr>
        <w:t xml:space="preserve"> (d/b/a TCA Advisors)</w:t>
      </w:r>
      <w:r w:rsidRPr="00BC1E77">
        <w:rPr>
          <w:rFonts w:ascii="Arial" w:hAnsi="Arial" w:cs="Arial"/>
          <w:sz w:val="18"/>
          <w:szCs w:val="18"/>
        </w:rPr>
        <w:t xml:space="preserve"> </w:t>
      </w:r>
      <w:r w:rsidR="00C841E0" w:rsidRPr="00BC1E77">
        <w:rPr>
          <w:rFonts w:ascii="Arial" w:hAnsi="Arial" w:cs="Arial"/>
          <w:sz w:val="18"/>
          <w:szCs w:val="18"/>
        </w:rPr>
        <w:t>is the adviser to the</w:t>
      </w:r>
      <w:r w:rsidR="00AD6171" w:rsidRPr="00AD6171">
        <w:rPr>
          <w:rFonts w:ascii="Arial" w:hAnsi="Arial" w:cs="Arial"/>
          <w:sz w:val="18"/>
          <w:szCs w:val="18"/>
        </w:rPr>
        <w:t xml:space="preserve"> Tortoise Essential Assets Income Term Fund</w:t>
      </w:r>
      <w:r w:rsidR="00C841E0" w:rsidRPr="00BC1E77">
        <w:rPr>
          <w:rFonts w:ascii="Arial" w:hAnsi="Arial" w:cs="Arial"/>
          <w:sz w:val="18"/>
          <w:szCs w:val="18"/>
        </w:rPr>
        <w:t xml:space="preserve"> and Ecofin Advisors Limited is the fund’s sub-adviser.</w:t>
      </w:r>
    </w:p>
    <w:p w14:paraId="256FAD50" w14:textId="77777777" w:rsidR="009263E6" w:rsidRDefault="009263E6" w:rsidP="003F6072">
      <w:pPr>
        <w:autoSpaceDE w:val="0"/>
        <w:autoSpaceDN w:val="0"/>
        <w:adjustRightInd w:val="0"/>
        <w:rPr>
          <w:rFonts w:ascii="Arial" w:hAnsi="Arial" w:cs="Arial"/>
          <w:sz w:val="18"/>
          <w:szCs w:val="18"/>
        </w:rPr>
      </w:pPr>
    </w:p>
    <w:p w14:paraId="5B1DBA17" w14:textId="5FC476F6" w:rsidR="003F6072" w:rsidRPr="00D50AFF" w:rsidRDefault="003F6072" w:rsidP="003F6072">
      <w:pPr>
        <w:rPr>
          <w:rStyle w:val="Hyperlink"/>
          <w:rFonts w:ascii="Arial" w:hAnsi="Arial" w:cs="Arial"/>
          <w:bCs/>
          <w:iCs/>
          <w:color w:val="auto"/>
          <w:u w:val="none"/>
        </w:rPr>
      </w:pPr>
      <w:r>
        <w:rPr>
          <w:rFonts w:ascii="Arial" w:hAnsi="Arial" w:cs="Arial"/>
          <w:sz w:val="18"/>
          <w:szCs w:val="18"/>
        </w:rPr>
        <w:t xml:space="preserve">For additional information on </w:t>
      </w:r>
      <w:r w:rsidR="00BC1E77">
        <w:rPr>
          <w:rFonts w:ascii="Arial" w:hAnsi="Arial" w:cs="Arial"/>
          <w:sz w:val="18"/>
          <w:szCs w:val="18"/>
        </w:rPr>
        <w:t>our</w:t>
      </w:r>
      <w:r>
        <w:rPr>
          <w:rFonts w:ascii="Arial" w:hAnsi="Arial" w:cs="Arial"/>
          <w:sz w:val="18"/>
          <w:szCs w:val="18"/>
        </w:rPr>
        <w:t xml:space="preserve"> funds, please visit</w:t>
      </w:r>
      <w:r w:rsidR="009272B1">
        <w:rPr>
          <w:rFonts w:ascii="Arial" w:hAnsi="Arial" w:cs="Arial"/>
          <w:sz w:val="18"/>
          <w:szCs w:val="18"/>
        </w:rPr>
        <w:t xml:space="preserve"> </w:t>
      </w:r>
      <w:hyperlink r:id="rId12" w:history="1">
        <w:r w:rsidR="009272B1">
          <w:rPr>
            <w:rStyle w:val="Hyperlink"/>
            <w:rFonts w:ascii="Arial" w:hAnsi="Arial" w:cs="Arial"/>
            <w:sz w:val="18"/>
            <w:szCs w:val="18"/>
          </w:rPr>
          <w:t>cef.tortoiseecofin.com</w:t>
        </w:r>
      </w:hyperlink>
      <w:r>
        <w:rPr>
          <w:rStyle w:val="Hyperlink"/>
          <w:rFonts w:ascii="Arial" w:hAnsi="Arial" w:cs="Arial"/>
          <w:bCs/>
          <w:iCs/>
          <w:color w:val="auto"/>
          <w:sz w:val="18"/>
          <w:szCs w:val="18"/>
          <w:u w:val="none"/>
        </w:rPr>
        <w:t>.</w:t>
      </w:r>
    </w:p>
    <w:p w14:paraId="50D2F86B" w14:textId="3C0F22AC" w:rsidR="0059449F" w:rsidRPr="009C7C6C" w:rsidRDefault="00AC725B" w:rsidP="00AC725B">
      <w:pPr>
        <w:autoSpaceDE w:val="0"/>
        <w:autoSpaceDN w:val="0"/>
        <w:adjustRightInd w:val="0"/>
        <w:rPr>
          <w:rFonts w:ascii="Arial" w:hAnsi="Arial" w:cs="Arial"/>
          <w:sz w:val="20"/>
          <w:szCs w:val="20"/>
        </w:rPr>
      </w:pPr>
      <w:r w:rsidRPr="009C7C6C">
        <w:rPr>
          <w:rFonts w:ascii="Arial" w:hAnsi="Arial" w:cs="Arial"/>
          <w:sz w:val="20"/>
          <w:szCs w:val="20"/>
        </w:rPr>
        <w:t xml:space="preserve"> </w:t>
      </w:r>
    </w:p>
    <w:p w14:paraId="656AEAD1" w14:textId="22D92C82" w:rsidR="00AC725B" w:rsidRPr="009C7C6C" w:rsidRDefault="00C6307A" w:rsidP="000D63D8">
      <w:pPr>
        <w:rPr>
          <w:b/>
          <w:bCs/>
          <w:sz w:val="18"/>
          <w:szCs w:val="18"/>
        </w:rPr>
      </w:pPr>
      <w:r w:rsidRPr="00BC1E77">
        <w:rPr>
          <w:rStyle w:val="Strong"/>
          <w:rFonts w:ascii="Arial" w:hAnsi="Arial" w:cs="Arial"/>
          <w:sz w:val="18"/>
          <w:szCs w:val="18"/>
        </w:rPr>
        <w:t xml:space="preserve">About </w:t>
      </w:r>
      <w:r w:rsidR="00C841E0">
        <w:rPr>
          <w:rStyle w:val="Strong"/>
          <w:rFonts w:ascii="Arial" w:hAnsi="Arial" w:cs="Arial"/>
          <w:sz w:val="18"/>
          <w:szCs w:val="18"/>
        </w:rPr>
        <w:t>Ecofin</w:t>
      </w:r>
      <w:r w:rsidRPr="000D63D8">
        <w:rPr>
          <w:rFonts w:ascii="Arial" w:hAnsi="Arial" w:cs="Arial"/>
          <w:sz w:val="18"/>
          <w:szCs w:val="18"/>
        </w:rPr>
        <w:br/>
      </w:r>
      <w:r w:rsidR="00C841E0" w:rsidRPr="00BC1E77">
        <w:rPr>
          <w:rFonts w:ascii="Arial" w:hAnsi="Arial" w:cs="Arial"/>
          <w:sz w:val="18"/>
          <w:szCs w:val="18"/>
        </w:rPr>
        <w:t>Ecofin is a sustainable investment firm dedicated to uniting ecology and finance. Our mission is to generate strong risk-adjusted returns while optimizing investors’ impact on society. We are socially-minded, ESG-attentive investors, harnessing years of expertise investing in sustainable infrastructure, energy transition, clean water &amp; environment and social impact. Our strategies are accessible through a variety of investment solutions and seek to achieve positive impacts that align with UN Sustainable Development Goals by addressing pressing global issues surrounding climate action, clean energy, water, education, healthcare and sustainable communities. Ecofin Investments, LLC is the parent of registered investment advisers Ecofin Advisors, LLC and Ecofin Advisors Limited (collectively "Ecofin").</w:t>
      </w:r>
      <w:r w:rsidR="000D63D8" w:rsidRPr="000D63D8">
        <w:rPr>
          <w:rFonts w:ascii="Arial" w:hAnsi="Arial" w:cs="Arial"/>
          <w:sz w:val="18"/>
          <w:szCs w:val="18"/>
        </w:rPr>
        <w:t xml:space="preserve"> To learn more, visit </w:t>
      </w:r>
      <w:hyperlink r:id="rId13" w:history="1">
        <w:r w:rsidR="00C841E0">
          <w:rPr>
            <w:rStyle w:val="Hyperlink"/>
            <w:rFonts w:ascii="Arial" w:hAnsi="Arial" w:cs="Arial"/>
            <w:sz w:val="18"/>
            <w:szCs w:val="18"/>
          </w:rPr>
          <w:t>www.ecofininvest.com</w:t>
        </w:r>
      </w:hyperlink>
      <w:r w:rsidR="000D63D8" w:rsidRPr="000D63D8">
        <w:rPr>
          <w:rFonts w:ascii="Arial" w:hAnsi="Arial" w:cs="Arial"/>
          <w:sz w:val="18"/>
          <w:szCs w:val="18"/>
        </w:rPr>
        <w:t>.</w:t>
      </w:r>
      <w:r w:rsidRPr="009C7C6C">
        <w:rPr>
          <w:sz w:val="18"/>
          <w:szCs w:val="18"/>
        </w:rPr>
        <w:br/>
      </w:r>
    </w:p>
    <w:p w14:paraId="2E530F16" w14:textId="77777777" w:rsidR="00EF3D1F" w:rsidRPr="009C7C6C" w:rsidRDefault="00EF3D1F" w:rsidP="00EF3D1F">
      <w:pPr>
        <w:ind w:right="180"/>
        <w:rPr>
          <w:rFonts w:ascii="Arial" w:hAnsi="Arial" w:cs="Arial"/>
          <w:b/>
          <w:sz w:val="18"/>
          <w:szCs w:val="18"/>
        </w:rPr>
      </w:pPr>
      <w:r w:rsidRPr="009C7C6C">
        <w:rPr>
          <w:rFonts w:ascii="Arial" w:hAnsi="Arial" w:cs="Arial"/>
          <w:b/>
          <w:sz w:val="18"/>
          <w:szCs w:val="18"/>
        </w:rPr>
        <w:t>Cautionary Statement Regarding Forward-Looking Statements</w:t>
      </w:r>
    </w:p>
    <w:p w14:paraId="43767CBC" w14:textId="20AE8723" w:rsidR="00EF3D1F" w:rsidRDefault="00EF3D1F" w:rsidP="00EF3D1F">
      <w:pPr>
        <w:ind w:right="180"/>
        <w:rPr>
          <w:rFonts w:ascii="Arial" w:hAnsi="Arial" w:cs="Arial"/>
          <w:sz w:val="18"/>
          <w:szCs w:val="18"/>
        </w:rPr>
      </w:pPr>
      <w:r w:rsidRPr="009C7C6C">
        <w:rPr>
          <w:rFonts w:ascii="Arial" w:hAnsi="Arial" w:cs="Arial"/>
          <w:sz w:val="18"/>
          <w:szCs w:val="18"/>
        </w:rPr>
        <w:t xml:space="preserve">This press release contains certain statements that may include “forward-looking statements” within the meaning of Section 27A of the Securities Act of 1933 and Section 21E of the Securities Exchange Act </w:t>
      </w:r>
      <w:r w:rsidRPr="00086E82">
        <w:rPr>
          <w:rFonts w:ascii="Arial" w:hAnsi="Arial" w:cs="Arial"/>
          <w:sz w:val="18"/>
          <w:szCs w:val="18"/>
        </w:rPr>
        <w:t>of 1934. All statements, other than statements of historical fact, included herein are "forward-looking statements." Although the funds and Tortoise Capital Advisors believe that the expectations reflected in these forward-looking statements are reasonable, they do involve assumptions, risks and uncertainties, and these expectations may prove to be incorrect. Actual results could differ materially from those anticipated in these forward-looking statements as a result of a variety of factors, including those discussed in the fund’s reports that are filed with the Securities and Exchange Commission. You should not place undue reliance on these forward-looking statements, which speak only as of the date of this press release.  Other than as required by law, the funds and Tortoise Capital Advisors do not assume</w:t>
      </w:r>
      <w:r w:rsidRPr="009C7C6C">
        <w:rPr>
          <w:rFonts w:ascii="Arial" w:hAnsi="Arial" w:cs="Arial"/>
          <w:sz w:val="18"/>
          <w:szCs w:val="18"/>
        </w:rPr>
        <w:t xml:space="preserve"> a duty to update this forward-looking statement. </w:t>
      </w:r>
    </w:p>
    <w:p w14:paraId="62830F19" w14:textId="58E71390" w:rsidR="003F6072" w:rsidRDefault="003F6072" w:rsidP="00EF3D1F">
      <w:pPr>
        <w:ind w:right="180"/>
        <w:rPr>
          <w:rFonts w:ascii="Arial" w:hAnsi="Arial" w:cs="Arial"/>
          <w:sz w:val="18"/>
          <w:szCs w:val="18"/>
        </w:rPr>
      </w:pPr>
    </w:p>
    <w:p w14:paraId="282C5605" w14:textId="77777777" w:rsidR="003F6072" w:rsidRPr="009C7C6C" w:rsidRDefault="003F6072" w:rsidP="003F6072">
      <w:pPr>
        <w:pStyle w:val="Default"/>
        <w:ind w:right="180"/>
        <w:rPr>
          <w:color w:val="auto"/>
          <w:sz w:val="18"/>
          <w:szCs w:val="18"/>
        </w:rPr>
      </w:pPr>
      <w:r w:rsidRPr="009C7C6C">
        <w:rPr>
          <w:b/>
          <w:bCs/>
          <w:color w:val="auto"/>
          <w:sz w:val="18"/>
          <w:szCs w:val="18"/>
        </w:rPr>
        <w:t xml:space="preserve">Safe Harbor Statement </w:t>
      </w:r>
    </w:p>
    <w:p w14:paraId="47ECCBE4" w14:textId="77777777" w:rsidR="003F6072" w:rsidRPr="009C7C6C" w:rsidRDefault="003F6072" w:rsidP="003F6072">
      <w:pPr>
        <w:pStyle w:val="Default"/>
        <w:ind w:right="180"/>
        <w:rPr>
          <w:color w:val="auto"/>
          <w:sz w:val="18"/>
          <w:szCs w:val="18"/>
        </w:rPr>
      </w:pPr>
      <w:r w:rsidRPr="009C7C6C">
        <w:rPr>
          <w:color w:val="auto"/>
          <w:sz w:val="18"/>
          <w:szCs w:val="18"/>
        </w:rPr>
        <w:t xml:space="preserve">This press release shall not constitute an offer to sell or a solicitation to buy, nor shall there be any sale of these securities in any state or jurisdiction in which such offer or solicitation or sale would be unlawful prior to registration or qualification under the laws of such state or jurisdiction. </w:t>
      </w:r>
    </w:p>
    <w:p w14:paraId="339C058D" w14:textId="77777777" w:rsidR="00405077" w:rsidRPr="009C7C6C" w:rsidRDefault="00405077" w:rsidP="00405077">
      <w:pPr>
        <w:pStyle w:val="Default"/>
        <w:ind w:left="180" w:right="180"/>
        <w:rPr>
          <w:b/>
          <w:bCs/>
          <w:color w:val="auto"/>
          <w:sz w:val="18"/>
          <w:szCs w:val="18"/>
        </w:rPr>
      </w:pPr>
    </w:p>
    <w:p w14:paraId="4F00B8D0" w14:textId="77777777" w:rsidR="003F6072" w:rsidRPr="00DA1C13" w:rsidRDefault="003F6072" w:rsidP="003F6072">
      <w:pPr>
        <w:pStyle w:val="Default"/>
        <w:ind w:right="1044"/>
        <w:rPr>
          <w:color w:val="auto"/>
          <w:sz w:val="18"/>
          <w:szCs w:val="18"/>
        </w:rPr>
      </w:pPr>
      <w:r w:rsidRPr="00DA1C13">
        <w:rPr>
          <w:b/>
          <w:bCs/>
          <w:color w:val="auto"/>
          <w:sz w:val="18"/>
          <w:szCs w:val="18"/>
        </w:rPr>
        <w:t>Contact Information</w:t>
      </w:r>
    </w:p>
    <w:p w14:paraId="69BEE3EB" w14:textId="1AF4807B" w:rsidR="003F6072" w:rsidRPr="00B94325" w:rsidRDefault="003F6072" w:rsidP="003F6072">
      <w:pPr>
        <w:rPr>
          <w:rFonts w:ascii="Arial" w:hAnsi="Arial" w:cs="Arial"/>
          <w:sz w:val="18"/>
          <w:szCs w:val="18"/>
        </w:rPr>
      </w:pPr>
      <w:r>
        <w:rPr>
          <w:rFonts w:ascii="Arial" w:hAnsi="Arial" w:cs="Arial"/>
          <w:bCs/>
          <w:iCs/>
          <w:sz w:val="18"/>
          <w:szCs w:val="18"/>
        </w:rPr>
        <w:t xml:space="preserve">For more information contact Maggie Zastrow at (913) 981-1020 or </w:t>
      </w:r>
      <w:hyperlink r:id="rId14" w:history="1">
        <w:r w:rsidR="0085401F">
          <w:rPr>
            <w:rStyle w:val="Hyperlink"/>
            <w:rFonts w:ascii="Arial" w:hAnsi="Arial" w:cs="Arial"/>
            <w:bCs/>
            <w:iCs/>
            <w:color w:val="auto"/>
            <w:sz w:val="18"/>
            <w:szCs w:val="18"/>
          </w:rPr>
          <w:t>info@tortoiseecofin.com</w:t>
        </w:r>
      </w:hyperlink>
      <w:r>
        <w:rPr>
          <w:rFonts w:ascii="Arial" w:hAnsi="Arial" w:cs="Arial"/>
          <w:sz w:val="18"/>
          <w:szCs w:val="18"/>
        </w:rPr>
        <w:t>.</w:t>
      </w:r>
    </w:p>
    <w:p w14:paraId="525DDC48" w14:textId="77777777" w:rsidR="00C82E81" w:rsidRDefault="00405077" w:rsidP="00CE40D3">
      <w:pPr>
        <w:tabs>
          <w:tab w:val="left" w:pos="3571"/>
        </w:tabs>
        <w:rPr>
          <w:rFonts w:ascii="Arial" w:hAnsi="Arial" w:cs="Arial"/>
          <w:sz w:val="18"/>
          <w:szCs w:val="18"/>
        </w:rPr>
      </w:pPr>
      <w:r w:rsidRPr="00A759E8">
        <w:rPr>
          <w:rFonts w:ascii="Arial" w:hAnsi="Arial" w:cs="Arial"/>
          <w:sz w:val="18"/>
          <w:szCs w:val="18"/>
        </w:rPr>
        <w:tab/>
      </w:r>
    </w:p>
    <w:p w14:paraId="75D88B1F" w14:textId="77777777" w:rsidR="00F22D87" w:rsidRDefault="00F22D87" w:rsidP="00CE40D3">
      <w:pPr>
        <w:tabs>
          <w:tab w:val="left" w:pos="3571"/>
        </w:tabs>
        <w:rPr>
          <w:rFonts w:ascii="Arial" w:hAnsi="Arial" w:cs="Arial"/>
          <w:sz w:val="18"/>
          <w:szCs w:val="18"/>
        </w:rPr>
      </w:pPr>
    </w:p>
    <w:p w14:paraId="0F5E23B8" w14:textId="77777777" w:rsidR="00F22D87" w:rsidRPr="00A759E8" w:rsidRDefault="00F22D87" w:rsidP="00B96E2D">
      <w:pPr>
        <w:tabs>
          <w:tab w:val="left" w:pos="3571"/>
        </w:tabs>
        <w:rPr>
          <w:rFonts w:ascii="Arial" w:hAnsi="Arial" w:cs="Arial"/>
          <w:sz w:val="18"/>
          <w:szCs w:val="18"/>
        </w:rPr>
      </w:pPr>
    </w:p>
    <w:sectPr w:rsidR="00F22D87" w:rsidRPr="00A759E8" w:rsidSect="002B2064">
      <w:footerReference w:type="default" r:id="rId15"/>
      <w:headerReference w:type="first" r:id="rId16"/>
      <w:footerReference w:type="first" r:id="rId17"/>
      <w:pgSz w:w="12240" w:h="15840"/>
      <w:pgMar w:top="1987" w:right="720" w:bottom="720" w:left="72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AC6DD" w14:textId="77777777" w:rsidR="00CF1BB6" w:rsidRDefault="00CF1BB6" w:rsidP="00D1421C">
      <w:r>
        <w:separator/>
      </w:r>
    </w:p>
  </w:endnote>
  <w:endnote w:type="continuationSeparator" w:id="0">
    <w:p w14:paraId="3CD787CF" w14:textId="77777777" w:rsidR="00CF1BB6" w:rsidRDefault="00CF1BB6" w:rsidP="00D1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Univers LT Std 45 Light">
    <w:altName w:val="Univers LT Std 45 Light"/>
    <w:panose1 w:val="020B0403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46379" w14:textId="16A57ADF" w:rsidR="00E079FB" w:rsidRPr="00E079FB" w:rsidRDefault="00E079FB" w:rsidP="00E079FB">
    <w:pPr>
      <w:autoSpaceDE w:val="0"/>
      <w:autoSpaceDN w:val="0"/>
      <w:spacing w:line="288" w:lineRule="auto"/>
      <w:jc w:val="center"/>
      <w:rPr>
        <w:rFonts w:ascii="Arial" w:eastAsiaTheme="minorEastAsia" w:hAnsi="Arial" w:cs="Arial"/>
        <w:noProof/>
        <w:color w:val="1E252B"/>
        <w:sz w:val="16"/>
        <w:szCs w:val="16"/>
      </w:rPr>
    </w:pPr>
    <w:r w:rsidRPr="0059449F">
      <w:rPr>
        <w:rFonts w:ascii="Arial" w:hAnsi="Arial" w:cs="Arial"/>
        <w:color w:val="595959" w:themeColor="text1" w:themeTint="A6"/>
        <w:sz w:val="18"/>
        <w:szCs w:val="18"/>
      </w:rPr>
      <w:t>5100 W. 115th Place</w:t>
    </w:r>
    <w:r w:rsidRPr="00F4701B">
      <w:rPr>
        <w:rFonts w:ascii="Arial" w:hAnsi="Arial" w:cs="Arial"/>
        <w:color w:val="595959" w:themeColor="text1" w:themeTint="A6"/>
        <w:sz w:val="18"/>
        <w:szCs w:val="18"/>
      </w:rPr>
      <w:t>,</w:t>
    </w:r>
    <w:r>
      <w:rPr>
        <w:rFonts w:ascii="Arial" w:hAnsi="Arial" w:cs="Arial"/>
        <w:color w:val="595959" w:themeColor="text1" w:themeTint="A6"/>
        <w:sz w:val="18"/>
        <w:szCs w:val="18"/>
      </w:rPr>
      <w:t xml:space="preserve"> Leawood, KS 66211   |   </w:t>
    </w:r>
    <w:r w:rsidRPr="00F4701B">
      <w:rPr>
        <w:rFonts w:ascii="Arial" w:hAnsi="Arial" w:cs="Arial"/>
        <w:color w:val="595959" w:themeColor="text1" w:themeTint="A6"/>
        <w:sz w:val="18"/>
        <w:szCs w:val="18"/>
      </w:rPr>
      <w:t xml:space="preserve">913-981-1020   |   </w:t>
    </w:r>
    <w:r>
      <w:rPr>
        <w:rFonts w:ascii="Arial" w:hAnsi="Arial" w:cs="Arial"/>
        <w:color w:val="04728A"/>
        <w:sz w:val="18"/>
        <w:szCs w:val="18"/>
      </w:rPr>
      <w:t>www.</w:t>
    </w:r>
    <w:r w:rsidR="00505B3F">
      <w:rPr>
        <w:rFonts w:ascii="Arial" w:hAnsi="Arial" w:cs="Arial"/>
        <w:color w:val="04728A"/>
        <w:sz w:val="18"/>
        <w:szCs w:val="18"/>
      </w:rPr>
      <w:t>TortoiseEcofin</w:t>
    </w:r>
    <w:r w:rsidRPr="00F4701B">
      <w:rPr>
        <w:rFonts w:ascii="Arial" w:hAnsi="Arial" w:cs="Arial"/>
        <w:color w:val="04728A"/>
        <w:sz w:val="18"/>
        <w:szCs w:val="18"/>
      </w:rPr>
      <w:t>.com</w:t>
    </w:r>
  </w:p>
  <w:p w14:paraId="6A624DC8" w14:textId="77777777" w:rsidR="00E079FB" w:rsidRDefault="00E07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E182" w14:textId="2D50E133" w:rsidR="0059449F" w:rsidRPr="00E079FB" w:rsidRDefault="0059449F" w:rsidP="0059449F">
    <w:pPr>
      <w:autoSpaceDE w:val="0"/>
      <w:autoSpaceDN w:val="0"/>
      <w:spacing w:line="288" w:lineRule="auto"/>
      <w:jc w:val="center"/>
      <w:rPr>
        <w:rFonts w:ascii="Arial" w:eastAsiaTheme="minorEastAsia" w:hAnsi="Arial" w:cs="Arial"/>
        <w:noProof/>
        <w:color w:val="1E252B"/>
        <w:sz w:val="16"/>
        <w:szCs w:val="16"/>
      </w:rPr>
    </w:pPr>
    <w:r w:rsidRPr="0059449F">
      <w:rPr>
        <w:rFonts w:ascii="Arial" w:hAnsi="Arial" w:cs="Arial"/>
        <w:color w:val="595959" w:themeColor="text1" w:themeTint="A6"/>
        <w:sz w:val="18"/>
        <w:szCs w:val="18"/>
      </w:rPr>
      <w:t>5100 W. 115th Place</w:t>
    </w:r>
    <w:r w:rsidRPr="00F4701B">
      <w:rPr>
        <w:rFonts w:ascii="Arial" w:hAnsi="Arial" w:cs="Arial"/>
        <w:color w:val="595959" w:themeColor="text1" w:themeTint="A6"/>
        <w:sz w:val="18"/>
        <w:szCs w:val="18"/>
      </w:rPr>
      <w:t>,</w:t>
    </w:r>
    <w:r>
      <w:rPr>
        <w:rFonts w:ascii="Arial" w:hAnsi="Arial" w:cs="Arial"/>
        <w:color w:val="595959" w:themeColor="text1" w:themeTint="A6"/>
        <w:sz w:val="18"/>
        <w:szCs w:val="18"/>
      </w:rPr>
      <w:t xml:space="preserve"> Leawood, KS 66211   |   </w:t>
    </w:r>
    <w:r w:rsidRPr="00F4701B">
      <w:rPr>
        <w:rFonts w:ascii="Arial" w:hAnsi="Arial" w:cs="Arial"/>
        <w:color w:val="595959" w:themeColor="text1" w:themeTint="A6"/>
        <w:sz w:val="18"/>
        <w:szCs w:val="18"/>
      </w:rPr>
      <w:t xml:space="preserve">913-981-1020   |   </w:t>
    </w:r>
    <w:r>
      <w:rPr>
        <w:rFonts w:ascii="Arial" w:hAnsi="Arial" w:cs="Arial"/>
        <w:color w:val="04728A"/>
        <w:sz w:val="18"/>
        <w:szCs w:val="18"/>
      </w:rPr>
      <w:t>www.</w:t>
    </w:r>
    <w:r w:rsidR="00B831FC">
      <w:rPr>
        <w:rFonts w:ascii="Arial" w:hAnsi="Arial" w:cs="Arial"/>
        <w:color w:val="04728A"/>
        <w:sz w:val="18"/>
        <w:szCs w:val="18"/>
      </w:rPr>
      <w:t>TortoiseEcofin</w:t>
    </w:r>
    <w:r w:rsidRPr="00F4701B">
      <w:rPr>
        <w:rFonts w:ascii="Arial" w:hAnsi="Arial" w:cs="Arial"/>
        <w:color w:val="04728A"/>
        <w:sz w:val="18"/>
        <w:szCs w:val="18"/>
      </w:rPr>
      <w:t>.com</w:t>
    </w:r>
  </w:p>
  <w:p w14:paraId="354C6CC7" w14:textId="3ABEA8E3" w:rsidR="00C82E81" w:rsidRPr="0059449F" w:rsidRDefault="00C82E81" w:rsidP="00594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6E04F" w14:textId="77777777" w:rsidR="00CF1BB6" w:rsidRDefault="00CF1BB6" w:rsidP="00D1421C">
      <w:r>
        <w:separator/>
      </w:r>
    </w:p>
  </w:footnote>
  <w:footnote w:type="continuationSeparator" w:id="0">
    <w:p w14:paraId="0E314BBA" w14:textId="77777777" w:rsidR="00CF1BB6" w:rsidRDefault="00CF1BB6" w:rsidP="00D14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F5CF7" w14:textId="3E9493D0" w:rsidR="00C82E81" w:rsidRDefault="00F4701B" w:rsidP="00122924">
    <w:pPr>
      <w:pStyle w:val="Header"/>
    </w:pPr>
    <w:r>
      <w:rPr>
        <w:rFonts w:hint="eastAsia"/>
        <w:noProof/>
        <w:lang w:eastAsia="en-US"/>
      </w:rPr>
      <mc:AlternateContent>
        <mc:Choice Requires="wps">
          <w:drawing>
            <wp:anchor distT="0" distB="0" distL="114300" distR="114300" simplePos="0" relativeHeight="251659264" behindDoc="0" locked="0" layoutInCell="1" allowOverlap="1" wp14:anchorId="3AF2C901" wp14:editId="0F16067B">
              <wp:simplePos x="0" y="0"/>
              <wp:positionH relativeFrom="column">
                <wp:posOffset>-15240</wp:posOffset>
              </wp:positionH>
              <wp:positionV relativeFrom="paragraph">
                <wp:posOffset>601980</wp:posOffset>
              </wp:positionV>
              <wp:extent cx="7010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010400" cy="0"/>
                      </a:xfrm>
                      <a:prstGeom prst="line">
                        <a:avLst/>
                      </a:prstGeom>
                      <a:ln w="12700">
                        <a:solidFill>
                          <a:srgbClr val="04728A"/>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B23A8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47.4pt" to="550.8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" strokecolor="#04728a" strokeweight="1pt"/>
          </w:pict>
        </mc:Fallback>
      </mc:AlternateContent>
    </w:r>
    <w:r w:rsidR="00B831FC">
      <w:rPr>
        <w:noProof/>
      </w:rPr>
      <w:drawing>
        <wp:inline distT="0" distB="0" distL="0" distR="0" wp14:anchorId="64F77790" wp14:editId="028DE56D">
          <wp:extent cx="2157988" cy="454153"/>
          <wp:effectExtent l="0" t="0" r="0" b="3175"/>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stretch>
                    <a:fillRect/>
                  </a:stretch>
                </pic:blipFill>
                <pic:spPr>
                  <a:xfrm>
                    <a:off x="0" y="0"/>
                    <a:ext cx="2157988" cy="4541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376D"/>
    <w:multiLevelType w:val="hybridMultilevel"/>
    <w:tmpl w:val="937ECABA"/>
    <w:lvl w:ilvl="0" w:tplc="0CC06D32">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2D4156"/>
    <w:multiLevelType w:val="hybridMultilevel"/>
    <w:tmpl w:val="5D4EF87C"/>
    <w:lvl w:ilvl="0" w:tplc="1DDA8C72">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2" w15:restartNumberingAfterBreak="0">
    <w:nsid w:val="53F65C55"/>
    <w:multiLevelType w:val="hybridMultilevel"/>
    <w:tmpl w:val="DA44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331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false"/>
    <w:docVar w:name="APWAFVersion" w:val="5.0"/>
  </w:docVars>
  <w:rsids>
    <w:rsidRoot w:val="00D1421C"/>
    <w:rsid w:val="00016DD5"/>
    <w:rsid w:val="0001722B"/>
    <w:rsid w:val="00021FAB"/>
    <w:rsid w:val="000241BA"/>
    <w:rsid w:val="000268E8"/>
    <w:rsid w:val="000307E4"/>
    <w:rsid w:val="00033093"/>
    <w:rsid w:val="00036F83"/>
    <w:rsid w:val="00050C65"/>
    <w:rsid w:val="00056692"/>
    <w:rsid w:val="00056FBB"/>
    <w:rsid w:val="0007444D"/>
    <w:rsid w:val="00080D0E"/>
    <w:rsid w:val="00086E82"/>
    <w:rsid w:val="00095671"/>
    <w:rsid w:val="00097110"/>
    <w:rsid w:val="00097ADC"/>
    <w:rsid w:val="000A2834"/>
    <w:rsid w:val="000A3502"/>
    <w:rsid w:val="000C47DD"/>
    <w:rsid w:val="000D1E8E"/>
    <w:rsid w:val="000D2393"/>
    <w:rsid w:val="000D63D8"/>
    <w:rsid w:val="000F2CE0"/>
    <w:rsid w:val="00101CA6"/>
    <w:rsid w:val="00102CFD"/>
    <w:rsid w:val="0011255C"/>
    <w:rsid w:val="00122924"/>
    <w:rsid w:val="00123219"/>
    <w:rsid w:val="00124920"/>
    <w:rsid w:val="00127CE6"/>
    <w:rsid w:val="00130A1C"/>
    <w:rsid w:val="00130C88"/>
    <w:rsid w:val="00135C66"/>
    <w:rsid w:val="00144B5E"/>
    <w:rsid w:val="001466B9"/>
    <w:rsid w:val="001600D8"/>
    <w:rsid w:val="00162C83"/>
    <w:rsid w:val="00162F61"/>
    <w:rsid w:val="0016520B"/>
    <w:rsid w:val="001655F0"/>
    <w:rsid w:val="001668BC"/>
    <w:rsid w:val="00172D93"/>
    <w:rsid w:val="0017332A"/>
    <w:rsid w:val="00177B0B"/>
    <w:rsid w:val="00190718"/>
    <w:rsid w:val="001913DC"/>
    <w:rsid w:val="00193CED"/>
    <w:rsid w:val="00197792"/>
    <w:rsid w:val="001A3982"/>
    <w:rsid w:val="001A7881"/>
    <w:rsid w:val="001D2D08"/>
    <w:rsid w:val="001D6D07"/>
    <w:rsid w:val="001F4512"/>
    <w:rsid w:val="001F65C0"/>
    <w:rsid w:val="0020268C"/>
    <w:rsid w:val="00210537"/>
    <w:rsid w:val="00210865"/>
    <w:rsid w:val="00211CA7"/>
    <w:rsid w:val="00220727"/>
    <w:rsid w:val="00221FCA"/>
    <w:rsid w:val="0022323C"/>
    <w:rsid w:val="00224BA6"/>
    <w:rsid w:val="00231B45"/>
    <w:rsid w:val="00232F47"/>
    <w:rsid w:val="00240A36"/>
    <w:rsid w:val="00243887"/>
    <w:rsid w:val="00245F83"/>
    <w:rsid w:val="0025599F"/>
    <w:rsid w:val="00263B7D"/>
    <w:rsid w:val="0026451C"/>
    <w:rsid w:val="00267485"/>
    <w:rsid w:val="00271395"/>
    <w:rsid w:val="00271E52"/>
    <w:rsid w:val="002725DF"/>
    <w:rsid w:val="00273157"/>
    <w:rsid w:val="0027707A"/>
    <w:rsid w:val="00283F6C"/>
    <w:rsid w:val="002868EA"/>
    <w:rsid w:val="00293FE9"/>
    <w:rsid w:val="002944B4"/>
    <w:rsid w:val="002A612E"/>
    <w:rsid w:val="002B0C98"/>
    <w:rsid w:val="002B2064"/>
    <w:rsid w:val="002B2881"/>
    <w:rsid w:val="002B4194"/>
    <w:rsid w:val="002B617A"/>
    <w:rsid w:val="002B64A4"/>
    <w:rsid w:val="002B736F"/>
    <w:rsid w:val="002C29F7"/>
    <w:rsid w:val="002E7F10"/>
    <w:rsid w:val="002F3DCE"/>
    <w:rsid w:val="002F572A"/>
    <w:rsid w:val="002F796B"/>
    <w:rsid w:val="00302938"/>
    <w:rsid w:val="00312035"/>
    <w:rsid w:val="00312A3B"/>
    <w:rsid w:val="0031391E"/>
    <w:rsid w:val="00317797"/>
    <w:rsid w:val="00320B76"/>
    <w:rsid w:val="0032459F"/>
    <w:rsid w:val="00326EDB"/>
    <w:rsid w:val="00332886"/>
    <w:rsid w:val="00336018"/>
    <w:rsid w:val="00346771"/>
    <w:rsid w:val="00362946"/>
    <w:rsid w:val="00364D2C"/>
    <w:rsid w:val="00370117"/>
    <w:rsid w:val="00375402"/>
    <w:rsid w:val="00377833"/>
    <w:rsid w:val="0039340C"/>
    <w:rsid w:val="003943EF"/>
    <w:rsid w:val="0039448F"/>
    <w:rsid w:val="003968A5"/>
    <w:rsid w:val="003A2EE5"/>
    <w:rsid w:val="003A4BC9"/>
    <w:rsid w:val="003A753C"/>
    <w:rsid w:val="003B7FB8"/>
    <w:rsid w:val="003C0E37"/>
    <w:rsid w:val="003D0170"/>
    <w:rsid w:val="003D3ADE"/>
    <w:rsid w:val="003F0AE4"/>
    <w:rsid w:val="003F3D45"/>
    <w:rsid w:val="003F6072"/>
    <w:rsid w:val="00405077"/>
    <w:rsid w:val="0040611E"/>
    <w:rsid w:val="00410F2E"/>
    <w:rsid w:val="004164F3"/>
    <w:rsid w:val="004205A9"/>
    <w:rsid w:val="00426630"/>
    <w:rsid w:val="0043748D"/>
    <w:rsid w:val="004474F4"/>
    <w:rsid w:val="00450A56"/>
    <w:rsid w:val="00451BA7"/>
    <w:rsid w:val="0045268C"/>
    <w:rsid w:val="00464FE0"/>
    <w:rsid w:val="00465046"/>
    <w:rsid w:val="004654CD"/>
    <w:rsid w:val="00466386"/>
    <w:rsid w:val="00472AA7"/>
    <w:rsid w:val="00486751"/>
    <w:rsid w:val="00491DD5"/>
    <w:rsid w:val="00493A12"/>
    <w:rsid w:val="00497F68"/>
    <w:rsid w:val="004A6921"/>
    <w:rsid w:val="004A7F7F"/>
    <w:rsid w:val="004B05EB"/>
    <w:rsid w:val="004B1429"/>
    <w:rsid w:val="004B6F00"/>
    <w:rsid w:val="004C0600"/>
    <w:rsid w:val="004C6AD7"/>
    <w:rsid w:val="004C76D4"/>
    <w:rsid w:val="004D1DCC"/>
    <w:rsid w:val="004D4734"/>
    <w:rsid w:val="004D5B85"/>
    <w:rsid w:val="004D605D"/>
    <w:rsid w:val="004E3C94"/>
    <w:rsid w:val="00504A78"/>
    <w:rsid w:val="00505B3F"/>
    <w:rsid w:val="00516450"/>
    <w:rsid w:val="00520ADB"/>
    <w:rsid w:val="00520F69"/>
    <w:rsid w:val="00544F52"/>
    <w:rsid w:val="00546491"/>
    <w:rsid w:val="00547622"/>
    <w:rsid w:val="0055190A"/>
    <w:rsid w:val="00553B15"/>
    <w:rsid w:val="00556175"/>
    <w:rsid w:val="00564495"/>
    <w:rsid w:val="00567CBB"/>
    <w:rsid w:val="00574A2E"/>
    <w:rsid w:val="005815EF"/>
    <w:rsid w:val="00582432"/>
    <w:rsid w:val="00591E1E"/>
    <w:rsid w:val="0059449F"/>
    <w:rsid w:val="00595920"/>
    <w:rsid w:val="005968E6"/>
    <w:rsid w:val="005A011C"/>
    <w:rsid w:val="005A088D"/>
    <w:rsid w:val="005A15AF"/>
    <w:rsid w:val="005A2539"/>
    <w:rsid w:val="005B1542"/>
    <w:rsid w:val="005B39AC"/>
    <w:rsid w:val="005B5DEF"/>
    <w:rsid w:val="005B75DC"/>
    <w:rsid w:val="005C5D67"/>
    <w:rsid w:val="005C7BAA"/>
    <w:rsid w:val="005E07CA"/>
    <w:rsid w:val="005E13E1"/>
    <w:rsid w:val="005E179A"/>
    <w:rsid w:val="005E518C"/>
    <w:rsid w:val="005E5951"/>
    <w:rsid w:val="005F1A84"/>
    <w:rsid w:val="005F2895"/>
    <w:rsid w:val="00607483"/>
    <w:rsid w:val="00611B4D"/>
    <w:rsid w:val="00611B73"/>
    <w:rsid w:val="0061613C"/>
    <w:rsid w:val="00624F98"/>
    <w:rsid w:val="00624FE2"/>
    <w:rsid w:val="0062512F"/>
    <w:rsid w:val="00626E1A"/>
    <w:rsid w:val="00632B97"/>
    <w:rsid w:val="006417DB"/>
    <w:rsid w:val="006427FD"/>
    <w:rsid w:val="00644A36"/>
    <w:rsid w:val="00650D1F"/>
    <w:rsid w:val="00654464"/>
    <w:rsid w:val="00657161"/>
    <w:rsid w:val="00657701"/>
    <w:rsid w:val="00672D53"/>
    <w:rsid w:val="00673D48"/>
    <w:rsid w:val="00691F66"/>
    <w:rsid w:val="00693790"/>
    <w:rsid w:val="00697F09"/>
    <w:rsid w:val="006A24D6"/>
    <w:rsid w:val="006A26AD"/>
    <w:rsid w:val="006A5E1B"/>
    <w:rsid w:val="006A73F9"/>
    <w:rsid w:val="006C36AA"/>
    <w:rsid w:val="006C3BE2"/>
    <w:rsid w:val="006C4531"/>
    <w:rsid w:val="006F1425"/>
    <w:rsid w:val="00701780"/>
    <w:rsid w:val="0070672D"/>
    <w:rsid w:val="007074BA"/>
    <w:rsid w:val="00714901"/>
    <w:rsid w:val="0072088E"/>
    <w:rsid w:val="00740B1C"/>
    <w:rsid w:val="00740E5E"/>
    <w:rsid w:val="007447E9"/>
    <w:rsid w:val="007455F0"/>
    <w:rsid w:val="00745840"/>
    <w:rsid w:val="00750721"/>
    <w:rsid w:val="007510F3"/>
    <w:rsid w:val="007534CE"/>
    <w:rsid w:val="00753E85"/>
    <w:rsid w:val="0075574D"/>
    <w:rsid w:val="007642D0"/>
    <w:rsid w:val="007709B2"/>
    <w:rsid w:val="00771C3B"/>
    <w:rsid w:val="00786C06"/>
    <w:rsid w:val="007946E3"/>
    <w:rsid w:val="007C2335"/>
    <w:rsid w:val="007C526D"/>
    <w:rsid w:val="007D2596"/>
    <w:rsid w:val="007D2F03"/>
    <w:rsid w:val="007D49D2"/>
    <w:rsid w:val="007D6596"/>
    <w:rsid w:val="007E4410"/>
    <w:rsid w:val="007F2BDC"/>
    <w:rsid w:val="00827F8D"/>
    <w:rsid w:val="0083195F"/>
    <w:rsid w:val="00835161"/>
    <w:rsid w:val="008418F5"/>
    <w:rsid w:val="00844C15"/>
    <w:rsid w:val="0085401F"/>
    <w:rsid w:val="00857D43"/>
    <w:rsid w:val="00862B6F"/>
    <w:rsid w:val="00870751"/>
    <w:rsid w:val="0087176B"/>
    <w:rsid w:val="008734B9"/>
    <w:rsid w:val="00875B26"/>
    <w:rsid w:val="00881073"/>
    <w:rsid w:val="00882C2F"/>
    <w:rsid w:val="00886168"/>
    <w:rsid w:val="0088797E"/>
    <w:rsid w:val="00894075"/>
    <w:rsid w:val="008A1059"/>
    <w:rsid w:val="008A25AB"/>
    <w:rsid w:val="008A405D"/>
    <w:rsid w:val="008C6719"/>
    <w:rsid w:val="008D3EEF"/>
    <w:rsid w:val="008D4DAF"/>
    <w:rsid w:val="008E0469"/>
    <w:rsid w:val="008E59C0"/>
    <w:rsid w:val="009008F3"/>
    <w:rsid w:val="0090127D"/>
    <w:rsid w:val="0090769E"/>
    <w:rsid w:val="009263E6"/>
    <w:rsid w:val="009269D3"/>
    <w:rsid w:val="00926D9C"/>
    <w:rsid w:val="009272B1"/>
    <w:rsid w:val="00930536"/>
    <w:rsid w:val="00943979"/>
    <w:rsid w:val="00946278"/>
    <w:rsid w:val="00946D5A"/>
    <w:rsid w:val="0094760B"/>
    <w:rsid w:val="0096216C"/>
    <w:rsid w:val="00966CE2"/>
    <w:rsid w:val="00985471"/>
    <w:rsid w:val="00995642"/>
    <w:rsid w:val="009A141C"/>
    <w:rsid w:val="009A231C"/>
    <w:rsid w:val="009A2DAF"/>
    <w:rsid w:val="009A3E2B"/>
    <w:rsid w:val="009A5D26"/>
    <w:rsid w:val="009A69B9"/>
    <w:rsid w:val="009C2915"/>
    <w:rsid w:val="009C3AC8"/>
    <w:rsid w:val="009C448F"/>
    <w:rsid w:val="009C7C6C"/>
    <w:rsid w:val="009D2560"/>
    <w:rsid w:val="009D3C6B"/>
    <w:rsid w:val="009D6590"/>
    <w:rsid w:val="009E0757"/>
    <w:rsid w:val="009F2146"/>
    <w:rsid w:val="009F31E4"/>
    <w:rsid w:val="009F31F7"/>
    <w:rsid w:val="00A01C10"/>
    <w:rsid w:val="00A126BB"/>
    <w:rsid w:val="00A20C7F"/>
    <w:rsid w:val="00A24F4B"/>
    <w:rsid w:val="00A25EAA"/>
    <w:rsid w:val="00A32441"/>
    <w:rsid w:val="00A3614E"/>
    <w:rsid w:val="00A4009B"/>
    <w:rsid w:val="00A51EA5"/>
    <w:rsid w:val="00A634FA"/>
    <w:rsid w:val="00A66EB6"/>
    <w:rsid w:val="00A73722"/>
    <w:rsid w:val="00A759D8"/>
    <w:rsid w:val="00A759E8"/>
    <w:rsid w:val="00A81D6D"/>
    <w:rsid w:val="00A82E3D"/>
    <w:rsid w:val="00A83E38"/>
    <w:rsid w:val="00A9306F"/>
    <w:rsid w:val="00A939A8"/>
    <w:rsid w:val="00AA281C"/>
    <w:rsid w:val="00AA7150"/>
    <w:rsid w:val="00AA759B"/>
    <w:rsid w:val="00AB4C35"/>
    <w:rsid w:val="00AB70EF"/>
    <w:rsid w:val="00AC725B"/>
    <w:rsid w:val="00AD6171"/>
    <w:rsid w:val="00AD7A52"/>
    <w:rsid w:val="00AE0858"/>
    <w:rsid w:val="00AE2395"/>
    <w:rsid w:val="00AE2D77"/>
    <w:rsid w:val="00AF0297"/>
    <w:rsid w:val="00AF352C"/>
    <w:rsid w:val="00AF3F70"/>
    <w:rsid w:val="00AF736B"/>
    <w:rsid w:val="00B07936"/>
    <w:rsid w:val="00B10508"/>
    <w:rsid w:val="00B105D1"/>
    <w:rsid w:val="00B16F45"/>
    <w:rsid w:val="00B24537"/>
    <w:rsid w:val="00B25045"/>
    <w:rsid w:val="00B2553D"/>
    <w:rsid w:val="00B278DC"/>
    <w:rsid w:val="00B36EAE"/>
    <w:rsid w:val="00B42796"/>
    <w:rsid w:val="00B46768"/>
    <w:rsid w:val="00B50E05"/>
    <w:rsid w:val="00B52622"/>
    <w:rsid w:val="00B53056"/>
    <w:rsid w:val="00B6091D"/>
    <w:rsid w:val="00B623E3"/>
    <w:rsid w:val="00B62FFA"/>
    <w:rsid w:val="00B66576"/>
    <w:rsid w:val="00B731ED"/>
    <w:rsid w:val="00B7784A"/>
    <w:rsid w:val="00B831FC"/>
    <w:rsid w:val="00B85576"/>
    <w:rsid w:val="00B86196"/>
    <w:rsid w:val="00B90DFC"/>
    <w:rsid w:val="00B9436C"/>
    <w:rsid w:val="00B96E2D"/>
    <w:rsid w:val="00B978A5"/>
    <w:rsid w:val="00BA2458"/>
    <w:rsid w:val="00BA6482"/>
    <w:rsid w:val="00BA6C50"/>
    <w:rsid w:val="00BB09B2"/>
    <w:rsid w:val="00BB67FE"/>
    <w:rsid w:val="00BC1CF9"/>
    <w:rsid w:val="00BC1E77"/>
    <w:rsid w:val="00BC7CF6"/>
    <w:rsid w:val="00BD3D47"/>
    <w:rsid w:val="00BE0DA5"/>
    <w:rsid w:val="00BE2542"/>
    <w:rsid w:val="00BE267B"/>
    <w:rsid w:val="00BE2874"/>
    <w:rsid w:val="00BF06A8"/>
    <w:rsid w:val="00BF0D6B"/>
    <w:rsid w:val="00BF70E7"/>
    <w:rsid w:val="00C0582A"/>
    <w:rsid w:val="00C07480"/>
    <w:rsid w:val="00C12CC3"/>
    <w:rsid w:val="00C167CC"/>
    <w:rsid w:val="00C21029"/>
    <w:rsid w:val="00C2322B"/>
    <w:rsid w:val="00C45512"/>
    <w:rsid w:val="00C46274"/>
    <w:rsid w:val="00C60CDC"/>
    <w:rsid w:val="00C6307A"/>
    <w:rsid w:val="00C661B3"/>
    <w:rsid w:val="00C717BA"/>
    <w:rsid w:val="00C71E1F"/>
    <w:rsid w:val="00C821C6"/>
    <w:rsid w:val="00C826E5"/>
    <w:rsid w:val="00C82E81"/>
    <w:rsid w:val="00C841E0"/>
    <w:rsid w:val="00C8670C"/>
    <w:rsid w:val="00C87374"/>
    <w:rsid w:val="00C877A3"/>
    <w:rsid w:val="00C966BE"/>
    <w:rsid w:val="00CA3F63"/>
    <w:rsid w:val="00CA5CFE"/>
    <w:rsid w:val="00CB13C7"/>
    <w:rsid w:val="00CB2ABE"/>
    <w:rsid w:val="00CC68B8"/>
    <w:rsid w:val="00CD5196"/>
    <w:rsid w:val="00CD685E"/>
    <w:rsid w:val="00CE0DDF"/>
    <w:rsid w:val="00CE40D3"/>
    <w:rsid w:val="00CE4D00"/>
    <w:rsid w:val="00CE6AC3"/>
    <w:rsid w:val="00CE7ECE"/>
    <w:rsid w:val="00CF1BB6"/>
    <w:rsid w:val="00D11681"/>
    <w:rsid w:val="00D1421C"/>
    <w:rsid w:val="00D149AD"/>
    <w:rsid w:val="00D16982"/>
    <w:rsid w:val="00D258F0"/>
    <w:rsid w:val="00D31C9F"/>
    <w:rsid w:val="00D3649F"/>
    <w:rsid w:val="00D40717"/>
    <w:rsid w:val="00D46432"/>
    <w:rsid w:val="00D516AE"/>
    <w:rsid w:val="00D52A37"/>
    <w:rsid w:val="00D549F8"/>
    <w:rsid w:val="00D55277"/>
    <w:rsid w:val="00D560EC"/>
    <w:rsid w:val="00D5697D"/>
    <w:rsid w:val="00D57A0D"/>
    <w:rsid w:val="00D64F4B"/>
    <w:rsid w:val="00D70718"/>
    <w:rsid w:val="00D74C1F"/>
    <w:rsid w:val="00D81145"/>
    <w:rsid w:val="00D87757"/>
    <w:rsid w:val="00D93872"/>
    <w:rsid w:val="00D94962"/>
    <w:rsid w:val="00D95BD1"/>
    <w:rsid w:val="00D96EB1"/>
    <w:rsid w:val="00D976D9"/>
    <w:rsid w:val="00DA454E"/>
    <w:rsid w:val="00DA4743"/>
    <w:rsid w:val="00DA4CFA"/>
    <w:rsid w:val="00DB7CF8"/>
    <w:rsid w:val="00DC2A5E"/>
    <w:rsid w:val="00DC7DFD"/>
    <w:rsid w:val="00DE0C83"/>
    <w:rsid w:val="00DE16AF"/>
    <w:rsid w:val="00DE2C40"/>
    <w:rsid w:val="00DE5CEA"/>
    <w:rsid w:val="00DF4963"/>
    <w:rsid w:val="00DF5AC3"/>
    <w:rsid w:val="00E079FB"/>
    <w:rsid w:val="00E07FE9"/>
    <w:rsid w:val="00E11EA6"/>
    <w:rsid w:val="00E13A6C"/>
    <w:rsid w:val="00E3327C"/>
    <w:rsid w:val="00E367A4"/>
    <w:rsid w:val="00E4098A"/>
    <w:rsid w:val="00E53D48"/>
    <w:rsid w:val="00E551D3"/>
    <w:rsid w:val="00E629F6"/>
    <w:rsid w:val="00E62D09"/>
    <w:rsid w:val="00E73ADC"/>
    <w:rsid w:val="00E75298"/>
    <w:rsid w:val="00E86909"/>
    <w:rsid w:val="00EA5987"/>
    <w:rsid w:val="00EB4729"/>
    <w:rsid w:val="00EB7A5F"/>
    <w:rsid w:val="00EC383B"/>
    <w:rsid w:val="00EC395D"/>
    <w:rsid w:val="00EC3EA5"/>
    <w:rsid w:val="00EC42CE"/>
    <w:rsid w:val="00EC65BF"/>
    <w:rsid w:val="00EC69C1"/>
    <w:rsid w:val="00EC6D43"/>
    <w:rsid w:val="00EE5F7F"/>
    <w:rsid w:val="00EE733A"/>
    <w:rsid w:val="00EE7F5D"/>
    <w:rsid w:val="00EF39A3"/>
    <w:rsid w:val="00EF3D1F"/>
    <w:rsid w:val="00EF41F8"/>
    <w:rsid w:val="00EF7152"/>
    <w:rsid w:val="00F01DEA"/>
    <w:rsid w:val="00F06152"/>
    <w:rsid w:val="00F158D6"/>
    <w:rsid w:val="00F22D87"/>
    <w:rsid w:val="00F24CDB"/>
    <w:rsid w:val="00F2572A"/>
    <w:rsid w:val="00F33932"/>
    <w:rsid w:val="00F376D2"/>
    <w:rsid w:val="00F378E2"/>
    <w:rsid w:val="00F4701B"/>
    <w:rsid w:val="00F570D8"/>
    <w:rsid w:val="00F62735"/>
    <w:rsid w:val="00F67432"/>
    <w:rsid w:val="00F701FA"/>
    <w:rsid w:val="00F80FF2"/>
    <w:rsid w:val="00F82419"/>
    <w:rsid w:val="00F84AA8"/>
    <w:rsid w:val="00F85407"/>
    <w:rsid w:val="00F952C6"/>
    <w:rsid w:val="00F97164"/>
    <w:rsid w:val="00F977AA"/>
    <w:rsid w:val="00F978A5"/>
    <w:rsid w:val="00FA0EB0"/>
    <w:rsid w:val="00FB247F"/>
    <w:rsid w:val="00FC20BA"/>
    <w:rsid w:val="00FC619B"/>
    <w:rsid w:val="00FD536D"/>
    <w:rsid w:val="00FE536C"/>
    <w:rsid w:val="00FF5847"/>
    <w:rsid w:val="00FF74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21"/>
    <o:shapelayout v:ext="edit">
      <o:idmap v:ext="edit" data="1"/>
    </o:shapelayout>
  </w:shapeDefaults>
  <w:doNotEmbedSmartTags/>
  <w:decimalSymbol w:val="."/>
  <w:listSeparator w:val=","/>
  <w14:docId w14:val="5E94C76C"/>
  <w15:docId w15:val="{CD0B5DE5-D9FB-467C-BC97-E22FEE34E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979"/>
    <w:pPr>
      <w:spacing w:after="0"/>
    </w:pPr>
    <w:rPr>
      <w:rFonts w:ascii="Times New Roman" w:eastAsia="Times New Roman" w:hAnsi="Times New Roman" w:cs="Times New Roman"/>
      <w:sz w:val="24"/>
      <w:szCs w:val="24"/>
      <w:lang w:eastAsia="en-US"/>
    </w:rPr>
  </w:style>
  <w:style w:type="paragraph" w:styleId="Heading1">
    <w:name w:val="heading 1"/>
    <w:basedOn w:val="Normal"/>
    <w:link w:val="Heading1Char"/>
    <w:qFormat/>
    <w:rsid w:val="00D1421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21C"/>
    <w:pPr>
      <w:tabs>
        <w:tab w:val="center" w:pos="4320"/>
        <w:tab w:val="right" w:pos="8640"/>
      </w:tabs>
    </w:pPr>
    <w:rPr>
      <w:rFonts w:asciiTheme="minorHAnsi" w:eastAsiaTheme="minorEastAsia" w:hAnsiTheme="minorHAnsi" w:cstheme="minorBidi"/>
      <w:lang w:eastAsia="ja-JP"/>
    </w:rPr>
  </w:style>
  <w:style w:type="character" w:customStyle="1" w:styleId="HeaderChar">
    <w:name w:val="Header Char"/>
    <w:basedOn w:val="DefaultParagraphFont"/>
    <w:link w:val="Header"/>
    <w:uiPriority w:val="99"/>
    <w:rsid w:val="00D1421C"/>
    <w:rPr>
      <w:sz w:val="24"/>
      <w:szCs w:val="24"/>
    </w:rPr>
  </w:style>
  <w:style w:type="paragraph" w:styleId="Footer">
    <w:name w:val="footer"/>
    <w:basedOn w:val="Normal"/>
    <w:link w:val="FooterChar"/>
    <w:uiPriority w:val="99"/>
    <w:unhideWhenUsed/>
    <w:rsid w:val="00D1421C"/>
    <w:pPr>
      <w:tabs>
        <w:tab w:val="center" w:pos="4320"/>
        <w:tab w:val="right" w:pos="8640"/>
      </w:tabs>
    </w:pPr>
    <w:rPr>
      <w:rFonts w:asciiTheme="minorHAnsi" w:eastAsiaTheme="minorEastAsia" w:hAnsiTheme="minorHAnsi" w:cstheme="minorBidi"/>
      <w:lang w:eastAsia="ja-JP"/>
    </w:rPr>
  </w:style>
  <w:style w:type="character" w:customStyle="1" w:styleId="FooterChar">
    <w:name w:val="Footer Char"/>
    <w:basedOn w:val="DefaultParagraphFont"/>
    <w:link w:val="Footer"/>
    <w:uiPriority w:val="99"/>
    <w:rsid w:val="00D1421C"/>
    <w:rPr>
      <w:sz w:val="24"/>
      <w:szCs w:val="24"/>
    </w:rPr>
  </w:style>
  <w:style w:type="paragraph" w:styleId="BalloonText">
    <w:name w:val="Balloon Text"/>
    <w:basedOn w:val="Normal"/>
    <w:link w:val="BalloonTextChar"/>
    <w:uiPriority w:val="99"/>
    <w:semiHidden/>
    <w:unhideWhenUsed/>
    <w:rsid w:val="00D1421C"/>
    <w:rPr>
      <w:rFonts w:ascii="Lucida Grande" w:eastAsiaTheme="minorEastAsia"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D1421C"/>
    <w:rPr>
      <w:rFonts w:ascii="Lucida Grande" w:hAnsi="Lucida Grande" w:cs="Lucida Grande"/>
      <w:sz w:val="18"/>
      <w:szCs w:val="18"/>
    </w:rPr>
  </w:style>
  <w:style w:type="character" w:customStyle="1" w:styleId="Heading1Char">
    <w:name w:val="Heading 1 Char"/>
    <w:basedOn w:val="DefaultParagraphFont"/>
    <w:link w:val="Heading1"/>
    <w:rsid w:val="00D1421C"/>
    <w:rPr>
      <w:rFonts w:ascii="Times New Roman" w:eastAsia="Times New Roman" w:hAnsi="Times New Roman" w:cs="Times New Roman"/>
      <w:b/>
      <w:bCs/>
      <w:kern w:val="36"/>
      <w:sz w:val="48"/>
      <w:szCs w:val="48"/>
      <w:lang w:eastAsia="en-US"/>
    </w:rPr>
  </w:style>
  <w:style w:type="character" w:styleId="Hyperlink">
    <w:name w:val="Hyperlink"/>
    <w:rsid w:val="00D1421C"/>
    <w:rPr>
      <w:color w:val="99CC00"/>
      <w:u w:val="single"/>
    </w:rPr>
  </w:style>
  <w:style w:type="paragraph" w:styleId="NormalWeb">
    <w:name w:val="Normal (Web)"/>
    <w:basedOn w:val="Normal"/>
    <w:uiPriority w:val="99"/>
    <w:rsid w:val="00D1421C"/>
    <w:pPr>
      <w:spacing w:before="100" w:beforeAutospacing="1" w:after="100" w:afterAutospacing="1"/>
    </w:pPr>
  </w:style>
  <w:style w:type="paragraph" w:customStyle="1" w:styleId="Default">
    <w:name w:val="Default"/>
    <w:uiPriority w:val="99"/>
    <w:rsid w:val="00D1421C"/>
    <w:pPr>
      <w:autoSpaceDE w:val="0"/>
      <w:autoSpaceDN w:val="0"/>
      <w:adjustRightInd w:val="0"/>
      <w:spacing w:after="0"/>
    </w:pPr>
    <w:rPr>
      <w:rFonts w:ascii="Arial" w:eastAsia="Times New Roman" w:hAnsi="Arial" w:cs="Arial"/>
      <w:color w:val="000000"/>
      <w:sz w:val="24"/>
      <w:szCs w:val="24"/>
      <w:lang w:eastAsia="en-US"/>
    </w:rPr>
  </w:style>
  <w:style w:type="character" w:customStyle="1" w:styleId="normal1">
    <w:name w:val="normal1"/>
    <w:rsid w:val="00405077"/>
    <w:rPr>
      <w:rFonts w:ascii="Arial" w:hAnsi="Arial" w:cs="Arial" w:hint="default"/>
      <w:sz w:val="20"/>
      <w:szCs w:val="20"/>
    </w:rPr>
  </w:style>
  <w:style w:type="paragraph" w:customStyle="1" w:styleId="default0">
    <w:name w:val="default"/>
    <w:basedOn w:val="Normal"/>
    <w:uiPriority w:val="99"/>
    <w:rsid w:val="00405077"/>
    <w:pPr>
      <w:autoSpaceDE w:val="0"/>
      <w:autoSpaceDN w:val="0"/>
    </w:pPr>
    <w:rPr>
      <w:rFonts w:ascii="Arial" w:hAnsi="Arial" w:cs="Arial"/>
      <w:color w:val="000000"/>
    </w:rPr>
  </w:style>
  <w:style w:type="character" w:styleId="CommentReference">
    <w:name w:val="annotation reference"/>
    <w:basedOn w:val="DefaultParagraphFont"/>
    <w:uiPriority w:val="99"/>
    <w:semiHidden/>
    <w:unhideWhenUsed/>
    <w:rsid w:val="00881073"/>
    <w:rPr>
      <w:sz w:val="16"/>
      <w:szCs w:val="16"/>
    </w:rPr>
  </w:style>
  <w:style w:type="paragraph" w:styleId="CommentText">
    <w:name w:val="annotation text"/>
    <w:basedOn w:val="Normal"/>
    <w:link w:val="CommentTextChar"/>
    <w:uiPriority w:val="99"/>
    <w:semiHidden/>
    <w:unhideWhenUsed/>
    <w:rsid w:val="00881073"/>
    <w:rPr>
      <w:sz w:val="20"/>
      <w:szCs w:val="20"/>
    </w:rPr>
  </w:style>
  <w:style w:type="character" w:customStyle="1" w:styleId="CommentTextChar">
    <w:name w:val="Comment Text Char"/>
    <w:basedOn w:val="DefaultParagraphFont"/>
    <w:link w:val="CommentText"/>
    <w:uiPriority w:val="99"/>
    <w:semiHidden/>
    <w:rsid w:val="00881073"/>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881073"/>
    <w:rPr>
      <w:b/>
      <w:bCs/>
    </w:rPr>
  </w:style>
  <w:style w:type="character" w:customStyle="1" w:styleId="CommentSubjectChar">
    <w:name w:val="Comment Subject Char"/>
    <w:basedOn w:val="CommentTextChar"/>
    <w:link w:val="CommentSubject"/>
    <w:uiPriority w:val="99"/>
    <w:semiHidden/>
    <w:rsid w:val="00881073"/>
    <w:rPr>
      <w:rFonts w:ascii="Times New Roman" w:eastAsia="Times New Roman" w:hAnsi="Times New Roman" w:cs="Times New Roman"/>
      <w:b/>
      <w:bCs/>
      <w:lang w:eastAsia="en-US"/>
    </w:rPr>
  </w:style>
  <w:style w:type="character" w:customStyle="1" w:styleId="A3">
    <w:name w:val="A3"/>
    <w:uiPriority w:val="99"/>
    <w:rsid w:val="00E53D48"/>
    <w:rPr>
      <w:rFonts w:cs="Univers LT Std 45 Light"/>
      <w:color w:val="13252F"/>
      <w:sz w:val="18"/>
      <w:szCs w:val="18"/>
    </w:rPr>
  </w:style>
  <w:style w:type="table" w:styleId="TableGrid">
    <w:name w:val="Table Grid"/>
    <w:basedOn w:val="TableNormal"/>
    <w:uiPriority w:val="59"/>
    <w:rsid w:val="000F2C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6307A"/>
    <w:rPr>
      <w:b/>
      <w:bCs/>
    </w:rPr>
  </w:style>
  <w:style w:type="character" w:styleId="FollowedHyperlink">
    <w:name w:val="FollowedHyperlink"/>
    <w:basedOn w:val="DefaultParagraphFont"/>
    <w:uiPriority w:val="99"/>
    <w:semiHidden/>
    <w:unhideWhenUsed/>
    <w:rsid w:val="00364D2C"/>
    <w:rPr>
      <w:color w:val="800080" w:themeColor="followedHyperlink"/>
      <w:u w:val="single"/>
    </w:rPr>
  </w:style>
  <w:style w:type="character" w:customStyle="1" w:styleId="UnresolvedMention1">
    <w:name w:val="Unresolved Mention1"/>
    <w:basedOn w:val="DefaultParagraphFont"/>
    <w:uiPriority w:val="99"/>
    <w:semiHidden/>
    <w:unhideWhenUsed/>
    <w:rsid w:val="00B731ED"/>
    <w:rPr>
      <w:color w:val="605E5C"/>
      <w:shd w:val="clear" w:color="auto" w:fill="E1DFDD"/>
    </w:rPr>
  </w:style>
  <w:style w:type="paragraph" w:styleId="ListParagraph">
    <w:name w:val="List Paragraph"/>
    <w:basedOn w:val="Normal"/>
    <w:uiPriority w:val="34"/>
    <w:qFormat/>
    <w:rsid w:val="00827F8D"/>
    <w:pPr>
      <w:ind w:left="720"/>
    </w:pPr>
    <w:rPr>
      <w:rFonts w:ascii="Calibri" w:eastAsiaTheme="minorHAnsi" w:hAnsi="Calibri" w:cs="Calibri"/>
      <w:sz w:val="22"/>
      <w:szCs w:val="22"/>
    </w:rPr>
  </w:style>
  <w:style w:type="paragraph" w:styleId="Revision">
    <w:name w:val="Revision"/>
    <w:hidden/>
    <w:uiPriority w:val="99"/>
    <w:semiHidden/>
    <w:rsid w:val="00EC69C1"/>
    <w:pPr>
      <w:spacing w:after="0"/>
    </w:pPr>
    <w:rPr>
      <w:rFonts w:ascii="Times New Roman" w:eastAsia="Times New Roman" w:hAnsi="Times New Roman" w:cs="Times New Roman"/>
      <w:sz w:val="24"/>
      <w:szCs w:val="24"/>
      <w:lang w:eastAsia="en-US"/>
    </w:rPr>
  </w:style>
  <w:style w:type="character" w:customStyle="1" w:styleId="UnresolvedMention2">
    <w:name w:val="Unresolved Mention2"/>
    <w:basedOn w:val="DefaultParagraphFont"/>
    <w:uiPriority w:val="99"/>
    <w:semiHidden/>
    <w:unhideWhenUsed/>
    <w:rsid w:val="006C4531"/>
    <w:rPr>
      <w:color w:val="605E5C"/>
      <w:shd w:val="clear" w:color="auto" w:fill="E1DFDD"/>
    </w:rPr>
  </w:style>
  <w:style w:type="character" w:styleId="UnresolvedMention">
    <w:name w:val="Unresolved Mention"/>
    <w:basedOn w:val="DefaultParagraphFont"/>
    <w:uiPriority w:val="99"/>
    <w:semiHidden/>
    <w:unhideWhenUsed/>
    <w:rsid w:val="00AD6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474">
      <w:bodyDiv w:val="1"/>
      <w:marLeft w:val="0"/>
      <w:marRight w:val="0"/>
      <w:marTop w:val="0"/>
      <w:marBottom w:val="0"/>
      <w:divBdr>
        <w:top w:val="none" w:sz="0" w:space="0" w:color="auto"/>
        <w:left w:val="none" w:sz="0" w:space="0" w:color="auto"/>
        <w:bottom w:val="none" w:sz="0" w:space="0" w:color="auto"/>
        <w:right w:val="none" w:sz="0" w:space="0" w:color="auto"/>
      </w:divBdr>
    </w:div>
    <w:div w:id="170920855">
      <w:bodyDiv w:val="1"/>
      <w:marLeft w:val="0"/>
      <w:marRight w:val="0"/>
      <w:marTop w:val="0"/>
      <w:marBottom w:val="0"/>
      <w:divBdr>
        <w:top w:val="none" w:sz="0" w:space="0" w:color="auto"/>
        <w:left w:val="none" w:sz="0" w:space="0" w:color="auto"/>
        <w:bottom w:val="none" w:sz="0" w:space="0" w:color="auto"/>
        <w:right w:val="none" w:sz="0" w:space="0" w:color="auto"/>
      </w:divBdr>
    </w:div>
    <w:div w:id="238098125">
      <w:bodyDiv w:val="1"/>
      <w:marLeft w:val="0"/>
      <w:marRight w:val="0"/>
      <w:marTop w:val="0"/>
      <w:marBottom w:val="0"/>
      <w:divBdr>
        <w:top w:val="none" w:sz="0" w:space="0" w:color="auto"/>
        <w:left w:val="none" w:sz="0" w:space="0" w:color="auto"/>
        <w:bottom w:val="none" w:sz="0" w:space="0" w:color="auto"/>
        <w:right w:val="none" w:sz="0" w:space="0" w:color="auto"/>
      </w:divBdr>
    </w:div>
    <w:div w:id="248661305">
      <w:bodyDiv w:val="1"/>
      <w:marLeft w:val="0"/>
      <w:marRight w:val="0"/>
      <w:marTop w:val="0"/>
      <w:marBottom w:val="0"/>
      <w:divBdr>
        <w:top w:val="none" w:sz="0" w:space="0" w:color="auto"/>
        <w:left w:val="none" w:sz="0" w:space="0" w:color="auto"/>
        <w:bottom w:val="none" w:sz="0" w:space="0" w:color="auto"/>
        <w:right w:val="none" w:sz="0" w:space="0" w:color="auto"/>
      </w:divBdr>
    </w:div>
    <w:div w:id="785545841">
      <w:bodyDiv w:val="1"/>
      <w:marLeft w:val="0"/>
      <w:marRight w:val="0"/>
      <w:marTop w:val="0"/>
      <w:marBottom w:val="0"/>
      <w:divBdr>
        <w:top w:val="none" w:sz="0" w:space="0" w:color="auto"/>
        <w:left w:val="none" w:sz="0" w:space="0" w:color="auto"/>
        <w:bottom w:val="none" w:sz="0" w:space="0" w:color="auto"/>
        <w:right w:val="none" w:sz="0" w:space="0" w:color="auto"/>
      </w:divBdr>
    </w:div>
    <w:div w:id="1261986315">
      <w:bodyDiv w:val="1"/>
      <w:marLeft w:val="0"/>
      <w:marRight w:val="0"/>
      <w:marTop w:val="0"/>
      <w:marBottom w:val="0"/>
      <w:divBdr>
        <w:top w:val="none" w:sz="0" w:space="0" w:color="auto"/>
        <w:left w:val="none" w:sz="0" w:space="0" w:color="auto"/>
        <w:bottom w:val="none" w:sz="0" w:space="0" w:color="auto"/>
        <w:right w:val="none" w:sz="0" w:space="0" w:color="auto"/>
      </w:divBdr>
    </w:div>
    <w:div w:id="1607037466">
      <w:bodyDiv w:val="1"/>
      <w:marLeft w:val="0"/>
      <w:marRight w:val="0"/>
      <w:marTop w:val="0"/>
      <w:marBottom w:val="0"/>
      <w:divBdr>
        <w:top w:val="none" w:sz="0" w:space="0" w:color="auto"/>
        <w:left w:val="none" w:sz="0" w:space="0" w:color="auto"/>
        <w:bottom w:val="none" w:sz="0" w:space="0" w:color="auto"/>
        <w:right w:val="none" w:sz="0" w:space="0" w:color="auto"/>
      </w:divBdr>
    </w:div>
    <w:div w:id="1770199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f.tortoiseecofin.com/teaf-name-change/" TargetMode="External"/><Relationship Id="rId13" Type="http://schemas.openxmlformats.org/officeDocument/2006/relationships/hyperlink" Target="http://www.ecofininves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f.tortoiseecofin.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f.tortoiseecofin.com/funds/tea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ef.tortoiseecofin.com/funds/tea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ef.tortoiseecofin.com/teaf-name-change/" TargetMode="External"/><Relationship Id="rId14" Type="http://schemas.openxmlformats.org/officeDocument/2006/relationships/hyperlink" Target="mailto:info@tortoisecof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24CFF-82A5-4044-88A0-888F587B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1008</Words>
  <Characters>5862</Characters>
  <Application>Microsoft Office Word</Application>
  <DocSecurity>0</DocSecurity>
  <Lines>139</Lines>
  <Paragraphs>58</Paragraphs>
  <ScaleCrop>false</ScaleCrop>
  <HeadingPairs>
    <vt:vector size="2" baseType="variant">
      <vt:variant>
        <vt:lpstr>Title</vt:lpstr>
      </vt:variant>
      <vt:variant>
        <vt:i4>1</vt:i4>
      </vt:variant>
    </vt:vector>
  </HeadingPairs>
  <TitlesOfParts>
    <vt:vector size="1" baseType="lpstr">
      <vt:lpstr/>
    </vt:vector>
  </TitlesOfParts>
  <Company>Platypus</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Maggie Zastrow</cp:lastModifiedBy>
  <cp:revision>14</cp:revision>
  <cp:lastPrinted>2019-01-15T16:19:00Z</cp:lastPrinted>
  <dcterms:created xsi:type="dcterms:W3CDTF">2021-06-14T19:18:00Z</dcterms:created>
  <dcterms:modified xsi:type="dcterms:W3CDTF">2021-06-15T20:57:00Z</dcterms:modified>
</cp:coreProperties>
</file>