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99A5D" w14:textId="77777777" w:rsidR="00A77B3E" w:rsidRDefault="00416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8" w:lineRule="auto"/>
        <w:outlineLvl w:val="0"/>
        <w:rPr>
          <w:rFonts w:ascii="Trade Gothic" w:eastAsia="Trade Gothic" w:hAnsi="Trade Gothic" w:cs="Trade Gothic"/>
          <w:b/>
        </w:rPr>
      </w:pPr>
      <w:bookmarkStart w:id="0" w:name="Section1"/>
      <w:bookmarkEnd w:id="0"/>
      <w:proofErr w:type="spellStart"/>
      <w:r>
        <w:rPr>
          <w:rFonts w:ascii="Trade Gothic" w:eastAsia="Trade Gothic" w:hAnsi="Trade Gothic" w:cs="Trade Gothic"/>
          <w:b/>
        </w:rPr>
        <w:t>Sebastián</w:t>
      </w:r>
      <w:proofErr w:type="spellEnd"/>
      <w:r>
        <w:rPr>
          <w:rFonts w:ascii="Trade Gothic" w:eastAsia="Trade Gothic" w:hAnsi="Trade Gothic" w:cs="Trade Gothic"/>
          <w:b/>
        </w:rPr>
        <w:t xml:space="preserve"> </w:t>
      </w:r>
      <w:proofErr w:type="spellStart"/>
      <w:r>
        <w:rPr>
          <w:rFonts w:ascii="Trade Gothic" w:eastAsia="Trade Gothic" w:hAnsi="Trade Gothic" w:cs="Trade Gothic"/>
          <w:b/>
        </w:rPr>
        <w:t>Martí</w:t>
      </w:r>
      <w:proofErr w:type="spellEnd"/>
    </w:p>
    <w:p w14:paraId="13A3C717" w14:textId="77777777" w:rsidR="00A77B3E" w:rsidRDefault="0041658E">
      <w:pPr>
        <w:spacing w:line="288" w:lineRule="auto"/>
        <w:rPr>
          <w:rFonts w:ascii="Trade Gothic" w:eastAsia="Trade Gothic" w:hAnsi="Trade Gothic" w:cs="Trade Gothic"/>
          <w:b/>
        </w:rPr>
      </w:pPr>
      <w:r>
        <w:rPr>
          <w:rFonts w:ascii="Trade Gothic" w:eastAsia="Trade Gothic" w:hAnsi="Trade Gothic" w:cs="Trade Gothic"/>
          <w:b/>
        </w:rPr>
        <w:t>Ternium - Investor Relations</w:t>
      </w:r>
    </w:p>
    <w:p w14:paraId="0D198703" w14:textId="77777777" w:rsidR="00A77B3E" w:rsidRDefault="0041658E">
      <w:pPr>
        <w:spacing w:line="288" w:lineRule="auto"/>
        <w:rPr>
          <w:rFonts w:ascii="Trade Gothic" w:eastAsia="Trade Gothic" w:hAnsi="Trade Gothic" w:cs="Trade Gothic"/>
          <w:sz w:val="19"/>
        </w:rPr>
      </w:pPr>
      <w:r>
        <w:rPr>
          <w:rFonts w:ascii="Trade Gothic" w:eastAsia="Trade Gothic" w:hAnsi="Trade Gothic" w:cs="Trade Gothic"/>
          <w:sz w:val="19"/>
        </w:rPr>
        <w:t>+1   (866) 890 0443</w:t>
      </w:r>
    </w:p>
    <w:p w14:paraId="275D46C6" w14:textId="77777777" w:rsidR="00A77B3E" w:rsidRDefault="0041658E">
      <w:pPr>
        <w:spacing w:line="288" w:lineRule="auto"/>
        <w:rPr>
          <w:rFonts w:ascii="Trade Gothic" w:eastAsia="Trade Gothic" w:hAnsi="Trade Gothic" w:cs="Trade Gothic"/>
          <w:sz w:val="19"/>
        </w:rPr>
      </w:pPr>
      <w:r>
        <w:rPr>
          <w:rFonts w:ascii="Trade Gothic" w:eastAsia="Trade Gothic" w:hAnsi="Trade Gothic" w:cs="Trade Gothic"/>
          <w:sz w:val="19"/>
        </w:rPr>
        <w:t>+54 (11) 4018 8389</w:t>
      </w:r>
    </w:p>
    <w:p w14:paraId="4070D4C0" w14:textId="77777777" w:rsidR="00A77B3E" w:rsidRDefault="0041658E">
      <w:pPr>
        <w:spacing w:line="288" w:lineRule="auto"/>
        <w:rPr>
          <w:rFonts w:ascii="Trade Gothic" w:eastAsia="Trade Gothic" w:hAnsi="Trade Gothic" w:cs="Trade Gothic"/>
          <w:sz w:val="19"/>
        </w:rPr>
      </w:pPr>
      <w:r>
        <w:rPr>
          <w:rFonts w:ascii="Trade Gothic" w:eastAsia="Trade Gothic" w:hAnsi="Trade Gothic" w:cs="Trade Gothic"/>
          <w:sz w:val="19"/>
        </w:rPr>
        <w:t>www.ternium.com</w:t>
      </w:r>
    </w:p>
    <w:p w14:paraId="439E93C7" w14:textId="77777777" w:rsidR="00A77B3E" w:rsidRDefault="00A77B3E">
      <w:pPr>
        <w:spacing w:line="288" w:lineRule="auto"/>
        <w:rPr>
          <w:sz w:val="20"/>
        </w:rPr>
      </w:pPr>
    </w:p>
    <w:p w14:paraId="359824D1" w14:textId="77777777" w:rsidR="00A77B3E" w:rsidRDefault="0041658E">
      <w:pPr>
        <w:spacing w:line="264" w:lineRule="auto"/>
        <w:rPr>
          <w:color w:val="FF3300"/>
        </w:rPr>
      </w:pPr>
      <w:r>
        <w:rPr>
          <w:rFonts w:ascii="Trade Gothic" w:eastAsia="Trade Gothic" w:hAnsi="Trade Gothic" w:cs="Trade Gothic"/>
          <w:b/>
          <w:color w:val="FF3300"/>
          <w:sz w:val="32"/>
        </w:rPr>
        <w:t>Ternium Releases 2020 Sustainability Report</w:t>
      </w:r>
    </w:p>
    <w:p w14:paraId="28C93281" w14:textId="77777777" w:rsidR="00A77B3E" w:rsidRDefault="00A77B3E">
      <w:pPr>
        <w:spacing w:line="264" w:lineRule="auto"/>
        <w:jc w:val="both"/>
        <w:rPr>
          <w:rFonts w:ascii="Sabon MT Pro" w:eastAsia="Sabon MT Pro" w:hAnsi="Sabon MT Pro" w:cs="Sabon MT Pro"/>
        </w:rPr>
      </w:pPr>
    </w:p>
    <w:p w14:paraId="49A34AC4" w14:textId="31D25FE6" w:rsidR="00A77B3E" w:rsidRDefault="0041658E">
      <w:pPr>
        <w:spacing w:line="264" w:lineRule="auto"/>
        <w:jc w:val="both"/>
      </w:pPr>
      <w:r>
        <w:rPr>
          <w:rFonts w:ascii="Sabon MT Pro" w:eastAsia="Sabon MT Pro" w:hAnsi="Sabon MT Pro" w:cs="Sabon MT Pro"/>
          <w:b/>
          <w:sz w:val="22"/>
        </w:rPr>
        <w:t>Luxembourg, June 24, 2021</w:t>
      </w:r>
      <w:r>
        <w:rPr>
          <w:rFonts w:ascii="Sabon MT Pro" w:eastAsia="Sabon MT Pro" w:hAnsi="Sabon MT Pro" w:cs="Sabon MT Pro"/>
          <w:sz w:val="22"/>
        </w:rPr>
        <w:t xml:space="preserve"> – Ternium S.A. (NYSE: TX) today released its 2020 Sustainability Report, </w:t>
      </w:r>
      <w:r w:rsidR="00FE3EC7">
        <w:rPr>
          <w:rFonts w:ascii="Sabon MT Pro" w:eastAsia="Sabon MT Pro" w:hAnsi="Sabon MT Pro" w:cs="Sabon MT Pro"/>
          <w:sz w:val="22"/>
        </w:rPr>
        <w:t>an</w:t>
      </w:r>
      <w:r>
        <w:rPr>
          <w:rFonts w:ascii="Sabon MT Pro" w:eastAsia="Sabon MT Pro" w:hAnsi="Sabon MT Pro" w:cs="Sabon MT Pro"/>
          <w:sz w:val="22"/>
        </w:rPr>
        <w:t xml:space="preserve"> integral discussion of the company’s progress towards achieving its objectives in a sustainable way. </w:t>
      </w:r>
    </w:p>
    <w:p w14:paraId="18781B1F" w14:textId="77777777" w:rsidR="00A77B3E" w:rsidRDefault="00A77B3E">
      <w:pPr>
        <w:spacing w:line="264" w:lineRule="auto"/>
        <w:rPr>
          <w:rFonts w:ascii="Sabon MT Pro" w:eastAsia="Sabon MT Pro" w:hAnsi="Sabon MT Pro" w:cs="Sabon MT Pro"/>
          <w:sz w:val="22"/>
        </w:rPr>
      </w:pPr>
      <w:bookmarkStart w:id="1" w:name="_GoBack"/>
      <w:bookmarkEnd w:id="1"/>
    </w:p>
    <w:p w14:paraId="52B5268A" w14:textId="77777777" w:rsidR="00A77B3E" w:rsidRDefault="0041658E">
      <w:pPr>
        <w:spacing w:line="264" w:lineRule="auto"/>
        <w:jc w:val="both"/>
        <w:rPr>
          <w:rFonts w:ascii="Sabon MT Pro" w:eastAsia="Sabon MT Pro" w:hAnsi="Sabon MT Pro" w:cs="Sabon MT Pro"/>
          <w:sz w:val="22"/>
        </w:rPr>
      </w:pPr>
      <w:proofErr w:type="spellStart"/>
      <w:r>
        <w:rPr>
          <w:rFonts w:ascii="Sabon MT Pro" w:eastAsia="Sabon MT Pro" w:hAnsi="Sabon MT Pro" w:cs="Sabon MT Pro"/>
          <w:sz w:val="22"/>
        </w:rPr>
        <w:t>Ternium's</w:t>
      </w:r>
      <w:proofErr w:type="spellEnd"/>
      <w:r>
        <w:rPr>
          <w:rFonts w:ascii="Sabon MT Pro" w:eastAsia="Sabon MT Pro" w:hAnsi="Sabon MT Pro" w:cs="Sabon MT Pro"/>
          <w:sz w:val="22"/>
        </w:rPr>
        <w:t xml:space="preserve"> value proposition aims to achieve profitable operations on a sustainable basis, through a management approach that encompasses the interests of all of its stakeholders. The report has been prepared taking into account the guidelines established by </w:t>
      </w:r>
      <w:proofErr w:type="spellStart"/>
      <w:r>
        <w:rPr>
          <w:rFonts w:ascii="Sabon MT Pro" w:eastAsia="Sabon MT Pro" w:hAnsi="Sabon MT Pro" w:cs="Sabon MT Pro"/>
          <w:sz w:val="22"/>
        </w:rPr>
        <w:t>worldsteel</w:t>
      </w:r>
      <w:proofErr w:type="spellEnd"/>
      <w:r>
        <w:rPr>
          <w:rFonts w:ascii="Sabon MT Pro" w:eastAsia="Sabon MT Pro" w:hAnsi="Sabon MT Pro" w:cs="Sabon MT Pro"/>
          <w:sz w:val="22"/>
        </w:rPr>
        <w:t>, the UN Global Compact, the Global Reporting Initiative and the New York Stock Exchange.</w:t>
      </w:r>
    </w:p>
    <w:p w14:paraId="0A945168" w14:textId="77777777" w:rsidR="00A77B3E" w:rsidRDefault="00A77B3E">
      <w:pPr>
        <w:spacing w:line="264" w:lineRule="auto"/>
        <w:rPr>
          <w:rFonts w:ascii="Sabon MT Pro" w:eastAsia="Sabon MT Pro" w:hAnsi="Sabon MT Pro" w:cs="Sabon MT Pro"/>
          <w:sz w:val="22"/>
        </w:rPr>
      </w:pPr>
    </w:p>
    <w:p w14:paraId="7703AB04" w14:textId="77777777" w:rsidR="00A77B3E" w:rsidRDefault="0041658E">
      <w:pPr>
        <w:spacing w:line="264" w:lineRule="auto"/>
        <w:jc w:val="both"/>
        <w:rPr>
          <w:rFonts w:ascii="Sabon MT Pro" w:eastAsia="Sabon MT Pro" w:hAnsi="Sabon MT Pro" w:cs="Sabon MT Pro"/>
          <w:sz w:val="22"/>
        </w:rPr>
      </w:pPr>
      <w:r>
        <w:rPr>
          <w:rFonts w:ascii="Sabon MT Pro" w:eastAsia="Sabon MT Pro" w:hAnsi="Sabon MT Pro" w:cs="Sabon MT Pro"/>
          <w:sz w:val="22"/>
        </w:rPr>
        <w:t xml:space="preserve">The company’s Sustainability Report describes the actions taken to achieve </w:t>
      </w:r>
      <w:proofErr w:type="spellStart"/>
      <w:r>
        <w:rPr>
          <w:rFonts w:ascii="Sabon MT Pro" w:eastAsia="Sabon MT Pro" w:hAnsi="Sabon MT Pro" w:cs="Sabon MT Pro"/>
          <w:sz w:val="22"/>
        </w:rPr>
        <w:t>Ternium’s</w:t>
      </w:r>
      <w:proofErr w:type="spellEnd"/>
      <w:r>
        <w:rPr>
          <w:rFonts w:ascii="Sabon MT Pro" w:eastAsia="Sabon MT Pro" w:hAnsi="Sabon MT Pro" w:cs="Sabon MT Pro"/>
          <w:sz w:val="22"/>
        </w:rPr>
        <w:t xml:space="preserve"> goals in six focus areas:</w:t>
      </w:r>
    </w:p>
    <w:p w14:paraId="62C4A70C" w14:textId="77777777" w:rsidR="00A77B3E" w:rsidRDefault="0041658E">
      <w:pPr>
        <w:numPr>
          <w:ilvl w:val="0"/>
          <w:numId w:val="2"/>
        </w:numPr>
        <w:spacing w:line="264" w:lineRule="auto"/>
        <w:jc w:val="both"/>
        <w:rPr>
          <w:rFonts w:ascii="Sabon MT Pro" w:eastAsia="Sabon MT Pro" w:hAnsi="Sabon MT Pro" w:cs="Sabon MT Pro"/>
          <w:sz w:val="22"/>
        </w:rPr>
      </w:pPr>
      <w:r>
        <w:rPr>
          <w:rFonts w:ascii="Sabon MT Pro" w:eastAsia="Sabon MT Pro" w:hAnsi="Sabon MT Pro" w:cs="Sabon MT Pro"/>
          <w:sz w:val="22"/>
        </w:rPr>
        <w:t>Safety</w:t>
      </w:r>
    </w:p>
    <w:p w14:paraId="2D495519" w14:textId="77777777" w:rsidR="00A77B3E" w:rsidRDefault="0041658E">
      <w:pPr>
        <w:numPr>
          <w:ilvl w:val="0"/>
          <w:numId w:val="2"/>
        </w:numPr>
        <w:spacing w:line="264" w:lineRule="auto"/>
        <w:jc w:val="both"/>
        <w:rPr>
          <w:rFonts w:ascii="Sabon MT Pro" w:eastAsia="Sabon MT Pro" w:hAnsi="Sabon MT Pro" w:cs="Sabon MT Pro"/>
          <w:sz w:val="22"/>
        </w:rPr>
      </w:pPr>
      <w:r>
        <w:rPr>
          <w:rFonts w:ascii="Sabon MT Pro" w:eastAsia="Sabon MT Pro" w:hAnsi="Sabon MT Pro" w:cs="Sabon MT Pro"/>
          <w:sz w:val="22"/>
        </w:rPr>
        <w:t>Environment</w:t>
      </w:r>
    </w:p>
    <w:p w14:paraId="71525C79" w14:textId="77777777" w:rsidR="00A77B3E" w:rsidRDefault="0041658E">
      <w:pPr>
        <w:numPr>
          <w:ilvl w:val="0"/>
          <w:numId w:val="2"/>
        </w:numPr>
        <w:spacing w:line="264" w:lineRule="auto"/>
        <w:jc w:val="both"/>
        <w:rPr>
          <w:rFonts w:ascii="Sabon MT Pro" w:eastAsia="Sabon MT Pro" w:hAnsi="Sabon MT Pro" w:cs="Sabon MT Pro"/>
          <w:sz w:val="22"/>
        </w:rPr>
      </w:pPr>
      <w:r>
        <w:rPr>
          <w:rFonts w:ascii="Sabon MT Pro" w:eastAsia="Sabon MT Pro" w:hAnsi="Sabon MT Pro" w:cs="Sabon MT Pro"/>
          <w:sz w:val="22"/>
        </w:rPr>
        <w:lastRenderedPageBreak/>
        <w:t>People</w:t>
      </w:r>
    </w:p>
    <w:p w14:paraId="7FB2773A" w14:textId="77777777" w:rsidR="00A77B3E" w:rsidRDefault="0041658E">
      <w:pPr>
        <w:numPr>
          <w:ilvl w:val="0"/>
          <w:numId w:val="2"/>
        </w:numPr>
        <w:spacing w:line="264" w:lineRule="auto"/>
        <w:jc w:val="both"/>
        <w:rPr>
          <w:rFonts w:ascii="Sabon MT Pro" w:eastAsia="Sabon MT Pro" w:hAnsi="Sabon MT Pro" w:cs="Sabon MT Pro"/>
          <w:sz w:val="22"/>
        </w:rPr>
      </w:pPr>
      <w:r>
        <w:rPr>
          <w:rFonts w:ascii="Sabon MT Pro" w:eastAsia="Sabon MT Pro" w:hAnsi="Sabon MT Pro" w:cs="Sabon MT Pro"/>
          <w:sz w:val="22"/>
        </w:rPr>
        <w:t>Communities</w:t>
      </w:r>
    </w:p>
    <w:p w14:paraId="7C94F436" w14:textId="77777777" w:rsidR="00A77B3E" w:rsidRDefault="0041658E">
      <w:pPr>
        <w:numPr>
          <w:ilvl w:val="0"/>
          <w:numId w:val="2"/>
        </w:numPr>
        <w:spacing w:line="264" w:lineRule="auto"/>
        <w:jc w:val="both"/>
        <w:rPr>
          <w:rFonts w:ascii="Sabon MT Pro" w:eastAsia="Sabon MT Pro" w:hAnsi="Sabon MT Pro" w:cs="Sabon MT Pro"/>
          <w:sz w:val="22"/>
        </w:rPr>
      </w:pPr>
      <w:r>
        <w:rPr>
          <w:rFonts w:ascii="Sabon MT Pro" w:eastAsia="Sabon MT Pro" w:hAnsi="Sabon MT Pro" w:cs="Sabon MT Pro"/>
          <w:sz w:val="22"/>
        </w:rPr>
        <w:t>Value chain</w:t>
      </w:r>
    </w:p>
    <w:p w14:paraId="7969BD77" w14:textId="77777777" w:rsidR="00A77B3E" w:rsidRDefault="0041658E">
      <w:pPr>
        <w:numPr>
          <w:ilvl w:val="0"/>
          <w:numId w:val="2"/>
        </w:numPr>
        <w:spacing w:line="264" w:lineRule="auto"/>
        <w:jc w:val="both"/>
        <w:rPr>
          <w:rFonts w:ascii="Sabon MT Pro" w:eastAsia="Sabon MT Pro" w:hAnsi="Sabon MT Pro" w:cs="Sabon MT Pro"/>
          <w:sz w:val="22"/>
        </w:rPr>
      </w:pPr>
      <w:r>
        <w:rPr>
          <w:rFonts w:ascii="Sabon MT Pro" w:eastAsia="Sabon MT Pro" w:hAnsi="Sabon MT Pro" w:cs="Sabon MT Pro"/>
          <w:sz w:val="22"/>
        </w:rPr>
        <w:t>Business strategy</w:t>
      </w:r>
    </w:p>
    <w:p w14:paraId="68967630" w14:textId="77777777" w:rsidR="00A77B3E" w:rsidRDefault="00A77B3E">
      <w:pPr>
        <w:spacing w:line="264" w:lineRule="auto"/>
        <w:jc w:val="both"/>
        <w:rPr>
          <w:rFonts w:ascii="Sabon MT Pro" w:eastAsia="Sabon MT Pro" w:hAnsi="Sabon MT Pro" w:cs="Sabon MT Pro"/>
          <w:sz w:val="22"/>
        </w:rPr>
      </w:pPr>
    </w:p>
    <w:p w14:paraId="6F41084B" w14:textId="77777777" w:rsidR="00A77B3E" w:rsidRDefault="0041658E">
      <w:pPr>
        <w:spacing w:line="264" w:lineRule="auto"/>
        <w:jc w:val="both"/>
        <w:rPr>
          <w:rFonts w:ascii="Sabon MT Pro" w:eastAsia="Sabon MT Pro" w:hAnsi="Sabon MT Pro" w:cs="Sabon MT Pro"/>
          <w:sz w:val="22"/>
        </w:rPr>
      </w:pPr>
      <w:r>
        <w:rPr>
          <w:rFonts w:ascii="Sabon MT Pro" w:eastAsia="Sabon MT Pro" w:hAnsi="Sabon MT Pro" w:cs="Sabon MT Pro"/>
          <w:sz w:val="22"/>
        </w:rPr>
        <w:t xml:space="preserve">The report also reinforces the idea of integrity as key to </w:t>
      </w:r>
      <w:proofErr w:type="spellStart"/>
      <w:r>
        <w:rPr>
          <w:rFonts w:ascii="Sabon MT Pro" w:eastAsia="Sabon MT Pro" w:hAnsi="Sabon MT Pro" w:cs="Sabon MT Pro"/>
          <w:sz w:val="22"/>
        </w:rPr>
        <w:t>Ternium's</w:t>
      </w:r>
      <w:proofErr w:type="spellEnd"/>
      <w:r>
        <w:rPr>
          <w:rFonts w:ascii="Sabon MT Pro" w:eastAsia="Sabon MT Pro" w:hAnsi="Sabon MT Pro" w:cs="Sabon MT Pro"/>
          <w:sz w:val="22"/>
        </w:rPr>
        <w:t xml:space="preserve"> long-term sustainability. The company continuously works on building a corporate culture of ethical behavior and transparency through a strong set of corporate governance standards.</w:t>
      </w:r>
    </w:p>
    <w:p w14:paraId="2CE824ED" w14:textId="77777777" w:rsidR="00A77B3E" w:rsidRDefault="00A77B3E">
      <w:pPr>
        <w:spacing w:line="264" w:lineRule="auto"/>
        <w:rPr>
          <w:rFonts w:ascii="Sabon MT Pro" w:eastAsia="Sabon MT Pro" w:hAnsi="Sabon MT Pro" w:cs="Sabon MT Pro"/>
          <w:sz w:val="22"/>
        </w:rPr>
      </w:pPr>
    </w:p>
    <w:p w14:paraId="60DD5F5A" w14:textId="77777777" w:rsidR="00A77B3E" w:rsidRDefault="0041658E">
      <w:pPr>
        <w:spacing w:line="264" w:lineRule="auto"/>
        <w:jc w:val="both"/>
        <w:rPr>
          <w:rFonts w:ascii="Sabon MT Pro" w:eastAsia="Sabon MT Pro" w:hAnsi="Sabon MT Pro" w:cs="Sabon MT Pro"/>
          <w:sz w:val="22"/>
        </w:rPr>
      </w:pPr>
      <w:proofErr w:type="spellStart"/>
      <w:r>
        <w:rPr>
          <w:rFonts w:ascii="Sabon MT Pro" w:eastAsia="Sabon MT Pro" w:hAnsi="Sabon MT Pro" w:cs="Sabon MT Pro"/>
          <w:sz w:val="22"/>
        </w:rPr>
        <w:t>Ternium’s</w:t>
      </w:r>
      <w:proofErr w:type="spellEnd"/>
      <w:r>
        <w:rPr>
          <w:rFonts w:ascii="Sabon MT Pro" w:eastAsia="Sabon MT Pro" w:hAnsi="Sabon MT Pro" w:cs="Sabon MT Pro"/>
          <w:sz w:val="22"/>
        </w:rPr>
        <w:t xml:space="preserve"> 2020 Sustainability Report is accessible at its website </w:t>
      </w:r>
      <w:r>
        <w:rPr>
          <w:rFonts w:ascii="Sabon MT Pro" w:eastAsia="Sabon MT Pro" w:hAnsi="Sabon MT Pro" w:cs="Sabon MT Pro"/>
          <w:color w:val="0000FF"/>
          <w:sz w:val="22"/>
        </w:rPr>
        <w:t>www.ternium.com</w:t>
      </w:r>
      <w:r>
        <w:rPr>
          <w:rFonts w:ascii="Sabon MT Pro" w:eastAsia="Sabon MT Pro" w:hAnsi="Sabon MT Pro" w:cs="Sabon MT Pro"/>
          <w:sz w:val="22"/>
        </w:rPr>
        <w:t xml:space="preserve"> on the Investors section.</w:t>
      </w:r>
    </w:p>
    <w:p w14:paraId="279FF5EF" w14:textId="77777777" w:rsidR="00A77B3E" w:rsidRDefault="00A77B3E">
      <w:pPr>
        <w:spacing w:line="264" w:lineRule="auto"/>
        <w:jc w:val="both"/>
        <w:rPr>
          <w:rFonts w:ascii="Arial" w:eastAsia="Arial" w:hAnsi="Arial" w:cs="Arial"/>
          <w:sz w:val="22"/>
        </w:rPr>
      </w:pPr>
    </w:p>
    <w:p w14:paraId="3EAA9D6D" w14:textId="77777777" w:rsidR="00A77B3E" w:rsidRDefault="0041658E">
      <w:pPr>
        <w:spacing w:line="264" w:lineRule="auto"/>
        <w:jc w:val="both"/>
        <w:rPr>
          <w:rFonts w:ascii="Trade Gothic" w:eastAsia="Trade Gothic" w:hAnsi="Trade Gothic" w:cs="Trade Gothic"/>
          <w:b/>
        </w:rPr>
      </w:pPr>
      <w:r>
        <w:rPr>
          <w:rFonts w:ascii="Trade Gothic" w:eastAsia="Trade Gothic" w:hAnsi="Trade Gothic" w:cs="Trade Gothic"/>
          <w:b/>
        </w:rPr>
        <w:t>Forward Looking Statements</w:t>
      </w:r>
    </w:p>
    <w:p w14:paraId="32664301" w14:textId="77777777" w:rsidR="00A77B3E" w:rsidRDefault="00A77B3E">
      <w:pPr>
        <w:spacing w:line="264" w:lineRule="auto"/>
        <w:jc w:val="both"/>
        <w:rPr>
          <w:rFonts w:ascii="Sabon MT Pro" w:eastAsia="Sabon MT Pro" w:hAnsi="Sabon MT Pro" w:cs="Sabon MT Pro"/>
          <w:b/>
          <w:i/>
          <w:sz w:val="22"/>
        </w:rPr>
      </w:pPr>
    </w:p>
    <w:p w14:paraId="18254021" w14:textId="77777777" w:rsidR="00A77B3E" w:rsidRDefault="0041658E">
      <w:pPr>
        <w:spacing w:line="264" w:lineRule="auto"/>
        <w:jc w:val="both"/>
        <w:rPr>
          <w:rFonts w:ascii="Sabon MT Pro" w:eastAsia="Sabon MT Pro" w:hAnsi="Sabon MT Pro" w:cs="Sabon MT Pro"/>
          <w:i/>
          <w:sz w:val="22"/>
        </w:rPr>
      </w:pPr>
      <w:r>
        <w:rPr>
          <w:rFonts w:ascii="Sabon MT Pro" w:eastAsia="Sabon MT Pro" w:hAnsi="Sabon MT Pro" w:cs="Sabon MT Pro"/>
          <w:i/>
          <w:sz w:val="22"/>
        </w:rPr>
        <w:t xml:space="preserve">Some of the statements contained in this press release are “forward-looking statements”.  Forward-looking statements </w:t>
      </w:r>
      <w:proofErr w:type="gramStart"/>
      <w:r>
        <w:rPr>
          <w:rFonts w:ascii="Sabon MT Pro" w:eastAsia="Sabon MT Pro" w:hAnsi="Sabon MT Pro" w:cs="Sabon MT Pro"/>
          <w:i/>
          <w:sz w:val="22"/>
        </w:rPr>
        <w:t>are based</w:t>
      </w:r>
      <w:proofErr w:type="gramEnd"/>
      <w:r>
        <w:rPr>
          <w:rFonts w:ascii="Sabon MT Pro" w:eastAsia="Sabon MT Pro" w:hAnsi="Sabon MT Pro" w:cs="Sabon MT Pro"/>
          <w:i/>
          <w:sz w:val="22"/>
        </w:rPr>
        <w:t xml:space="preserve"> on management’s current views and assumptions and involve known and unknown risks that could cause actual results, performance or events to differ materially from those expressed or implied by those statements.  These risks include but are not limited to risks arising from uncertainties as to gross domestic product, related market demand, global production capacity, tariffs, cyclicality in the </w:t>
      </w:r>
      <w:r>
        <w:rPr>
          <w:rFonts w:ascii="Sabon MT Pro" w:eastAsia="Sabon MT Pro" w:hAnsi="Sabon MT Pro" w:cs="Sabon MT Pro"/>
          <w:i/>
          <w:sz w:val="22"/>
        </w:rPr>
        <w:lastRenderedPageBreak/>
        <w:t xml:space="preserve">industries that purchase steel products and other factors beyond </w:t>
      </w:r>
      <w:proofErr w:type="spellStart"/>
      <w:r>
        <w:rPr>
          <w:rFonts w:ascii="Sabon MT Pro" w:eastAsia="Sabon MT Pro" w:hAnsi="Sabon MT Pro" w:cs="Sabon MT Pro"/>
          <w:i/>
          <w:sz w:val="22"/>
        </w:rPr>
        <w:t>Ternium’s</w:t>
      </w:r>
      <w:proofErr w:type="spellEnd"/>
      <w:r>
        <w:rPr>
          <w:rFonts w:ascii="Sabon MT Pro" w:eastAsia="Sabon MT Pro" w:hAnsi="Sabon MT Pro" w:cs="Sabon MT Pro"/>
          <w:i/>
          <w:sz w:val="22"/>
        </w:rPr>
        <w:t xml:space="preserve"> control.</w:t>
      </w:r>
    </w:p>
    <w:p w14:paraId="6819DF65" w14:textId="77777777" w:rsidR="00A77B3E" w:rsidRDefault="00A77B3E">
      <w:pPr>
        <w:spacing w:line="264" w:lineRule="auto"/>
        <w:jc w:val="both"/>
        <w:rPr>
          <w:rFonts w:ascii="Sabon MT Pro" w:eastAsia="Sabon MT Pro" w:hAnsi="Sabon MT Pro" w:cs="Sabon MT Pro"/>
          <w:b/>
        </w:rPr>
      </w:pPr>
    </w:p>
    <w:p w14:paraId="439C0261" w14:textId="77777777" w:rsidR="00A77B3E" w:rsidRDefault="0041658E">
      <w:pPr>
        <w:spacing w:line="264" w:lineRule="auto"/>
        <w:jc w:val="both"/>
        <w:rPr>
          <w:rFonts w:ascii="Trade Gothic" w:eastAsia="Trade Gothic" w:hAnsi="Trade Gothic" w:cs="Trade Gothic"/>
          <w:b/>
        </w:rPr>
      </w:pPr>
      <w:r>
        <w:rPr>
          <w:rFonts w:ascii="Trade Gothic" w:eastAsia="Trade Gothic" w:hAnsi="Trade Gothic" w:cs="Trade Gothic"/>
          <w:b/>
        </w:rPr>
        <w:t>About Ternium</w:t>
      </w:r>
    </w:p>
    <w:p w14:paraId="5314112A" w14:textId="77777777" w:rsidR="00A77B3E" w:rsidRDefault="00A77B3E">
      <w:pPr>
        <w:spacing w:line="264" w:lineRule="auto"/>
        <w:jc w:val="both"/>
        <w:rPr>
          <w:rFonts w:ascii="Sabon MT Pro" w:eastAsia="Sabon MT Pro" w:hAnsi="Sabon MT Pro" w:cs="Sabon MT Pro"/>
          <w:sz w:val="22"/>
        </w:rPr>
      </w:pPr>
    </w:p>
    <w:p w14:paraId="43E34E80" w14:textId="77777777" w:rsidR="00A77B3E" w:rsidRDefault="0041658E">
      <w:pPr>
        <w:spacing w:line="264" w:lineRule="auto"/>
        <w:jc w:val="both"/>
        <w:rPr>
          <w:rFonts w:ascii="Sabon MT Pro" w:eastAsia="Sabon MT Pro" w:hAnsi="Sabon MT Pro" w:cs="Sabon MT Pro"/>
          <w:sz w:val="22"/>
        </w:rPr>
      </w:pPr>
      <w:r>
        <w:rPr>
          <w:rFonts w:ascii="Sabon MT Pro" w:eastAsia="Sabon MT Pro" w:hAnsi="Sabon MT Pro" w:cs="Sabon MT Pro"/>
          <w:sz w:val="22"/>
        </w:rPr>
        <w:t xml:space="preserve">Ternium is Latin America’s leading flat steel producer, with operating facilities in Mexico, Brazil, Argentina, Colombia, the southern United States and Central America. The company offers a broad range of high value-added steel products for customers active in the automotive, home appliances, HVAC, construction, capital goods, container, food and energy industries through its manufacturing facilities, service center and distribution networks, and advanced customer integration systems. More information about Ternium is available at </w:t>
      </w:r>
      <w:r>
        <w:rPr>
          <w:rFonts w:ascii="Sabon MT Pro" w:eastAsia="Sabon MT Pro" w:hAnsi="Sabon MT Pro" w:cs="Sabon MT Pro"/>
          <w:color w:val="0000FF"/>
          <w:sz w:val="22"/>
        </w:rPr>
        <w:t>www.ternium.com</w:t>
      </w:r>
      <w:r>
        <w:rPr>
          <w:rFonts w:ascii="Sabon MT Pro" w:eastAsia="Sabon MT Pro" w:hAnsi="Sabon MT Pro" w:cs="Sabon MT Pro"/>
          <w:sz w:val="22"/>
        </w:rPr>
        <w:t>.</w:t>
      </w:r>
    </w:p>
    <w:sectPr w:rsidR="00A77B3E">
      <w:headerReference w:type="default" r:id="rId7"/>
      <w:footerReference w:type="default" r:id="rId8"/>
      <w:headerReference w:type="first" r:id="rId9"/>
      <w:footerReference w:type="first" r:id="rId10"/>
      <w:pgSz w:w="12240" w:h="15840"/>
      <w:pgMar w:top="2160" w:right="1080" w:bottom="1080" w:left="1710" w:header="270"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CE313" w14:textId="77777777" w:rsidR="003C60E9" w:rsidRDefault="0041658E">
      <w:r>
        <w:separator/>
      </w:r>
    </w:p>
  </w:endnote>
  <w:endnote w:type="continuationSeparator" w:id="0">
    <w:p w14:paraId="63CB2450" w14:textId="77777777" w:rsidR="003C60E9" w:rsidRDefault="0041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bon MT Pr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rade Gothic">
    <w:panose1 w:val="000004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38AB" w14:textId="77777777" w:rsidR="000E74F3" w:rsidRDefault="000E74F3">
    <w:pPr>
      <w:spacing w:line="288" w:lineRule="auto"/>
      <w:ind w:left="-720" w:right="-9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BB4A1" w14:textId="77777777" w:rsidR="000E74F3" w:rsidRDefault="000E74F3">
    <w:pPr>
      <w:tabs>
        <w:tab w:val="center" w:pos="4400"/>
        <w:tab w:val="right" w:pos="8820"/>
      </w:tabs>
      <w:spacing w:line="288" w:lineRule="auto"/>
      <w:ind w:left="-720" w:right="-9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760F7" w14:textId="77777777" w:rsidR="003C60E9" w:rsidRDefault="0041658E">
      <w:r>
        <w:separator/>
      </w:r>
    </w:p>
  </w:footnote>
  <w:footnote w:type="continuationSeparator" w:id="0">
    <w:p w14:paraId="7A0D545B" w14:textId="77777777" w:rsidR="003C60E9" w:rsidRDefault="00416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0E27" w14:textId="77777777" w:rsidR="000E74F3" w:rsidRDefault="000E74F3">
    <w:pPr>
      <w:tabs>
        <w:tab w:val="center" w:pos="4400"/>
        <w:tab w:val="right" w:pos="8820"/>
      </w:tabs>
      <w:spacing w:line="288" w:lineRule="auto"/>
      <w:ind w:left="90" w:righ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9A9A9" w14:textId="77777777" w:rsidR="000E74F3" w:rsidRDefault="000E74F3">
    <w:pPr>
      <w:tabs>
        <w:tab w:val="right" w:pos="9360"/>
      </w:tabs>
      <w:spacing w:line="288" w:lineRule="auto"/>
      <w:ind w:left="90" w:right="720" w:hanging="450"/>
      <w:rPr>
        <w:sz w:val="20"/>
      </w:rPr>
    </w:pP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3"/>
      <w:gridCol w:w="3473"/>
    </w:tblGrid>
    <w:tr w:rsidR="000E74F3" w14:paraId="1DA67927" w14:textId="77777777">
      <w:trPr>
        <w:cantSplit/>
        <w:trHeight w:hRule="exact" w:val="735"/>
        <w:jc w:val="center"/>
      </w:trPr>
      <w:tc>
        <w:tcPr>
          <w:tcW w:w="3405" w:type="dxa"/>
          <w:tcBorders>
            <w:top w:val="nil"/>
            <w:left w:val="nil"/>
            <w:bottom w:val="nil"/>
            <w:right w:val="nil"/>
          </w:tcBorders>
          <w:tcMar>
            <w:top w:w="0" w:type="dxa"/>
            <w:left w:w="53" w:type="dxa"/>
            <w:bottom w:w="0" w:type="dxa"/>
            <w:right w:w="53" w:type="dxa"/>
          </w:tcMar>
        </w:tcPr>
        <w:p w14:paraId="4A5E8160" w14:textId="77777777" w:rsidR="000E74F3" w:rsidRDefault="0041658E">
          <w:pPr>
            <w:spacing w:before="75" w:after="30"/>
            <w:rPr>
              <w:sz w:val="20"/>
            </w:rPr>
          </w:pPr>
          <w:r>
            <w:rPr>
              <w:noProof/>
              <w:lang w:val="es-AR" w:eastAsia="es-AR"/>
            </w:rPr>
            <w:drawing>
              <wp:inline distT="0" distB="0" distL="0" distR="0" wp14:anchorId="65BAFF10" wp14:editId="51D7F1A3">
                <wp:extent cx="941451" cy="304800"/>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41451" cy="304800"/>
                        </a:xfrm>
                        <a:prstGeom prst="rect">
                          <a:avLst/>
                        </a:prstGeom>
                        <a:noFill/>
                        <a:ln>
                          <a:noFill/>
                        </a:ln>
                      </pic:spPr>
                    </pic:pic>
                  </a:graphicData>
                </a:graphic>
              </wp:inline>
            </w:drawing>
          </w:r>
        </w:p>
      </w:tc>
      <w:tc>
        <w:tcPr>
          <w:tcW w:w="3405" w:type="dxa"/>
          <w:tcBorders>
            <w:top w:val="nil"/>
            <w:left w:val="nil"/>
            <w:bottom w:val="nil"/>
            <w:right w:val="nil"/>
          </w:tcBorders>
          <w:tcMar>
            <w:top w:w="0" w:type="dxa"/>
            <w:left w:w="0" w:type="dxa"/>
            <w:bottom w:w="0" w:type="dxa"/>
            <w:right w:w="0" w:type="dxa"/>
          </w:tcMar>
          <w:vAlign w:val="bottom"/>
        </w:tcPr>
        <w:p w14:paraId="26961692" w14:textId="77777777" w:rsidR="000E74F3" w:rsidRDefault="000E74F3"/>
      </w:tc>
      <w:tc>
        <w:tcPr>
          <w:tcW w:w="3405" w:type="dxa"/>
          <w:tcBorders>
            <w:top w:val="nil"/>
            <w:left w:val="nil"/>
            <w:bottom w:val="nil"/>
            <w:right w:val="nil"/>
          </w:tcBorders>
          <w:tcMar>
            <w:top w:w="0" w:type="dxa"/>
            <w:left w:w="53" w:type="dxa"/>
            <w:bottom w:w="0" w:type="dxa"/>
            <w:right w:w="53" w:type="dxa"/>
          </w:tcMar>
          <w:vAlign w:val="bottom"/>
        </w:tcPr>
        <w:p w14:paraId="66EC9895" w14:textId="77777777" w:rsidR="000E74F3" w:rsidRDefault="0041658E">
          <w:pPr>
            <w:spacing w:before="75" w:after="30"/>
            <w:jc w:val="right"/>
            <w:rPr>
              <w:sz w:val="20"/>
            </w:rPr>
          </w:pPr>
          <w:r>
            <w:rPr>
              <w:noProof/>
              <w:lang w:val="es-AR" w:eastAsia="es-AR"/>
            </w:rPr>
            <w:drawing>
              <wp:inline distT="0" distB="0" distL="0" distR="0" wp14:anchorId="645DD879" wp14:editId="7F468720">
                <wp:extent cx="1473200" cy="215900"/>
                <wp:effectExtent l="0" t="0" r="0" b="0"/>
                <wp:docPr id="2050" name="Imag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Image 205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473200" cy="215900"/>
                        </a:xfrm>
                        <a:prstGeom prst="rect">
                          <a:avLst/>
                        </a:prstGeom>
                        <a:noFill/>
                        <a:ln>
                          <a:noFill/>
                        </a:ln>
                      </pic:spPr>
                    </pic:pic>
                  </a:graphicData>
                </a:graphic>
              </wp:inline>
            </w:drawing>
          </w:r>
        </w:p>
      </w:tc>
    </w:tr>
  </w:tbl>
  <w:p w14:paraId="16828BA9" w14:textId="77777777" w:rsidR="000E74F3" w:rsidRDefault="000E74F3">
    <w:pPr>
      <w:tabs>
        <w:tab w:val="right" w:pos="9360"/>
      </w:tabs>
      <w:spacing w:line="288" w:lineRule="auto"/>
      <w:ind w:left="90" w:right="720" w:hanging="450"/>
      <w:jc w:val="center"/>
      <w:rPr>
        <w:sz w:val="20"/>
      </w:rPr>
    </w:pPr>
  </w:p>
  <w:p w14:paraId="2934989B" w14:textId="77777777" w:rsidR="000E74F3" w:rsidRDefault="000E74F3">
    <w:pPr>
      <w:tabs>
        <w:tab w:val="right" w:pos="9360"/>
      </w:tabs>
      <w:spacing w:line="288" w:lineRule="auto"/>
      <w:ind w:left="90" w:right="720" w:hanging="45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EnDash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2"/>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E74F3"/>
    <w:rsid w:val="003C60E9"/>
    <w:rsid w:val="0041658E"/>
    <w:rsid w:val="006A1B7A"/>
    <w:rsid w:val="00A77B3E"/>
    <w:rsid w:val="00C142E7"/>
    <w:rsid w:val="00CA2A55"/>
    <w:rsid w:val="00FE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DCBD6"/>
  <w15:docId w15:val="{2F09E1C5-BC1C-47F2-AEC5-0580CFA5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nDashSYMBOL">
    <w:name w:val="EnDashSYMBOL–"/>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2120</Characters>
  <Application>Microsoft Office Word</Application>
  <DocSecurity>4</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2021-06-24 (SR2020)</vt: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2021-06-24 (SR2020)</dc:title>
  <dc:creator>DECIBE Carla   TERNIUM [AR]</dc:creator>
  <cp:lastModifiedBy>ETCHEPAREBORDA Guillermo   TERNIUM [AR]</cp:lastModifiedBy>
  <cp:revision>2</cp:revision>
  <dcterms:created xsi:type="dcterms:W3CDTF">2021-06-24T18:03:00Z</dcterms:created>
  <dcterms:modified xsi:type="dcterms:W3CDTF">2021-06-24T18:03:00Z</dcterms:modified>
</cp:coreProperties>
</file>