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0.7.0 -->
  <w:body>
    <w:p w:rsidR="00A77B3E">
      <w:pPr>
        <w:keepNext w:val="0"/>
        <w:keepLines w:val="0"/>
        <w:pageBreakBefore w:val="0"/>
        <w:widowControl/>
        <w:numPr>
          <w:ilvl w:val="0"/>
          <w:numId w:val="0"/>
        </w:numPr>
        <w:spacing w:before="0" w:after="0" w:line="334" w:lineRule="auto"/>
        <w:ind w:left="0" w:right="0" w:firstLine="0"/>
        <w:jc w:val="right"/>
        <w:outlineLvl w:val="9"/>
        <w:rPr>
          <w:rFonts w:ascii="Arial" w:eastAsia="Arial" w:hAnsi="Arial" w:cs="Arial"/>
          <w:sz w:val="20"/>
        </w:rPr>
      </w:pPr>
      <w:bookmarkStart w:id="0" w:name="Section1"/>
      <w:bookmarkEnd w:id="0"/>
      <w:r>
        <w:drawing>
          <wp:inline distT="0" distB="0" distL="0" distR="0">
            <wp:extent cx="2190750" cy="3810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2190750" cy="381000"/>
                    </a:xfrm>
                    <a:prstGeom prst="rect">
                      <a:avLst/>
                    </a:prstGeom>
                    <a:noFill/>
                    <a:ln>
                      <a:noFill/>
                    </a:ln>
                  </pic:spPr>
                </pic:pic>
              </a:graphicData>
            </a:graphic>
          </wp:inline>
        </w:drawing>
      </w: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4"/>
        </w:rPr>
      </w:pP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4"/>
        </w:rPr>
      </w:pPr>
    </w:p>
    <w:p w:rsidR="00A77B3E">
      <w:pPr>
        <w:keepNext w:val="0"/>
        <w:keepLines w:val="0"/>
        <w:pageBreakBefore w:val="0"/>
        <w:widowControl/>
        <w:numPr>
          <w:ilvl w:val="0"/>
          <w:numId w:val="0"/>
        </w:numPr>
        <w:spacing w:before="0" w:after="0" w:line="334" w:lineRule="auto"/>
        <w:ind w:left="0" w:right="0" w:firstLine="0"/>
        <w:jc w:val="left"/>
        <w:outlineLvl w:val="0"/>
        <w:rPr>
          <w:rFonts w:ascii="Arial" w:eastAsia="Arial" w:hAnsi="Arial" w:cs="Arial"/>
          <w:sz w:val="24"/>
        </w:rPr>
      </w:pPr>
      <w:r>
        <w:rPr>
          <w:rFonts w:ascii="Arial" w:eastAsia="Arial" w:hAnsi="Arial" w:cs="Arial"/>
          <w:b/>
          <w:sz w:val="20"/>
        </w:rPr>
        <w:t>DIVERSIFIED ENERGY ANNOUNCES CONDITIONAL ACQUISITION WITH OAKTREE PARTICIPATION</w:t>
      </w: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4"/>
        </w:rPr>
      </w:pPr>
    </w:p>
    <w:p w:rsidR="00A77B3E">
      <w:pPr>
        <w:keepNext w:val="0"/>
        <w:keepLines w:val="0"/>
        <w:pageBreakBefore w:val="0"/>
        <w:widowControl/>
        <w:numPr>
          <w:ilvl w:val="0"/>
          <w:numId w:val="0"/>
        </w:numPr>
        <w:spacing w:before="0" w:after="0" w:line="288" w:lineRule="auto"/>
        <w:ind w:left="0" w:right="0" w:firstLine="0"/>
        <w:jc w:val="both"/>
        <w:outlineLvl w:val="9"/>
        <w:rPr>
          <w:rFonts w:ascii="Calibri" w:eastAsia="Calibri" w:hAnsi="Calibri" w:cs="Calibri"/>
          <w:sz w:val="18"/>
        </w:rPr>
      </w:pPr>
      <w:r>
        <w:rPr>
          <w:rFonts w:ascii="Arial" w:eastAsia="Arial" w:hAnsi="Arial" w:cs="Arial"/>
          <w:sz w:val="20"/>
        </w:rPr>
        <w:t>BIRMINGHAM, AL / ACCESSWI</w:t>
      </w:r>
      <w:r>
        <w:rPr>
          <w:rFonts w:ascii="Arial" w:eastAsia="Arial" w:hAnsi="Arial" w:cs="Arial"/>
          <w:sz w:val="20"/>
        </w:rPr>
        <w:t xml:space="preserve">RE / JULY 5, 2021 / </w:t>
      </w:r>
      <w:r>
        <w:rPr>
          <w:rFonts w:ascii="Arial" w:eastAsia="Arial" w:hAnsi="Arial" w:cs="Arial"/>
          <w:sz w:val="20"/>
        </w:rPr>
        <w:t>L</w:t>
      </w:r>
      <w:r>
        <w:rPr>
          <w:rFonts w:ascii="Arial" w:eastAsia="Arial" w:hAnsi="Arial" w:cs="Arial"/>
          <w:sz w:val="20"/>
        </w:rPr>
        <w:t>SE-</w:t>
      </w:r>
      <w:r>
        <w:rPr>
          <w:rFonts w:ascii="Arial" w:eastAsia="Arial" w:hAnsi="Arial" w:cs="Arial"/>
          <w:sz w:val="20"/>
        </w:rPr>
        <w:t>l</w:t>
      </w:r>
      <w:r>
        <w:rPr>
          <w:rFonts w:ascii="Arial" w:eastAsia="Arial" w:hAnsi="Arial" w:cs="Arial"/>
          <w:sz w:val="20"/>
        </w:rPr>
        <w:t xml:space="preserve">isted </w:t>
      </w:r>
      <w:r>
        <w:rPr>
          <w:rFonts w:ascii="Arial" w:eastAsia="Arial" w:hAnsi="Arial" w:cs="Arial"/>
          <w:sz w:val="20"/>
        </w:rPr>
        <w:t>Diversified Energy Company PLC (LSE: DEC)</w:t>
      </w:r>
      <w:r>
        <w:rPr>
          <w:rFonts w:ascii="Arial" w:eastAsia="Arial" w:hAnsi="Arial" w:cs="Arial"/>
          <w:sz w:val="20"/>
        </w:rPr>
        <w:t>(</w:t>
      </w:r>
      <w:r>
        <w:rPr>
          <w:rFonts w:ascii="Arial" w:eastAsia="Arial" w:hAnsi="Arial" w:cs="Arial"/>
          <w:sz w:val="20"/>
        </w:rPr>
        <w:t>“</w:t>
      </w:r>
      <w:r>
        <w:rPr>
          <w:rFonts w:ascii="Arial" w:eastAsia="Arial" w:hAnsi="Arial" w:cs="Arial"/>
          <w:sz w:val="20"/>
        </w:rPr>
        <w:t>Diversified</w:t>
      </w:r>
      <w:r>
        <w:rPr>
          <w:rFonts w:ascii="Arial" w:eastAsia="Arial" w:hAnsi="Arial" w:cs="Arial"/>
          <w:sz w:val="20"/>
        </w:rPr>
        <w:t>”</w:t>
      </w:r>
      <w:r>
        <w:rPr>
          <w:rFonts w:ascii="Arial" w:eastAsia="Arial" w:hAnsi="Arial" w:cs="Arial"/>
          <w:sz w:val="20"/>
        </w:rPr>
        <w:t xml:space="preserve"> or the </w:t>
      </w:r>
      <w:r>
        <w:rPr>
          <w:rFonts w:ascii="Arial" w:eastAsia="Arial" w:hAnsi="Arial" w:cs="Arial"/>
          <w:sz w:val="20"/>
        </w:rPr>
        <w:t>“</w:t>
      </w:r>
      <w:r>
        <w:rPr>
          <w:rFonts w:ascii="Arial" w:eastAsia="Arial" w:hAnsi="Arial" w:cs="Arial"/>
          <w:sz w:val="20"/>
        </w:rPr>
        <w:t>Company</w:t>
      </w:r>
      <w:r>
        <w:rPr>
          <w:rFonts w:ascii="Arial" w:eastAsia="Arial" w:hAnsi="Arial" w:cs="Arial"/>
          <w:sz w:val="20"/>
        </w:rPr>
        <w:t>”</w:t>
      </w:r>
      <w:r>
        <w:rPr>
          <w:rFonts w:ascii="Arial" w:eastAsia="Arial" w:hAnsi="Arial" w:cs="Arial"/>
          <w:sz w:val="20"/>
        </w:rPr>
        <w:t>)</w:t>
      </w:r>
      <w:r>
        <w:rPr>
          <w:rFonts w:ascii="Arial" w:eastAsia="Arial" w:hAnsi="Arial" w:cs="Arial"/>
          <w:sz w:val="20"/>
        </w:rPr>
        <w:t xml:space="preserve"> announces the conditional acquisition of certain Cotton Valley and Haynesville upstream assets and related facilities (“the Assets”) in the states of Louisiana and Texas from Tanos Energy Holdings III LLC (“Tanos”) (the “Acquisition”). </w:t>
      </w: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sz w:val="20"/>
        </w:rPr>
      </w:pPr>
    </w:p>
    <w:p w:rsidR="00A77B3E">
      <w:pPr>
        <w:keepNext w:val="0"/>
        <w:keepLines w:val="0"/>
        <w:pageBreakBefore w:val="0"/>
        <w:widowControl/>
        <w:numPr>
          <w:ilvl w:val="0"/>
          <w:numId w:val="0"/>
        </w:numPr>
        <w:spacing w:before="0" w:after="0" w:line="288" w:lineRule="auto"/>
        <w:ind w:left="0" w:right="0" w:firstLine="0"/>
        <w:jc w:val="both"/>
        <w:outlineLvl w:val="9"/>
        <w:rPr>
          <w:rFonts w:ascii="Calibri" w:eastAsia="Calibri" w:hAnsi="Calibri" w:cs="Calibri"/>
          <w:sz w:val="18"/>
        </w:rPr>
      </w:pPr>
      <w:r>
        <w:rPr>
          <w:rFonts w:ascii="Arial" w:eastAsia="Arial" w:hAnsi="Arial" w:cs="Arial"/>
          <w:sz w:val="20"/>
        </w:rPr>
        <w:t xml:space="preserve">Concurrently, Oaktree Capital Management, L.P. (“Oaktree”) will co-invest in the Acquisition under the joint participation agreement announced on </w:t>
      </w:r>
      <w:r>
        <w:rPr>
          <w:rFonts w:ascii="Arial" w:eastAsia="Arial" w:hAnsi="Arial" w:cs="Arial"/>
          <w:sz w:val="20"/>
        </w:rPr>
        <w:t>October</w:t>
      </w:r>
      <w:r>
        <w:rPr>
          <w:rFonts w:ascii="Arial" w:eastAsia="Arial" w:hAnsi="Arial" w:cs="Arial"/>
          <w:sz w:val="20"/>
        </w:rPr>
        <w:t xml:space="preserve"> 5,</w:t>
      </w:r>
      <w:r>
        <w:rPr>
          <w:rFonts w:ascii="Arial" w:eastAsia="Arial" w:hAnsi="Arial" w:cs="Arial"/>
          <w:sz w:val="20"/>
        </w:rPr>
        <w:t xml:space="preserve"> 2020, marking Oaktree’s inaugural participation in a transaction with Diversified and affirming their confidence in the Company’s recently defined Central Regional Focus Area (“Central RFA”). Total cash consideration for the Acquisition is </w:t>
      </w:r>
      <w:r>
        <w:rPr>
          <w:rFonts w:ascii="Arial" w:eastAsia="Arial" w:hAnsi="Arial" w:cs="Arial"/>
          <w:sz w:val="20"/>
        </w:rPr>
        <w:t>$308 million</w:t>
      </w:r>
      <w:r>
        <w:rPr>
          <w:rFonts w:ascii="Arial" w:eastAsia="Arial" w:hAnsi="Arial" w:cs="Arial"/>
          <w:sz w:val="20"/>
        </w:rPr>
        <w:t xml:space="preserve">. </w:t>
      </w: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sz w:val="20"/>
        </w:rPr>
      </w:pP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sz w:val="20"/>
        </w:rPr>
      </w:pPr>
      <w:r>
        <w:rPr>
          <w:rFonts w:ascii="Arial" w:eastAsia="Arial" w:hAnsi="Arial" w:cs="Arial"/>
          <w:sz w:val="20"/>
        </w:rPr>
        <w:t>Oaktree will also co-invest in the assets Diversified recently acquired from Indigo Minerals LLC (“Indigo”) to more fully align both parties as working interest partners in assets located in the Cotton Valley/Haynesville region given the contiguous nature of the assets Indigo Minerals LLC (“Indigo”).</w:t>
      </w: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4"/>
        </w:rPr>
      </w:pP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sz w:val="24"/>
        </w:rPr>
      </w:pPr>
      <w:r>
        <w:rPr>
          <w:rFonts w:ascii="Arial" w:eastAsia="Arial" w:hAnsi="Arial" w:cs="Arial"/>
          <w:b/>
          <w:sz w:val="20"/>
        </w:rPr>
        <w:t>Tanos Acquisition Highlights - Diversified’s Interest:</w:t>
      </w:r>
    </w:p>
    <w:p w:rsidR="00A77B3E">
      <w:pPr>
        <w:keepNext w:val="0"/>
        <w:keepLines w:val="0"/>
        <w:pageBreakBefore w:val="0"/>
        <w:widowControl/>
        <w:numPr>
          <w:ilvl w:val="0"/>
          <w:numId w:val="8"/>
        </w:numPr>
        <w:spacing w:before="0" w:after="0" w:line="288" w:lineRule="auto"/>
        <w:ind w:left="720" w:right="0" w:hanging="360"/>
        <w:jc w:val="both"/>
        <w:outlineLvl w:val="9"/>
        <w:rPr>
          <w:rFonts w:ascii="Arial" w:eastAsia="Arial" w:hAnsi="Arial" w:cs="Arial"/>
          <w:sz w:val="20"/>
        </w:rPr>
      </w:pPr>
      <w:r>
        <w:rPr>
          <w:rFonts w:ascii="Arial" w:eastAsia="Arial" w:hAnsi="Arial" w:cs="Arial"/>
          <w:sz w:val="20"/>
        </w:rPr>
        <w:t xml:space="preserve">Gross cash consideration of </w:t>
      </w:r>
      <w:r>
        <w:rPr>
          <w:rFonts w:ascii="Arial" w:eastAsia="Arial" w:hAnsi="Arial" w:cs="Arial"/>
          <w:sz w:val="20"/>
        </w:rPr>
        <w:t>$154 million</w:t>
      </w:r>
      <w:r>
        <w:rPr>
          <w:rFonts w:ascii="Arial" w:eastAsia="Arial" w:hAnsi="Arial" w:cs="Arial"/>
          <w:sz w:val="20"/>
        </w:rPr>
        <w:t xml:space="preserve"> (~</w:t>
      </w:r>
      <w:r>
        <w:rPr>
          <w:rFonts w:ascii="Arial" w:eastAsia="Arial" w:hAnsi="Arial" w:cs="Arial"/>
          <w:sz w:val="20"/>
        </w:rPr>
        <w:t>$118</w:t>
      </w:r>
      <w:r>
        <w:rPr>
          <w:rFonts w:ascii="Arial" w:eastAsia="Arial" w:hAnsi="Arial" w:cs="Arial"/>
          <w:sz w:val="20"/>
        </w:rPr>
        <w:t xml:space="preserve"> million net at closing), equal to </w:t>
      </w:r>
      <w:r>
        <w:rPr>
          <w:rFonts w:ascii="Arial" w:eastAsia="Arial" w:hAnsi="Arial" w:cs="Arial"/>
          <w:sz w:val="20"/>
        </w:rPr>
        <w:t>50%</w:t>
      </w:r>
      <w:r>
        <w:rPr>
          <w:rFonts w:ascii="Arial" w:eastAsia="Arial" w:hAnsi="Arial" w:cs="Arial"/>
          <w:sz w:val="20"/>
        </w:rPr>
        <w:t xml:space="preserve"> of the total cash consideration as per Oaktree joint participation agreement</w:t>
      </w:r>
    </w:p>
    <w:p w:rsidR="00A77B3E">
      <w:pPr>
        <w:keepNext w:val="0"/>
        <w:keepLines w:val="0"/>
        <w:pageBreakBefore w:val="0"/>
        <w:widowControl/>
        <w:numPr>
          <w:ilvl w:val="1"/>
          <w:numId w:val="8"/>
        </w:numPr>
        <w:spacing w:before="0" w:after="0" w:line="288" w:lineRule="auto"/>
        <w:ind w:left="1440" w:right="0" w:hanging="360"/>
        <w:jc w:val="both"/>
        <w:outlineLvl w:val="9"/>
        <w:rPr>
          <w:rFonts w:ascii="Arial" w:eastAsia="Arial" w:hAnsi="Arial" w:cs="Arial"/>
          <w:sz w:val="20"/>
        </w:rPr>
      </w:pPr>
      <w:r>
        <w:rPr>
          <w:rFonts w:ascii="Arial" w:eastAsia="Arial" w:hAnsi="Arial" w:cs="Arial"/>
          <w:sz w:val="20"/>
        </w:rPr>
        <w:t>Diversified will fund its portion entirely with cash on hand and existing credit capacity</w:t>
      </w:r>
    </w:p>
    <w:p w:rsidR="00A77B3E">
      <w:pPr>
        <w:keepNext w:val="0"/>
        <w:keepLines w:val="0"/>
        <w:pageBreakBefore w:val="0"/>
        <w:widowControl/>
        <w:numPr>
          <w:ilvl w:val="1"/>
          <w:numId w:val="8"/>
        </w:numPr>
        <w:spacing w:before="0" w:after="0" w:line="288" w:lineRule="auto"/>
        <w:ind w:left="1440" w:right="0" w:hanging="360"/>
        <w:jc w:val="both"/>
        <w:outlineLvl w:val="9"/>
        <w:rPr>
          <w:rFonts w:ascii="Arial" w:eastAsia="Arial" w:hAnsi="Arial" w:cs="Arial"/>
          <w:sz w:val="20"/>
        </w:rPr>
      </w:pPr>
      <w:r>
        <w:rPr>
          <w:rFonts w:ascii="Arial" w:eastAsia="Arial" w:hAnsi="Arial" w:cs="Arial"/>
          <w:sz w:val="20"/>
        </w:rPr>
        <w:t>Diversified assumes certain below-market natural gas hedge contracts through 2023,  valued at ~</w:t>
      </w:r>
      <w:r>
        <w:rPr>
          <w:rFonts w:ascii="Arial" w:eastAsia="Arial" w:hAnsi="Arial" w:cs="Arial"/>
          <w:sz w:val="20"/>
        </w:rPr>
        <w:t>$24</w:t>
      </w:r>
      <w:r>
        <w:rPr>
          <w:rFonts w:ascii="Arial" w:eastAsia="Arial" w:hAnsi="Arial" w:cs="Arial"/>
          <w:sz w:val="20"/>
        </w:rPr>
        <w:t xml:space="preserve"> million as of </w:t>
      </w:r>
      <w:r>
        <w:rPr>
          <w:rFonts w:ascii="Arial" w:eastAsia="Arial" w:hAnsi="Arial" w:cs="Arial"/>
          <w:sz w:val="20"/>
        </w:rPr>
        <w:t>June 25, 2021</w:t>
      </w:r>
      <w:r>
        <w:rPr>
          <w:rFonts w:ascii="Arial" w:eastAsia="Arial" w:hAnsi="Arial" w:cs="Arial"/>
          <w:sz w:val="20"/>
        </w:rPr>
        <w:t xml:space="preserve"> (the “Assumed Hedges”)(collectively with the cash consideration, the “Purchase Price”)</w:t>
      </w:r>
    </w:p>
    <w:p w:rsidR="00A77B3E">
      <w:pPr>
        <w:keepNext w:val="0"/>
        <w:keepLines w:val="0"/>
        <w:pageBreakBefore w:val="0"/>
        <w:widowControl/>
        <w:numPr>
          <w:ilvl w:val="1"/>
          <w:numId w:val="8"/>
        </w:numPr>
        <w:spacing w:before="0" w:after="0" w:line="288" w:lineRule="auto"/>
        <w:ind w:left="1440" w:right="0" w:hanging="360"/>
        <w:jc w:val="both"/>
        <w:outlineLvl w:val="9"/>
        <w:rPr>
          <w:rFonts w:ascii="Arial" w:eastAsia="Arial" w:hAnsi="Arial" w:cs="Arial"/>
          <w:sz w:val="20"/>
        </w:rPr>
      </w:pPr>
      <w:r>
        <w:rPr>
          <w:rFonts w:ascii="Arial" w:eastAsia="Arial" w:hAnsi="Arial" w:cs="Arial"/>
          <w:sz w:val="20"/>
        </w:rPr>
        <w:t xml:space="preserve">Net Purchase Price represents a </w:t>
      </w:r>
      <w:r>
        <w:rPr>
          <w:rFonts w:ascii="Arial" w:eastAsia="Arial" w:hAnsi="Arial" w:cs="Arial"/>
          <w:sz w:val="20"/>
        </w:rPr>
        <w:t>2.8x</w:t>
      </w:r>
      <w:r>
        <w:rPr>
          <w:rFonts w:ascii="Arial" w:eastAsia="Arial" w:hAnsi="Arial" w:cs="Arial"/>
          <w:sz w:val="20"/>
        </w:rPr>
        <w:t xml:space="preserve"> multiple on </w:t>
      </w:r>
      <w:r>
        <w:rPr>
          <w:rFonts w:ascii="Arial" w:eastAsia="Arial" w:hAnsi="Arial" w:cs="Arial"/>
          <w:sz w:val="20"/>
        </w:rPr>
        <w:t>~$51 million</w:t>
      </w:r>
      <w:r>
        <w:rPr>
          <w:rFonts w:ascii="Arial" w:eastAsia="Arial" w:hAnsi="Arial" w:cs="Arial"/>
          <w:sz w:val="20"/>
        </w:rPr>
        <w:t xml:space="preserve"> of estimated next twelve months’ (“NTM”) Adjusted EBITDA</w:t>
      </w:r>
      <w:r>
        <w:rPr>
          <w:rFonts w:ascii="Arial" w:eastAsia="Arial" w:hAnsi="Arial" w:cs="Arial"/>
          <w:sz w:val="20"/>
          <w:vertAlign w:val="superscript"/>
        </w:rPr>
        <w:t>(a)</w:t>
      </w:r>
      <w:r>
        <w:rPr>
          <w:rFonts w:ascii="Arial" w:eastAsia="Arial" w:hAnsi="Arial" w:cs="Arial"/>
          <w:sz w:val="20"/>
        </w:rPr>
        <w:t xml:space="preserve"> before potential synergies</w:t>
      </w:r>
    </w:p>
    <w:p w:rsidR="00A77B3E">
      <w:pPr>
        <w:keepNext w:val="0"/>
        <w:keepLines w:val="0"/>
        <w:pageBreakBefore w:val="0"/>
        <w:widowControl/>
        <w:numPr>
          <w:ilvl w:val="0"/>
          <w:numId w:val="8"/>
        </w:numPr>
        <w:spacing w:before="0" w:after="0" w:line="288" w:lineRule="auto"/>
        <w:ind w:left="720" w:right="0" w:hanging="360"/>
        <w:jc w:val="both"/>
        <w:outlineLvl w:val="9"/>
        <w:rPr>
          <w:rFonts w:ascii="Arial" w:eastAsia="Arial" w:hAnsi="Arial" w:cs="Arial"/>
          <w:sz w:val="20"/>
        </w:rPr>
      </w:pPr>
      <w:r>
        <w:rPr>
          <w:rFonts w:ascii="Arial" w:eastAsia="Arial" w:hAnsi="Arial" w:cs="Arial"/>
          <w:sz w:val="20"/>
        </w:rPr>
        <w:t xml:space="preserve">Diversified receives </w:t>
      </w:r>
      <w:r>
        <w:rPr>
          <w:rFonts w:ascii="Arial" w:eastAsia="Arial" w:hAnsi="Arial" w:cs="Arial"/>
          <w:sz w:val="20"/>
        </w:rPr>
        <w:t>51.25%</w:t>
      </w:r>
      <w:r>
        <w:rPr>
          <w:rFonts w:ascii="Arial" w:eastAsia="Arial" w:hAnsi="Arial" w:cs="Arial"/>
          <w:sz w:val="20"/>
        </w:rPr>
        <w:t xml:space="preserve"> working interest in the Assets inclusive of Oaktree’s initial </w:t>
      </w:r>
      <w:r>
        <w:rPr>
          <w:rFonts w:ascii="Arial" w:eastAsia="Arial" w:hAnsi="Arial" w:cs="Arial"/>
          <w:sz w:val="20"/>
        </w:rPr>
        <w:t>2.5%</w:t>
      </w:r>
      <w:r>
        <w:rPr>
          <w:rFonts w:ascii="Arial" w:eastAsia="Arial" w:hAnsi="Arial" w:cs="Arial"/>
          <w:sz w:val="20"/>
        </w:rPr>
        <w:t xml:space="preserve"> working interest promote</w:t>
      </w:r>
    </w:p>
    <w:p w:rsidR="00A77B3E">
      <w:pPr>
        <w:keepNext w:val="0"/>
        <w:keepLines w:val="0"/>
        <w:pageBreakBefore w:val="0"/>
        <w:widowControl/>
        <w:numPr>
          <w:ilvl w:val="1"/>
          <w:numId w:val="8"/>
        </w:numPr>
        <w:spacing w:before="0" w:after="0" w:line="288" w:lineRule="auto"/>
        <w:ind w:left="1440" w:right="0" w:hanging="360"/>
        <w:jc w:val="both"/>
        <w:outlineLvl w:val="9"/>
        <w:rPr>
          <w:rFonts w:ascii="Arial" w:eastAsia="Arial" w:hAnsi="Arial" w:cs="Arial"/>
          <w:sz w:val="20"/>
        </w:rPr>
      </w:pPr>
      <w:r>
        <w:rPr>
          <w:rFonts w:ascii="Arial" w:eastAsia="Arial" w:hAnsi="Arial" w:cs="Arial"/>
          <w:sz w:val="20"/>
        </w:rPr>
        <w:t xml:space="preserve">Diversified’s working interest increases to </w:t>
      </w:r>
      <w:r>
        <w:rPr>
          <w:rFonts w:ascii="Arial" w:eastAsia="Arial" w:hAnsi="Arial" w:cs="Arial"/>
          <w:sz w:val="20"/>
        </w:rPr>
        <w:t>60%</w:t>
      </w:r>
      <w:r>
        <w:rPr>
          <w:rFonts w:ascii="Arial" w:eastAsia="Arial" w:hAnsi="Arial" w:cs="Arial"/>
          <w:sz w:val="20"/>
        </w:rPr>
        <w:t xml:space="preserve"> once Oaktree achieves a 10% unlevered internal rate of return (“IRR”) on its investment</w:t>
      </w:r>
    </w:p>
    <w:p w:rsidR="00A77B3E">
      <w:pPr>
        <w:keepNext w:val="0"/>
        <w:keepLines w:val="0"/>
        <w:pageBreakBefore w:val="0"/>
        <w:widowControl/>
        <w:numPr>
          <w:ilvl w:val="1"/>
          <w:numId w:val="8"/>
        </w:numPr>
        <w:spacing w:before="0" w:after="0" w:line="288" w:lineRule="auto"/>
        <w:ind w:left="1440" w:right="0" w:hanging="360"/>
        <w:jc w:val="both"/>
        <w:outlineLvl w:val="9"/>
        <w:rPr>
          <w:rFonts w:ascii="Arial" w:eastAsia="Arial" w:hAnsi="Arial" w:cs="Arial"/>
          <w:sz w:val="20"/>
        </w:rPr>
      </w:pPr>
      <w:r>
        <w:rPr>
          <w:rFonts w:ascii="Arial" w:eastAsia="Arial" w:hAnsi="Arial" w:cs="Arial"/>
          <w:sz w:val="20"/>
        </w:rPr>
        <w:t>Diversified’s share of the NTM Adjusted EBITDA</w:t>
      </w:r>
      <w:r>
        <w:rPr>
          <w:rFonts w:ascii="Arial" w:eastAsia="Arial" w:hAnsi="Arial" w:cs="Arial"/>
          <w:sz w:val="20"/>
          <w:vertAlign w:val="superscript"/>
        </w:rPr>
        <w:t xml:space="preserve">(a) </w:t>
      </w:r>
      <w:r>
        <w:rPr>
          <w:rFonts w:ascii="Arial" w:eastAsia="Arial" w:hAnsi="Arial" w:cs="Arial"/>
          <w:sz w:val="20"/>
        </w:rPr>
        <w:t xml:space="preserve">is </w:t>
      </w:r>
      <w:r>
        <w:rPr>
          <w:rFonts w:ascii="Arial" w:eastAsia="Arial" w:hAnsi="Arial" w:cs="Arial"/>
          <w:sz w:val="20"/>
        </w:rPr>
        <w:t>17%</w:t>
      </w:r>
      <w:r>
        <w:rPr>
          <w:rFonts w:ascii="Arial" w:eastAsia="Arial" w:hAnsi="Arial" w:cs="Arial"/>
          <w:sz w:val="20"/>
        </w:rPr>
        <w:t xml:space="preserve"> accretive to the Company’s 2020 reported Hedged Adjusted EBITDA</w:t>
      </w:r>
      <w:r>
        <w:rPr>
          <w:rFonts w:ascii="Arial" w:eastAsia="Arial" w:hAnsi="Arial" w:cs="Arial"/>
          <w:sz w:val="20"/>
          <w:vertAlign w:val="superscript"/>
        </w:rPr>
        <w:t>(b)</w:t>
      </w:r>
    </w:p>
    <w:p w:rsidR="00A77B3E">
      <w:pPr>
        <w:keepNext w:val="0"/>
        <w:keepLines w:val="0"/>
        <w:pageBreakBefore w:val="0"/>
        <w:widowControl/>
        <w:numPr>
          <w:ilvl w:val="0"/>
          <w:numId w:val="15"/>
        </w:numPr>
        <w:spacing w:before="0" w:after="0" w:line="288" w:lineRule="auto"/>
        <w:ind w:left="720" w:right="0" w:hanging="360"/>
        <w:jc w:val="both"/>
        <w:outlineLvl w:val="9"/>
        <w:rPr>
          <w:rFonts w:ascii="Arial" w:eastAsia="Arial" w:hAnsi="Arial" w:cs="Arial"/>
          <w:sz w:val="20"/>
        </w:rPr>
      </w:pPr>
      <w:r>
        <w:rPr>
          <w:rFonts w:ascii="Arial" w:eastAsia="Arial" w:hAnsi="Arial" w:cs="Arial"/>
          <w:sz w:val="20"/>
        </w:rPr>
        <w:t>Proved Developed Producing (“PDP”) reserves of ~</w:t>
      </w:r>
      <w:r>
        <w:rPr>
          <w:rFonts w:ascii="Arial" w:eastAsia="Arial" w:hAnsi="Arial" w:cs="Arial"/>
          <w:sz w:val="20"/>
        </w:rPr>
        <w:t>40 MMBoe</w:t>
      </w:r>
      <w:r>
        <w:rPr>
          <w:rFonts w:ascii="Arial" w:eastAsia="Arial" w:hAnsi="Arial" w:cs="Arial"/>
          <w:sz w:val="20"/>
        </w:rPr>
        <w:t xml:space="preserve"> (</w:t>
      </w:r>
      <w:r>
        <w:rPr>
          <w:rFonts w:ascii="Arial" w:eastAsia="Arial" w:hAnsi="Arial" w:cs="Arial"/>
          <w:sz w:val="20"/>
        </w:rPr>
        <w:t>241 Bcfe</w:t>
      </w:r>
      <w:r>
        <w:rPr>
          <w:rFonts w:ascii="Arial" w:eastAsia="Arial" w:hAnsi="Arial" w:cs="Arial"/>
          <w:sz w:val="20"/>
        </w:rPr>
        <w:t xml:space="preserve">) and PV10 of </w:t>
      </w:r>
      <w:r>
        <w:rPr>
          <w:rFonts w:ascii="Arial" w:eastAsia="Arial" w:hAnsi="Arial" w:cs="Arial"/>
          <w:sz w:val="20"/>
        </w:rPr>
        <w:t>~$201 million</w:t>
      </w:r>
      <w:r>
        <w:rPr>
          <w:rFonts w:ascii="Arial" w:eastAsia="Arial" w:hAnsi="Arial" w:cs="Arial"/>
          <w:sz w:val="20"/>
          <w:vertAlign w:val="superscript"/>
        </w:rPr>
        <w:t>(c)</w:t>
      </w:r>
    </w:p>
    <w:p w:rsidR="00A77B3E">
      <w:pPr>
        <w:keepNext w:val="0"/>
        <w:keepLines w:val="0"/>
        <w:pageBreakBefore w:val="0"/>
        <w:widowControl/>
        <w:numPr>
          <w:ilvl w:val="0"/>
          <w:numId w:val="15"/>
        </w:numPr>
        <w:spacing w:before="0" w:after="0" w:line="288" w:lineRule="auto"/>
        <w:ind w:left="720" w:right="0" w:hanging="360"/>
        <w:jc w:val="both"/>
        <w:outlineLvl w:val="9"/>
        <w:rPr>
          <w:rFonts w:ascii="Arial" w:eastAsia="Arial" w:hAnsi="Arial" w:cs="Arial"/>
          <w:sz w:val="20"/>
        </w:rPr>
      </w:pPr>
      <w:r>
        <w:rPr>
          <w:rFonts w:ascii="Arial" w:eastAsia="Arial" w:hAnsi="Arial" w:cs="Arial"/>
          <w:sz w:val="20"/>
        </w:rPr>
        <w:t>Current production of ~</w:t>
      </w:r>
      <w:r>
        <w:rPr>
          <w:rFonts w:ascii="Arial" w:eastAsia="Arial" w:hAnsi="Arial" w:cs="Arial"/>
          <w:sz w:val="20"/>
        </w:rPr>
        <w:t>14 MBoepd</w:t>
      </w:r>
      <w:r>
        <w:rPr>
          <w:rFonts w:ascii="Arial" w:eastAsia="Arial" w:hAnsi="Arial" w:cs="Arial"/>
          <w:sz w:val="20"/>
        </w:rPr>
        <w:t xml:space="preserve"> (</w:t>
      </w:r>
      <w:r>
        <w:rPr>
          <w:rFonts w:ascii="Arial" w:eastAsia="Arial" w:hAnsi="Arial" w:cs="Arial"/>
          <w:sz w:val="20"/>
        </w:rPr>
        <w:t>~82 MMcfepd</w:t>
      </w:r>
      <w:r>
        <w:rPr>
          <w:rFonts w:ascii="Arial" w:eastAsia="Arial" w:hAnsi="Arial" w:cs="Arial"/>
          <w:sz w:val="20"/>
        </w:rPr>
        <w:t xml:space="preserve">) with 92% from </w:t>
      </w:r>
      <w:r>
        <w:rPr>
          <w:rFonts w:ascii="Arial" w:eastAsia="Arial" w:hAnsi="Arial" w:cs="Arial"/>
          <w:sz w:val="20"/>
        </w:rPr>
        <w:t>~390</w:t>
      </w:r>
      <w:r>
        <w:rPr>
          <w:rFonts w:ascii="Arial" w:eastAsia="Arial" w:hAnsi="Arial" w:cs="Arial"/>
          <w:sz w:val="20"/>
        </w:rPr>
        <w:t xml:space="preserve"> net operated wells </w:t>
      </w:r>
    </w:p>
    <w:p w:rsidR="00A77B3E">
      <w:pPr>
        <w:keepNext w:val="0"/>
        <w:keepLines w:val="0"/>
        <w:pageBreakBefore w:val="0"/>
        <w:widowControl/>
        <w:numPr>
          <w:ilvl w:val="0"/>
          <w:numId w:val="15"/>
        </w:numPr>
        <w:spacing w:before="0" w:after="0" w:line="288" w:lineRule="auto"/>
        <w:ind w:left="720" w:right="0" w:hanging="360"/>
        <w:jc w:val="both"/>
        <w:outlineLvl w:val="9"/>
        <w:rPr>
          <w:rFonts w:ascii="Arial" w:eastAsia="Arial" w:hAnsi="Arial" w:cs="Arial"/>
          <w:sz w:val="20"/>
        </w:rPr>
      </w:pPr>
      <w:r>
        <w:rPr>
          <w:rFonts w:ascii="Arial" w:eastAsia="Arial" w:hAnsi="Arial" w:cs="Arial"/>
          <w:sz w:val="20"/>
        </w:rPr>
        <w:t>Favourable Gulf Coast pricing underpins &gt;</w:t>
      </w:r>
      <w:r>
        <w:rPr>
          <w:rFonts w:ascii="Arial" w:eastAsia="Arial" w:hAnsi="Arial" w:cs="Arial"/>
          <w:sz w:val="20"/>
        </w:rPr>
        <w:t>65%</w:t>
      </w:r>
      <w:r>
        <w:rPr>
          <w:rFonts w:ascii="Arial" w:eastAsia="Arial" w:hAnsi="Arial" w:cs="Arial"/>
          <w:sz w:val="20"/>
        </w:rPr>
        <w:t xml:space="preserve"> cash margins</w:t>
      </w:r>
    </w:p>
    <w:p w:rsidR="00A77B3E">
      <w:pPr>
        <w:keepNext w:val="0"/>
        <w:keepLines w:val="0"/>
        <w:pageBreakBefore w:val="0"/>
        <w:widowControl/>
        <w:numPr>
          <w:ilvl w:val="0"/>
          <w:numId w:val="15"/>
        </w:numPr>
        <w:spacing w:before="0" w:after="0" w:line="288" w:lineRule="auto"/>
        <w:ind w:left="720" w:right="0" w:hanging="360"/>
        <w:jc w:val="both"/>
        <w:outlineLvl w:val="9"/>
        <w:rPr>
          <w:rFonts w:ascii="Arial" w:eastAsia="Arial" w:hAnsi="Arial" w:cs="Arial"/>
          <w:sz w:val="20"/>
        </w:rPr>
      </w:pPr>
      <w:r>
        <w:rPr>
          <w:rFonts w:ascii="Arial" w:eastAsia="Arial" w:hAnsi="Arial" w:cs="Arial"/>
          <w:sz w:val="20"/>
        </w:rPr>
        <w:t>Post-transactions with Oaktree participation leverage ratio (2020YE pro forma) of ~</w:t>
      </w:r>
      <w:r>
        <w:rPr>
          <w:rFonts w:ascii="Arial" w:eastAsia="Arial" w:hAnsi="Arial" w:cs="Arial"/>
          <w:sz w:val="20"/>
        </w:rPr>
        <w:t>1.9x</w:t>
      </w: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4"/>
        </w:rPr>
      </w:pP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sz w:val="24"/>
        </w:rPr>
      </w:pPr>
      <w:r>
        <w:rPr>
          <w:rFonts w:ascii="Arial" w:eastAsia="Arial" w:hAnsi="Arial" w:cs="Arial"/>
          <w:b/>
          <w:sz w:val="20"/>
        </w:rPr>
        <w:t>Oaktree Participation in Indigo - Highlights</w:t>
      </w:r>
    </w:p>
    <w:p w:rsidR="00A77B3E">
      <w:pPr>
        <w:keepNext w:val="0"/>
        <w:keepLines w:val="0"/>
        <w:pageBreakBefore w:val="0"/>
        <w:widowControl/>
        <w:numPr>
          <w:ilvl w:val="0"/>
          <w:numId w:val="22"/>
        </w:numPr>
        <w:spacing w:before="0" w:after="0" w:line="288" w:lineRule="auto"/>
        <w:ind w:left="720" w:right="0" w:hanging="360"/>
        <w:jc w:val="both"/>
        <w:outlineLvl w:val="9"/>
        <w:rPr>
          <w:rFonts w:ascii="Arial" w:eastAsia="Arial" w:hAnsi="Arial" w:cs="Arial"/>
          <w:b/>
          <w:sz w:val="18"/>
        </w:rPr>
      </w:pPr>
      <w:r>
        <w:rPr>
          <w:rFonts w:ascii="Arial" w:eastAsia="Arial" w:hAnsi="Arial" w:cs="Arial"/>
          <w:sz w:val="20"/>
        </w:rPr>
        <w:t xml:space="preserve">Oaktree will acquire </w:t>
      </w:r>
      <w:r>
        <w:rPr>
          <w:rFonts w:ascii="Arial" w:eastAsia="Arial" w:hAnsi="Arial" w:cs="Arial"/>
          <w:sz w:val="20"/>
        </w:rPr>
        <w:t>48.75%</w:t>
      </w:r>
      <w:r>
        <w:rPr>
          <w:rFonts w:ascii="Arial" w:eastAsia="Arial" w:hAnsi="Arial" w:cs="Arial"/>
          <w:sz w:val="20"/>
        </w:rPr>
        <w:t xml:space="preserve"> of Diversified’s working interest in the Indigo assets for </w:t>
      </w:r>
      <w:r>
        <w:rPr>
          <w:rFonts w:ascii="Arial" w:eastAsia="Arial" w:hAnsi="Arial" w:cs="Arial"/>
          <w:sz w:val="20"/>
        </w:rPr>
        <w:t>$58</w:t>
      </w:r>
      <w:r>
        <w:rPr>
          <w:rFonts w:ascii="Arial" w:eastAsia="Arial" w:hAnsi="Arial" w:cs="Arial"/>
          <w:sz w:val="20"/>
        </w:rPr>
        <w:t xml:space="preserve"> million, representing </w:t>
      </w:r>
      <w:r>
        <w:rPr>
          <w:rFonts w:ascii="Arial" w:eastAsia="Arial" w:hAnsi="Arial" w:cs="Arial"/>
          <w:sz w:val="20"/>
        </w:rPr>
        <w:t>50%</w:t>
      </w:r>
      <w:r>
        <w:rPr>
          <w:rFonts w:ascii="Arial" w:eastAsia="Arial" w:hAnsi="Arial" w:cs="Arial"/>
          <w:sz w:val="20"/>
        </w:rPr>
        <w:t xml:space="preserve"> of the previously announced net purchase price</w:t>
      </w:r>
    </w:p>
    <w:p w:rsidR="00A77B3E">
      <w:pPr>
        <w:keepNext w:val="0"/>
        <w:keepLines w:val="0"/>
        <w:pageBreakBefore w:val="0"/>
        <w:widowControl/>
        <w:numPr>
          <w:ilvl w:val="0"/>
          <w:numId w:val="22"/>
        </w:numPr>
        <w:spacing w:before="0" w:after="0" w:line="288" w:lineRule="auto"/>
        <w:ind w:left="720" w:right="0" w:hanging="360"/>
        <w:jc w:val="both"/>
        <w:outlineLvl w:val="9"/>
        <w:rPr>
          <w:rFonts w:ascii="Arial" w:eastAsia="Arial" w:hAnsi="Arial" w:cs="Arial"/>
          <w:sz w:val="20"/>
        </w:rPr>
      </w:pPr>
      <w:r>
        <w:rPr>
          <w:rFonts w:ascii="Arial" w:eastAsia="Arial" w:hAnsi="Arial" w:cs="Arial"/>
          <w:sz w:val="20"/>
        </w:rPr>
        <w:t xml:space="preserve">Consistent with the terms of the Acquisition, Diversified’s working interest will increase to </w:t>
      </w:r>
      <w:r>
        <w:rPr>
          <w:rFonts w:ascii="Arial" w:eastAsia="Arial" w:hAnsi="Arial" w:cs="Arial"/>
          <w:sz w:val="20"/>
        </w:rPr>
        <w:t>60%</w:t>
      </w:r>
      <w:r>
        <w:rPr>
          <w:rFonts w:ascii="Arial" w:eastAsia="Arial" w:hAnsi="Arial" w:cs="Arial"/>
          <w:sz w:val="20"/>
        </w:rPr>
        <w:t xml:space="preserve"> once Oaktree achieves a </w:t>
      </w:r>
      <w:r>
        <w:rPr>
          <w:rFonts w:ascii="Arial" w:eastAsia="Arial" w:hAnsi="Arial" w:cs="Arial"/>
          <w:sz w:val="20"/>
        </w:rPr>
        <w:t>10%</w:t>
      </w:r>
      <w:r>
        <w:rPr>
          <w:rFonts w:ascii="Arial" w:eastAsia="Arial" w:hAnsi="Arial" w:cs="Arial"/>
          <w:sz w:val="20"/>
        </w:rPr>
        <w:t xml:space="preserve"> unlevered IRR</w:t>
      </w:r>
    </w:p>
    <w:p w:rsidR="00A77B3E">
      <w:pPr>
        <w:keepNext w:val="0"/>
        <w:keepLines w:val="0"/>
        <w:pageBreakBefore w:val="0"/>
        <w:widowControl/>
        <w:numPr>
          <w:ilvl w:val="0"/>
          <w:numId w:val="22"/>
        </w:numPr>
        <w:spacing w:before="0" w:after="0" w:line="288" w:lineRule="auto"/>
        <w:ind w:left="720" w:right="0" w:hanging="360"/>
        <w:jc w:val="both"/>
        <w:outlineLvl w:val="9"/>
        <w:rPr>
          <w:rFonts w:ascii="Arial" w:eastAsia="Arial" w:hAnsi="Arial" w:cs="Arial"/>
          <w:sz w:val="20"/>
        </w:rPr>
      </w:pPr>
      <w:r>
        <w:rPr>
          <w:rFonts w:ascii="Arial" w:eastAsia="Arial" w:hAnsi="Arial" w:cs="Arial"/>
          <w:sz w:val="20"/>
        </w:rPr>
        <w:t>Adjusted for Oaktree’s participation, Diversified retains ~</w:t>
      </w:r>
      <w:r>
        <w:rPr>
          <w:rFonts w:ascii="Arial" w:eastAsia="Arial" w:hAnsi="Arial" w:cs="Arial"/>
          <w:sz w:val="20"/>
        </w:rPr>
        <w:t>8</w:t>
      </w:r>
      <w:r>
        <w:rPr>
          <w:rFonts w:ascii="Arial" w:eastAsia="Arial" w:hAnsi="Arial" w:cs="Arial"/>
          <w:sz w:val="20"/>
        </w:rPr>
        <w:t xml:space="preserve"> Mboepd (</w:t>
      </w:r>
      <w:r>
        <w:rPr>
          <w:rFonts w:ascii="Arial" w:eastAsia="Arial" w:hAnsi="Arial" w:cs="Arial"/>
          <w:sz w:val="20"/>
        </w:rPr>
        <w:t>49</w:t>
      </w:r>
      <w:r>
        <w:rPr>
          <w:rFonts w:ascii="Arial" w:eastAsia="Arial" w:hAnsi="Arial" w:cs="Arial"/>
          <w:sz w:val="20"/>
        </w:rPr>
        <w:t xml:space="preserve"> MMcfepd) current production and ~</w:t>
      </w:r>
      <w:r>
        <w:rPr>
          <w:rFonts w:ascii="Arial" w:eastAsia="Arial" w:hAnsi="Arial" w:cs="Arial"/>
          <w:sz w:val="20"/>
        </w:rPr>
        <w:t>$21</w:t>
      </w:r>
      <w:r>
        <w:rPr>
          <w:rFonts w:ascii="Arial" w:eastAsia="Arial" w:hAnsi="Arial" w:cs="Arial"/>
          <w:sz w:val="20"/>
        </w:rPr>
        <w:t xml:space="preserve"> million NTM EBITDA</w:t>
      </w: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4"/>
        </w:rPr>
      </w:pP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4"/>
        </w:rPr>
      </w:pPr>
    </w:p>
    <w:p w:rsidR="00A77B3E">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24"/>
        </w:rPr>
      </w:pPr>
    </w:p>
    <w:p w:rsidR="00A77B3E">
      <w:pPr>
        <w:keepNext w:val="0"/>
        <w:keepLines w:val="0"/>
        <w:pageBreakBefore/>
        <w:widowControl/>
        <w:numPr>
          <w:ilvl w:val="0"/>
          <w:numId w:val="0"/>
        </w:numPr>
        <w:spacing w:before="0" w:after="0" w:line="288" w:lineRule="auto"/>
        <w:ind w:left="0" w:right="0" w:firstLine="0"/>
        <w:jc w:val="left"/>
        <w:outlineLvl w:val="9"/>
        <w:rPr>
          <w:rFonts w:ascii="Arial" w:eastAsia="Arial" w:hAnsi="Arial" w:cs="Arial"/>
          <w:sz w:val="24"/>
        </w:rPr>
      </w:pPr>
      <w:r>
        <w:rPr>
          <w:rFonts w:ascii="Arial" w:eastAsia="Arial" w:hAnsi="Arial" w:cs="Arial"/>
          <w:b/>
          <w:sz w:val="20"/>
        </w:rPr>
        <w:t xml:space="preserve">Building Scale within the Central Regional Focus Area Operations </w:t>
      </w: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4"/>
        </w:rPr>
      </w:pP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sz w:val="20"/>
        </w:rPr>
      </w:pPr>
      <w:r>
        <w:rPr>
          <w:rFonts w:ascii="Arial" w:eastAsia="Arial" w:hAnsi="Arial" w:cs="Arial"/>
          <w:sz w:val="20"/>
        </w:rPr>
        <w:t xml:space="preserve">The Company signed a conditional purchase and sale agreement with Tanos on </w:t>
      </w:r>
      <w:r>
        <w:rPr>
          <w:rFonts w:ascii="Arial" w:eastAsia="Arial" w:hAnsi="Arial" w:cs="Arial"/>
          <w:sz w:val="20"/>
        </w:rPr>
        <w:t>July</w:t>
      </w:r>
      <w:r>
        <w:rPr>
          <w:rFonts w:ascii="Arial" w:eastAsia="Arial" w:hAnsi="Arial" w:cs="Arial"/>
          <w:sz w:val="20"/>
        </w:rPr>
        <w:t xml:space="preserve"> 2,</w:t>
      </w:r>
      <w:r>
        <w:rPr>
          <w:rFonts w:ascii="Arial" w:eastAsia="Arial" w:hAnsi="Arial" w:cs="Arial"/>
          <w:sz w:val="20"/>
        </w:rPr>
        <w:t xml:space="preserve"> 2021 to acquire </w:t>
      </w:r>
      <w:r>
        <w:rPr>
          <w:rFonts w:ascii="Arial" w:eastAsia="Arial" w:hAnsi="Arial" w:cs="Arial"/>
          <w:sz w:val="20"/>
        </w:rPr>
        <w:t>~390</w:t>
      </w:r>
      <w:r>
        <w:rPr>
          <w:rFonts w:ascii="Arial" w:eastAsia="Arial" w:hAnsi="Arial" w:cs="Arial"/>
          <w:sz w:val="20"/>
        </w:rPr>
        <w:t xml:space="preserve"> net operated wells producing </w:t>
      </w:r>
      <w:r>
        <w:rPr>
          <w:rFonts w:ascii="Arial" w:eastAsia="Arial" w:hAnsi="Arial" w:cs="Arial"/>
          <w:sz w:val="20"/>
        </w:rPr>
        <w:t>~14 MBoepd</w:t>
      </w:r>
      <w:r>
        <w:rPr>
          <w:rFonts w:ascii="Arial" w:eastAsia="Arial" w:hAnsi="Arial" w:cs="Arial"/>
          <w:sz w:val="20"/>
        </w:rPr>
        <w:t xml:space="preserve"> (</w:t>
      </w:r>
      <w:r>
        <w:rPr>
          <w:rFonts w:ascii="Arial" w:eastAsia="Arial" w:hAnsi="Arial" w:cs="Arial"/>
          <w:sz w:val="20"/>
        </w:rPr>
        <w:t>~82 MMcfepd</w:t>
      </w:r>
      <w:r>
        <w:rPr>
          <w:rFonts w:ascii="Arial" w:eastAsia="Arial" w:hAnsi="Arial" w:cs="Arial"/>
          <w:sz w:val="20"/>
        </w:rPr>
        <w:t xml:space="preserve">; </w:t>
      </w:r>
      <w:r>
        <w:rPr>
          <w:rFonts w:ascii="Arial" w:eastAsia="Arial" w:hAnsi="Arial" w:cs="Arial"/>
          <w:sz w:val="20"/>
        </w:rPr>
        <w:t>96%</w:t>
      </w:r>
      <w:r>
        <w:rPr>
          <w:rFonts w:ascii="Arial" w:eastAsia="Arial" w:hAnsi="Arial" w:cs="Arial"/>
          <w:sz w:val="20"/>
        </w:rPr>
        <w:t xml:space="preserve"> natural gas) located within the Cotton Valley/Haynesville producing area of northwest Louisiana and east Texas. Diversified and Oaktree expect to close the transaction in mid-August 2021 following customary diligence, reviews and approvals.</w:t>
      </w: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0"/>
        </w:rPr>
      </w:pP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sz w:val="20"/>
        </w:rPr>
      </w:pPr>
      <w:r>
        <w:rPr>
          <w:rFonts w:ascii="Arial" w:eastAsia="Arial" w:hAnsi="Arial" w:cs="Arial"/>
          <w:sz w:val="20"/>
        </w:rPr>
        <w:t xml:space="preserve">With an effective date of </w:t>
      </w:r>
      <w:r>
        <w:rPr>
          <w:rFonts w:ascii="Arial" w:eastAsia="Arial" w:hAnsi="Arial" w:cs="Arial"/>
          <w:sz w:val="20"/>
        </w:rPr>
        <w:t>January 1, 2021</w:t>
      </w:r>
      <w:r>
        <w:rPr>
          <w:rFonts w:ascii="Arial" w:eastAsia="Arial" w:hAnsi="Arial" w:cs="Arial"/>
          <w:sz w:val="20"/>
        </w:rPr>
        <w:t xml:space="preserve">, the Acquisition will add </w:t>
      </w:r>
      <w:r>
        <w:rPr>
          <w:rFonts w:ascii="Arial" w:eastAsia="Arial" w:hAnsi="Arial" w:cs="Arial"/>
          <w:sz w:val="20"/>
        </w:rPr>
        <w:t>~40 MMBoe</w:t>
      </w:r>
      <w:r>
        <w:rPr>
          <w:rFonts w:ascii="Arial" w:eastAsia="Arial" w:hAnsi="Arial" w:cs="Arial"/>
          <w:sz w:val="20"/>
        </w:rPr>
        <w:t xml:space="preserve"> (</w:t>
      </w:r>
      <w:r>
        <w:rPr>
          <w:rFonts w:ascii="Arial" w:eastAsia="Arial" w:hAnsi="Arial" w:cs="Arial"/>
          <w:sz w:val="20"/>
        </w:rPr>
        <w:t>~241 Bcfe</w:t>
      </w:r>
      <w:r>
        <w:rPr>
          <w:rFonts w:ascii="Arial" w:eastAsia="Arial" w:hAnsi="Arial" w:cs="Arial"/>
          <w:sz w:val="20"/>
        </w:rPr>
        <w:t xml:space="preserve">) in PDP reserves, with a PV10 of </w:t>
      </w:r>
      <w:r>
        <w:rPr>
          <w:rFonts w:ascii="Arial" w:eastAsia="Arial" w:hAnsi="Arial" w:cs="Arial"/>
          <w:sz w:val="20"/>
        </w:rPr>
        <w:t>~$201 million</w:t>
      </w:r>
      <w:r>
        <w:rPr>
          <w:rFonts w:ascii="Arial" w:eastAsia="Arial" w:hAnsi="Arial" w:cs="Arial"/>
          <w:sz w:val="20"/>
          <w:vertAlign w:val="superscript"/>
        </w:rPr>
        <w:t>(c)</w:t>
      </w:r>
      <w:r>
        <w:rPr>
          <w:rFonts w:ascii="Arial" w:eastAsia="Arial" w:hAnsi="Arial" w:cs="Arial"/>
          <w:sz w:val="20"/>
        </w:rPr>
        <w:t>. The average production-weighted age of the acquired wells is ~</w:t>
      </w:r>
      <w:r>
        <w:rPr>
          <w:rFonts w:ascii="Arial" w:eastAsia="Arial" w:hAnsi="Arial" w:cs="Arial"/>
          <w:sz w:val="20"/>
        </w:rPr>
        <w:t>9</w:t>
      </w:r>
      <w:r>
        <w:rPr>
          <w:rFonts w:ascii="Arial" w:eastAsia="Arial" w:hAnsi="Arial" w:cs="Arial"/>
          <w:sz w:val="20"/>
        </w:rPr>
        <w:t xml:space="preserve"> years.</w:t>
      </w: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0"/>
        </w:rPr>
      </w:pP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b/>
          <w:sz w:val="20"/>
        </w:rPr>
      </w:pPr>
      <w:r>
        <w:rPr>
          <w:rFonts w:ascii="Arial" w:eastAsia="Arial" w:hAnsi="Arial" w:cs="Arial"/>
          <w:sz w:val="20"/>
        </w:rPr>
        <w:t xml:space="preserve">Consistent with Diversified’s acquisition strategy, the long life, predictable and shallowing decline of the Assets’ estimated </w:t>
      </w:r>
      <w:r>
        <w:rPr>
          <w:rFonts w:ascii="Arial" w:eastAsia="Arial" w:hAnsi="Arial" w:cs="Arial"/>
          <w:sz w:val="20"/>
        </w:rPr>
        <w:t>~$51 million</w:t>
      </w:r>
      <w:r>
        <w:rPr>
          <w:rFonts w:ascii="Arial" w:eastAsia="Arial" w:hAnsi="Arial" w:cs="Arial"/>
          <w:sz w:val="20"/>
        </w:rPr>
        <w:t xml:space="preserve"> of NTM Adjusted EBITDA</w:t>
      </w:r>
      <w:r>
        <w:rPr>
          <w:rFonts w:ascii="Arial" w:eastAsia="Arial" w:hAnsi="Arial" w:cs="Arial"/>
          <w:sz w:val="20"/>
          <w:vertAlign w:val="superscript"/>
        </w:rPr>
        <w:t>(a)</w:t>
      </w:r>
      <w:r>
        <w:rPr>
          <w:rFonts w:ascii="Arial" w:eastAsia="Arial" w:hAnsi="Arial" w:cs="Arial"/>
          <w:sz w:val="20"/>
        </w:rPr>
        <w:t xml:space="preserve"> enhances the Company’s free cash flow generation, with strong cash margins underpinned by high </w:t>
      </w:r>
      <w:r>
        <w:rPr>
          <w:rFonts w:ascii="Arial" w:eastAsia="Arial" w:hAnsi="Arial" w:cs="Arial"/>
          <w:sz w:val="20"/>
        </w:rPr>
        <w:t>realizations</w:t>
      </w:r>
      <w:r>
        <w:rPr>
          <w:rFonts w:ascii="Arial" w:eastAsia="Arial" w:hAnsi="Arial" w:cs="Arial"/>
          <w:sz w:val="20"/>
        </w:rPr>
        <w:t xml:space="preserve"> from favourable Gulf Coast natural gas pricing. </w:t>
      </w: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0"/>
        </w:rPr>
      </w:pP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sz w:val="20"/>
        </w:rPr>
      </w:pPr>
      <w:r>
        <w:rPr>
          <w:rFonts w:ascii="Arial" w:eastAsia="Arial" w:hAnsi="Arial" w:cs="Arial"/>
          <w:sz w:val="20"/>
        </w:rPr>
        <w:t xml:space="preserve">The gross Purchase Price represents an approximate </w:t>
      </w:r>
      <w:r>
        <w:rPr>
          <w:rFonts w:ascii="Arial" w:eastAsia="Arial" w:hAnsi="Arial" w:cs="Arial"/>
          <w:sz w:val="20"/>
        </w:rPr>
        <w:t>PV14</w:t>
      </w:r>
      <w:r>
        <w:rPr>
          <w:rFonts w:ascii="Arial" w:eastAsia="Arial" w:hAnsi="Arial" w:cs="Arial"/>
          <w:sz w:val="20"/>
        </w:rPr>
        <w:t xml:space="preserve"> of the acquired reserves, and estimated net Purchase Price represents just a </w:t>
      </w:r>
      <w:r>
        <w:rPr>
          <w:rFonts w:ascii="Arial" w:eastAsia="Arial" w:hAnsi="Arial" w:cs="Arial"/>
          <w:sz w:val="20"/>
        </w:rPr>
        <w:t>2.8x</w:t>
      </w:r>
      <w:r>
        <w:rPr>
          <w:rFonts w:ascii="Arial" w:eastAsia="Arial" w:hAnsi="Arial" w:cs="Arial"/>
          <w:sz w:val="20"/>
        </w:rPr>
        <w:t xml:space="preserve"> multiple of NTM Adjusted EBITDA</w:t>
      </w:r>
      <w:r>
        <w:rPr>
          <w:rFonts w:ascii="Arial" w:eastAsia="Arial" w:hAnsi="Arial" w:cs="Arial"/>
          <w:sz w:val="20"/>
          <w:vertAlign w:val="superscript"/>
        </w:rPr>
        <w:t>(a)</w:t>
      </w:r>
      <w:r>
        <w:rPr>
          <w:rFonts w:ascii="Arial" w:eastAsia="Arial" w:hAnsi="Arial" w:cs="Arial"/>
          <w:sz w:val="20"/>
        </w:rPr>
        <w:t xml:space="preserve"> before any anticipated synergies. Accordingly, the Acquisition strengthens Diversified’s dividend distribution capabilities and creates opportunities to deliver operational synergies. </w:t>
      </w: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0"/>
        </w:rPr>
      </w:pP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sz w:val="20"/>
        </w:rPr>
      </w:pPr>
      <w:r>
        <w:rPr>
          <w:rFonts w:ascii="Arial" w:eastAsia="Arial" w:hAnsi="Arial" w:cs="Arial"/>
          <w:sz w:val="20"/>
        </w:rPr>
        <w:t xml:space="preserve">This Acquisition represents the Company’s third acquisition in just over two months and demonstrates its significant momentum consolidating high quality assets within its newly defined Central RFA. The Assets are complementary to the Company’s recently acquired Cotton Valley assets from Indigo, and includes additional working interest in </w:t>
      </w:r>
      <w:r>
        <w:rPr>
          <w:rFonts w:ascii="Arial" w:eastAsia="Arial" w:hAnsi="Arial" w:cs="Arial"/>
          <w:sz w:val="20"/>
        </w:rPr>
        <w:t>42</w:t>
      </w:r>
      <w:r>
        <w:rPr>
          <w:rFonts w:ascii="Arial" w:eastAsia="Arial" w:hAnsi="Arial" w:cs="Arial"/>
          <w:sz w:val="20"/>
        </w:rPr>
        <w:t xml:space="preserve"> wells previously acquired from Indigo. </w:t>
      </w: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0"/>
        </w:rPr>
      </w:pP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sz w:val="20"/>
        </w:rPr>
      </w:pPr>
      <w:r>
        <w:rPr>
          <w:rFonts w:ascii="Arial" w:eastAsia="Arial" w:hAnsi="Arial" w:cs="Arial"/>
          <w:sz w:val="20"/>
        </w:rPr>
        <w:t>The enlarged and geographically dense asset base is better positioned to drive near-term operating and administrative synergies. Consistent with the Company’s growth strategy and to ensure an efficient and effective transition, Diversified will retain certain</w:t>
      </w:r>
      <w:r>
        <w:rPr>
          <w:rFonts w:ascii="Arial" w:eastAsia="Arial" w:hAnsi="Arial" w:cs="Arial"/>
          <w:sz w:val="20"/>
          <w:shd w:val="clear" w:color="auto" w:fill="FFFFFF"/>
        </w:rPr>
        <w:t xml:space="preserve"> Tanos f</w:t>
      </w:r>
      <w:r>
        <w:rPr>
          <w:rFonts w:ascii="Arial" w:eastAsia="Arial" w:hAnsi="Arial" w:cs="Arial"/>
          <w:sz w:val="20"/>
        </w:rPr>
        <w:t xml:space="preserve">ield personnel currently servicing the wells who will quickly begin to leverage Diversified’s Smarter Asset Management programme to both optimise and maintain asset performance and realise synergies. </w:t>
      </w: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4"/>
        </w:rPr>
      </w:pP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sz w:val="24"/>
        </w:rPr>
      </w:pPr>
      <w:r>
        <w:rPr>
          <w:rFonts w:ascii="Arial" w:eastAsia="Arial" w:hAnsi="Arial" w:cs="Arial"/>
          <w:b/>
          <w:sz w:val="20"/>
        </w:rPr>
        <w:t>Oaktree Participation</w:t>
      </w: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4"/>
        </w:rPr>
      </w:pP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sz w:val="18"/>
        </w:rPr>
      </w:pPr>
      <w:r>
        <w:rPr>
          <w:rFonts w:ascii="Arial" w:eastAsia="Arial" w:hAnsi="Arial" w:cs="Arial"/>
          <w:sz w:val="20"/>
        </w:rPr>
        <w:t xml:space="preserve">Under the terms of the joint participation agreement, Oaktree jointly evaluated the asset economics and elected to coinvest in the Acquisition. Accordingly, both Diversified and Oaktree will fund </w:t>
      </w:r>
      <w:r>
        <w:rPr>
          <w:rFonts w:ascii="Arial" w:eastAsia="Arial" w:hAnsi="Arial" w:cs="Arial"/>
          <w:sz w:val="20"/>
        </w:rPr>
        <w:t>50%</w:t>
      </w:r>
      <w:r>
        <w:rPr>
          <w:rFonts w:ascii="Arial" w:eastAsia="Arial" w:hAnsi="Arial" w:cs="Arial"/>
          <w:sz w:val="20"/>
        </w:rPr>
        <w:t xml:space="preserve"> of the net Purchase Price in exchange for working interests of </w:t>
      </w:r>
      <w:r>
        <w:rPr>
          <w:rFonts w:ascii="Arial" w:eastAsia="Arial" w:hAnsi="Arial" w:cs="Arial"/>
          <w:sz w:val="20"/>
        </w:rPr>
        <w:t>51.25%</w:t>
      </w:r>
      <w:r>
        <w:rPr>
          <w:rFonts w:ascii="Arial" w:eastAsia="Arial" w:hAnsi="Arial" w:cs="Arial"/>
          <w:sz w:val="20"/>
        </w:rPr>
        <w:t xml:space="preserve"> and </w:t>
      </w:r>
      <w:r>
        <w:rPr>
          <w:rFonts w:ascii="Arial" w:eastAsia="Arial" w:hAnsi="Arial" w:cs="Arial"/>
          <w:sz w:val="20"/>
        </w:rPr>
        <w:t>48.75%</w:t>
      </w:r>
      <w:r>
        <w:rPr>
          <w:rFonts w:ascii="Arial" w:eastAsia="Arial" w:hAnsi="Arial" w:cs="Arial"/>
          <w:sz w:val="20"/>
        </w:rPr>
        <w:t>, respectively. Diversified’s larger share reflects the up-front promote it will receive from Oaktree (</w:t>
      </w:r>
      <w:r>
        <w:rPr>
          <w:rFonts w:ascii="Arial" w:eastAsia="Arial" w:hAnsi="Arial" w:cs="Arial"/>
          <w:sz w:val="20"/>
        </w:rPr>
        <w:t>2.5%</w:t>
      </w:r>
      <w:r>
        <w:rPr>
          <w:rFonts w:ascii="Arial" w:eastAsia="Arial" w:hAnsi="Arial" w:cs="Arial"/>
          <w:sz w:val="20"/>
        </w:rPr>
        <w:t xml:space="preserve"> of Oaktree’s investment) and its working interest will further increase to </w:t>
      </w:r>
      <w:r>
        <w:rPr>
          <w:rFonts w:ascii="Arial" w:eastAsia="Arial" w:hAnsi="Arial" w:cs="Arial"/>
          <w:sz w:val="20"/>
        </w:rPr>
        <w:t>60%</w:t>
      </w:r>
      <w:r>
        <w:rPr>
          <w:rFonts w:ascii="Arial" w:eastAsia="Arial" w:hAnsi="Arial" w:cs="Arial"/>
          <w:sz w:val="20"/>
        </w:rPr>
        <w:t xml:space="preserve"> once Oaktree achieves a </w:t>
      </w:r>
      <w:r>
        <w:rPr>
          <w:rFonts w:ascii="Arial" w:eastAsia="Arial" w:hAnsi="Arial" w:cs="Arial"/>
          <w:sz w:val="20"/>
        </w:rPr>
        <w:t>10%</w:t>
      </w:r>
      <w:r>
        <w:rPr>
          <w:rFonts w:ascii="Arial" w:eastAsia="Arial" w:hAnsi="Arial" w:cs="Arial"/>
          <w:sz w:val="20"/>
        </w:rPr>
        <w:t xml:space="preserve"> unlevered IRR based on its investment in the Assets.</w:t>
      </w: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4"/>
        </w:rPr>
      </w:pP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sz w:val="20"/>
        </w:rPr>
      </w:pPr>
      <w:r>
        <w:rPr>
          <w:rFonts w:ascii="Arial" w:eastAsia="Arial" w:hAnsi="Arial" w:cs="Arial"/>
          <w:sz w:val="20"/>
        </w:rPr>
        <w:t xml:space="preserve">Given the contiguous nature of the Tanos Assets with Diversified’s recently acquired assets from Indigo, Oaktree will also participate in the Indigo transaction to align both parties as working interest partners in assets located in the Cotton Valley/Haynesville region. Under the same participation terms detailed above, Oaktree will acquire from Diversified a </w:t>
      </w:r>
      <w:r>
        <w:rPr>
          <w:rFonts w:ascii="Arial" w:eastAsia="Arial" w:hAnsi="Arial" w:cs="Arial"/>
          <w:sz w:val="20"/>
        </w:rPr>
        <w:t>48.75%</w:t>
      </w:r>
      <w:r>
        <w:rPr>
          <w:rFonts w:ascii="Arial" w:eastAsia="Arial" w:hAnsi="Arial" w:cs="Arial"/>
          <w:sz w:val="20"/>
        </w:rPr>
        <w:t xml:space="preserve"> working interest in the Cotton Valley upstream assets and related infrastructure for </w:t>
      </w:r>
      <w:r>
        <w:rPr>
          <w:rFonts w:ascii="Arial" w:eastAsia="Arial" w:hAnsi="Arial" w:cs="Arial"/>
          <w:sz w:val="20"/>
        </w:rPr>
        <w:t>$58</w:t>
      </w:r>
      <w:r>
        <w:rPr>
          <w:rFonts w:ascii="Arial" w:eastAsia="Arial" w:hAnsi="Arial" w:cs="Arial"/>
          <w:sz w:val="20"/>
        </w:rPr>
        <w:t xml:space="preserve"> million (or </w:t>
      </w:r>
      <w:r>
        <w:rPr>
          <w:rFonts w:ascii="Arial" w:eastAsia="Arial" w:hAnsi="Arial" w:cs="Arial"/>
          <w:sz w:val="20"/>
        </w:rPr>
        <w:t>50%</w:t>
      </w:r>
      <w:r>
        <w:rPr>
          <w:rFonts w:ascii="Arial" w:eastAsia="Arial" w:hAnsi="Arial" w:cs="Arial"/>
          <w:sz w:val="20"/>
        </w:rPr>
        <w:t xml:space="preserve"> of the Company’s net purchase price for the Indigo assets). Diversified will use the proceeds to reduce outstanding balances on the Company’s Revolving Credit Facility, with a post-transactions leverage ratio (2020YE pro forma) of approximately </w:t>
      </w:r>
      <w:r>
        <w:rPr>
          <w:rFonts w:ascii="Arial" w:eastAsia="Arial" w:hAnsi="Arial" w:cs="Arial"/>
          <w:sz w:val="20"/>
        </w:rPr>
        <w:t>1.9x</w:t>
      </w:r>
      <w:r>
        <w:rPr>
          <w:rFonts w:ascii="Arial" w:eastAsia="Arial" w:hAnsi="Arial" w:cs="Arial"/>
          <w:sz w:val="20"/>
        </w:rPr>
        <w:t xml:space="preserve">. Following Oaktree’s participation, the Company’s working interest in the previously announced </w:t>
      </w:r>
      <w:r>
        <w:rPr>
          <w:rFonts w:ascii="Arial" w:eastAsia="Arial" w:hAnsi="Arial" w:cs="Arial"/>
          <w:sz w:val="20"/>
        </w:rPr>
        <w:t>annualized</w:t>
      </w:r>
      <w:r>
        <w:rPr>
          <w:rFonts w:ascii="Arial" w:eastAsia="Arial" w:hAnsi="Arial" w:cs="Arial"/>
          <w:sz w:val="20"/>
        </w:rPr>
        <w:t xml:space="preserve"> Adjusted EBITDA of </w:t>
      </w:r>
      <w:r>
        <w:rPr>
          <w:rFonts w:ascii="Arial" w:eastAsia="Arial" w:hAnsi="Arial" w:cs="Arial"/>
          <w:sz w:val="20"/>
        </w:rPr>
        <w:t>$40</w:t>
      </w:r>
      <w:r>
        <w:rPr>
          <w:rFonts w:ascii="Arial" w:eastAsia="Arial" w:hAnsi="Arial" w:cs="Arial"/>
          <w:sz w:val="20"/>
        </w:rPr>
        <w:t xml:space="preserve"> million and current production of ~</w:t>
      </w:r>
      <w:r>
        <w:rPr>
          <w:rFonts w:ascii="Arial" w:eastAsia="Arial" w:hAnsi="Arial" w:cs="Arial"/>
          <w:sz w:val="20"/>
        </w:rPr>
        <w:t>16</w:t>
      </w:r>
      <w:r>
        <w:rPr>
          <w:rFonts w:ascii="Arial" w:eastAsia="Arial" w:hAnsi="Arial" w:cs="Arial"/>
          <w:sz w:val="20"/>
        </w:rPr>
        <w:t xml:space="preserve"> MBoepd (~</w:t>
      </w:r>
      <w:r>
        <w:rPr>
          <w:rFonts w:ascii="Arial" w:eastAsia="Arial" w:hAnsi="Arial" w:cs="Arial"/>
          <w:sz w:val="20"/>
        </w:rPr>
        <w:t>95</w:t>
      </w:r>
      <w:r>
        <w:rPr>
          <w:rFonts w:ascii="Arial" w:eastAsia="Arial" w:hAnsi="Arial" w:cs="Arial"/>
          <w:sz w:val="20"/>
        </w:rPr>
        <w:t xml:space="preserve"> MMcfepd) will adjust proportionately to </w:t>
      </w:r>
      <w:r>
        <w:rPr>
          <w:rFonts w:ascii="Arial" w:eastAsia="Arial" w:hAnsi="Arial" w:cs="Arial"/>
          <w:sz w:val="20"/>
        </w:rPr>
        <w:t>~$21</w:t>
      </w:r>
      <w:r>
        <w:rPr>
          <w:rFonts w:ascii="Arial" w:eastAsia="Arial" w:hAnsi="Arial" w:cs="Arial"/>
          <w:sz w:val="20"/>
        </w:rPr>
        <w:t xml:space="preserve"> million and ~</w:t>
      </w:r>
      <w:r>
        <w:rPr>
          <w:rFonts w:ascii="Arial" w:eastAsia="Arial" w:hAnsi="Arial" w:cs="Arial"/>
          <w:sz w:val="20"/>
        </w:rPr>
        <w:t>8</w:t>
      </w:r>
      <w:r>
        <w:rPr>
          <w:rFonts w:ascii="Arial" w:eastAsia="Arial" w:hAnsi="Arial" w:cs="Arial"/>
          <w:sz w:val="20"/>
        </w:rPr>
        <w:t xml:space="preserve"> MBoepd (~</w:t>
      </w:r>
      <w:r>
        <w:rPr>
          <w:rFonts w:ascii="Arial" w:eastAsia="Arial" w:hAnsi="Arial" w:cs="Arial"/>
          <w:sz w:val="20"/>
        </w:rPr>
        <w:t>49</w:t>
      </w:r>
      <w:r>
        <w:rPr>
          <w:rFonts w:ascii="Arial" w:eastAsia="Arial" w:hAnsi="Arial" w:cs="Arial"/>
          <w:sz w:val="20"/>
        </w:rPr>
        <w:t xml:space="preserve"> MMcfepd), respectively. As the result of the transaction, Diversified will retain an interest in ~</w:t>
      </w:r>
      <w:r>
        <w:rPr>
          <w:rFonts w:ascii="Arial" w:eastAsia="Arial" w:hAnsi="Arial" w:cs="Arial"/>
          <w:sz w:val="20"/>
        </w:rPr>
        <w:t>400</w:t>
      </w:r>
      <w:r>
        <w:rPr>
          <w:rFonts w:ascii="Arial" w:eastAsia="Arial" w:hAnsi="Arial" w:cs="Arial"/>
          <w:sz w:val="20"/>
        </w:rPr>
        <w:t xml:space="preserve"> net operated wells and ~</w:t>
      </w:r>
      <w:r>
        <w:rPr>
          <w:rFonts w:ascii="Arial" w:eastAsia="Arial" w:hAnsi="Arial" w:cs="Arial"/>
          <w:sz w:val="20"/>
        </w:rPr>
        <w:t>26</w:t>
      </w:r>
      <w:r>
        <w:rPr>
          <w:rFonts w:ascii="Arial" w:eastAsia="Arial" w:hAnsi="Arial" w:cs="Arial"/>
          <w:sz w:val="20"/>
        </w:rPr>
        <w:t xml:space="preserve"> MMBoe (~</w:t>
      </w:r>
      <w:r>
        <w:rPr>
          <w:rFonts w:ascii="Arial" w:eastAsia="Arial" w:hAnsi="Arial" w:cs="Arial"/>
          <w:sz w:val="20"/>
        </w:rPr>
        <w:t>156</w:t>
      </w:r>
      <w:r>
        <w:rPr>
          <w:rFonts w:ascii="Arial" w:eastAsia="Arial" w:hAnsi="Arial" w:cs="Arial"/>
          <w:sz w:val="20"/>
        </w:rPr>
        <w:t xml:space="preserve"> Bcfe) of PDP reserves with a PV10 value of ~</w:t>
      </w:r>
      <w:r>
        <w:rPr>
          <w:rFonts w:ascii="Arial" w:eastAsia="Arial" w:hAnsi="Arial" w:cs="Arial"/>
          <w:sz w:val="20"/>
        </w:rPr>
        <w:t>$90</w:t>
      </w:r>
      <w:r>
        <w:rPr>
          <w:rFonts w:ascii="Arial" w:eastAsia="Arial" w:hAnsi="Arial" w:cs="Arial"/>
          <w:sz w:val="20"/>
        </w:rPr>
        <w:t xml:space="preserve"> million. Consistent with the terms of the Acquisition, Diversified’s interest will further increase to </w:t>
      </w:r>
      <w:r>
        <w:rPr>
          <w:rFonts w:ascii="Arial" w:eastAsia="Arial" w:hAnsi="Arial" w:cs="Arial"/>
          <w:sz w:val="20"/>
        </w:rPr>
        <w:t>60%</w:t>
      </w:r>
      <w:r>
        <w:rPr>
          <w:rFonts w:ascii="Arial" w:eastAsia="Arial" w:hAnsi="Arial" w:cs="Arial"/>
          <w:sz w:val="20"/>
        </w:rPr>
        <w:t xml:space="preserve"> when Oaktree achieves </w:t>
      </w:r>
      <w:r>
        <w:rPr>
          <w:rFonts w:ascii="Arial" w:eastAsia="Arial" w:hAnsi="Arial" w:cs="Arial"/>
          <w:sz w:val="20"/>
        </w:rPr>
        <w:t>10%</w:t>
      </w:r>
      <w:r>
        <w:rPr>
          <w:rFonts w:ascii="Arial" w:eastAsia="Arial" w:hAnsi="Arial" w:cs="Arial"/>
          <w:sz w:val="20"/>
        </w:rPr>
        <w:t xml:space="preserve"> unlevered internal rate of return (“IRR”) on its investment.</w:t>
      </w: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4"/>
        </w:rPr>
      </w:pP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sz w:val="24"/>
        </w:rPr>
      </w:pPr>
      <w:r>
        <w:rPr>
          <w:rFonts w:ascii="Arial" w:eastAsia="Arial" w:hAnsi="Arial" w:cs="Arial"/>
          <w:sz w:val="20"/>
        </w:rPr>
        <w:t>Net of Oaktree’s participation in both Tanos and Indigo, and assuming the successful completion of the Acquisition and the previously announced acquisition of Barnett assets from Blackbeard Operating LLC, the aggregate contribution of the Company’s Central RFA assets represents a greater than 30% increase to Diversified’s 2020 reported production and Hedged Adjusted EBITDA.</w:t>
      </w: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4"/>
        </w:rPr>
      </w:pP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sz w:val="24"/>
        </w:rPr>
      </w:pPr>
      <w:r>
        <w:rPr>
          <w:rFonts w:ascii="Arial" w:eastAsia="Arial" w:hAnsi="Arial" w:cs="Arial"/>
          <w:sz w:val="20"/>
        </w:rPr>
        <w:t xml:space="preserve">Upon closing the Acquisition, expected in mid-August 2021, the Company will fund its portion of the net cash consideration entirely with cash on hand and existing credit capacity. Subsequent to the closing, the Company will pursue increasing its Revolving Credit Facility with the additional collateral obtained from the acquisitions. </w:t>
      </w: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4"/>
        </w:rPr>
      </w:pP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sz w:val="24"/>
        </w:rPr>
      </w:pPr>
      <w:r>
        <w:rPr>
          <w:rFonts w:ascii="Arial" w:eastAsia="Arial" w:hAnsi="Arial" w:cs="Arial"/>
          <w:sz w:val="20"/>
        </w:rPr>
        <w:t>Commenting on the Acquisition, CEO Rusty Hutson, Jr. said:</w:t>
      </w: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sz w:val="24"/>
        </w:rPr>
      </w:pPr>
      <w:r>
        <w:rPr>
          <w:rFonts w:ascii="Arial" w:eastAsia="Arial" w:hAnsi="Arial" w:cs="Arial"/>
          <w:i/>
          <w:sz w:val="20"/>
        </w:rPr>
        <w:t>“When we announced our strategic entry into the Central RFA, we expected to quickly build scale as a capable buyer with a proven track record in a region with ample opportunity. Just over two months later, we are excited to deliver results and build momentum with the addition of geographically proximate assets that represent the next step in achieving that goal and replicating our historical successes in Appalachia. Once complete, our Central RFA acquisitions will contribute over 30% of our production and Adjusted EBITDA. I would like to welcome the Tanos operations personnel who service the assets into the Diversified family, and I look forward to working with them to build value for our stakeholders.</w:t>
      </w: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4"/>
        </w:rPr>
      </w:pP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sz w:val="24"/>
        </w:rPr>
      </w:pPr>
      <w:r>
        <w:rPr>
          <w:rFonts w:ascii="Arial" w:eastAsia="Arial" w:hAnsi="Arial" w:cs="Arial"/>
          <w:i/>
          <w:sz w:val="20"/>
        </w:rPr>
        <w:t>“We are excited to partner with Oaktree in the Cotton Valley/Haynesville area, which I believe will be the first of many opportunities to partner in the region. Oaktree’s participation not only demonstrates the attractive nature of these acquisitions, but also affords Diversified additional liquidity and line of sight to identify and pursue opportunities while continuing to maintain a strong balance sheet. Together, we will responsibly grow our Central RFA footprint, build scale and drive operational synergies.”</w:t>
      </w: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4"/>
        </w:rPr>
      </w:pP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sz w:val="24"/>
        </w:rPr>
      </w:pPr>
      <w:r>
        <w:rPr>
          <w:rFonts w:ascii="Arial" w:eastAsia="Arial" w:hAnsi="Arial" w:cs="Arial"/>
          <w:sz w:val="20"/>
        </w:rPr>
        <w:t>The Company will host a conference call later today to discuss the Acquisition, with call details as follows:</w:t>
      </w: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4"/>
        </w:rPr>
      </w:pPr>
    </w:p>
    <w:p w:rsidR="00A77B3E">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20"/>
        </w:rPr>
      </w:pPr>
      <w:r>
        <w:rPr>
          <w:rFonts w:ascii="Arial" w:eastAsia="Arial" w:hAnsi="Arial" w:cs="Arial"/>
          <w:sz w:val="20"/>
        </w:rPr>
        <w:t>Da</w:t>
      </w:r>
      <w:r>
        <w:rPr>
          <w:rFonts w:ascii="Arial" w:eastAsia="Arial" w:hAnsi="Arial" w:cs="Arial"/>
          <w:sz w:val="20"/>
        </w:rPr>
        <w:t xml:space="preserve">te:                            </w:t>
      </w:r>
      <w:r>
        <w:rPr>
          <w:rFonts w:ascii="Arial" w:eastAsia="Arial" w:hAnsi="Arial" w:cs="Arial"/>
          <w:sz w:val="20"/>
        </w:rPr>
        <w:t xml:space="preserve"> </w:t>
      </w:r>
      <w:r>
        <w:rPr>
          <w:rFonts w:ascii="Arial" w:eastAsia="Arial" w:hAnsi="Arial" w:cs="Arial"/>
          <w:sz w:val="20"/>
        </w:rPr>
        <w:t>July</w:t>
      </w:r>
      <w:r>
        <w:rPr>
          <w:rFonts w:ascii="Arial" w:eastAsia="Arial" w:hAnsi="Arial" w:cs="Arial"/>
          <w:sz w:val="20"/>
        </w:rPr>
        <w:t xml:space="preserve"> 5,</w:t>
      </w:r>
      <w:r>
        <w:rPr>
          <w:rFonts w:ascii="Arial" w:eastAsia="Arial" w:hAnsi="Arial" w:cs="Arial"/>
          <w:sz w:val="20"/>
        </w:rPr>
        <w:t xml:space="preserve"> 2021</w:t>
      </w:r>
    </w:p>
    <w:p w:rsidR="00A77B3E">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20"/>
        </w:rPr>
      </w:pPr>
      <w:r>
        <w:rPr>
          <w:rFonts w:ascii="Arial" w:eastAsia="Arial" w:hAnsi="Arial" w:cs="Arial"/>
          <w:sz w:val="20"/>
        </w:rPr>
        <w:t>Time:                            1:00 pm BST / 07:00 am CDT</w:t>
      </w:r>
    </w:p>
    <w:p w:rsidR="00A77B3E">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20"/>
        </w:rPr>
      </w:pPr>
      <w:r>
        <w:rPr>
          <w:rFonts w:ascii="Arial" w:eastAsia="Arial" w:hAnsi="Arial" w:cs="Arial"/>
          <w:sz w:val="20"/>
        </w:rPr>
        <w:t>US (toll-free)                 +1 877-407-5976</w:t>
      </w:r>
    </w:p>
    <w:p w:rsidR="00A77B3E">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20"/>
        </w:rPr>
      </w:pPr>
      <w:r>
        <w:rPr>
          <w:rFonts w:ascii="Arial" w:eastAsia="Arial" w:hAnsi="Arial" w:cs="Arial"/>
          <w:sz w:val="20"/>
        </w:rPr>
        <w:t>UK (toll-free)                 +44 (0)800 756 3429</w:t>
      </w:r>
    </w:p>
    <w:p w:rsidR="00A77B3E">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20"/>
        </w:rPr>
      </w:pPr>
      <w:r>
        <w:rPr>
          <w:rFonts w:ascii="Arial" w:eastAsia="Arial" w:hAnsi="Arial" w:cs="Arial"/>
          <w:sz w:val="20"/>
        </w:rPr>
        <w:t>Web Audio                    www.div.energy/news-events/events</w:t>
      </w: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4"/>
        </w:rPr>
      </w:pP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sz w:val="20"/>
        </w:rPr>
      </w:pPr>
      <w:r>
        <w:rPr>
          <w:rFonts w:ascii="Arial" w:eastAsia="Arial" w:hAnsi="Arial" w:cs="Arial"/>
          <w:sz w:val="20"/>
        </w:rPr>
        <w:t>Truist Securities, Inc. is serving as exclusive financial advisor to Diversified in connection with the Tanos Acquisition.</w:t>
      </w: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4"/>
        </w:rPr>
      </w:pP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sz w:val="24"/>
        </w:rPr>
      </w:pPr>
      <w:r>
        <w:rPr>
          <w:rFonts w:ascii="Arial" w:eastAsia="Arial" w:hAnsi="Arial" w:cs="Arial"/>
          <w:sz w:val="20"/>
        </w:rPr>
        <w:t>The Acquisition and the separate divestment by the Company of Oaktree’s proportionate share of the Indigo assets each constitute a Class 2 transaction for the purposes of the Listing Rules, and this announcement is made in accordance with the Company's disclosure obligations pursuant to Chapter 10 of the Listing Rules.</w:t>
      </w: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4"/>
        </w:rPr>
      </w:pPr>
    </w:p>
    <w:p w:rsidR="00A77B3E">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24"/>
        </w:rPr>
      </w:pPr>
      <w:r>
        <w:rPr>
          <w:rFonts w:ascii="Arial" w:eastAsia="Arial" w:hAnsi="Arial" w:cs="Arial"/>
          <w:sz w:val="18"/>
        </w:rPr>
        <w:t>Footnotes (for Company-specific items, refer also to the Glossary of Terms and/or Alternative Performance Measures found in the Company’s 2020 Annual Report):</w:t>
      </w:r>
    </w:p>
    <w:tbl>
      <w:tblPr>
        <w:tblW w:w="9547"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0"/>
        <w:gridCol w:w="8880"/>
      </w:tblGrid>
      <w:tr>
        <w:tblPrEx>
          <w:tblW w:w="9547"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675"/>
          <w:jc w:val="left"/>
        </w:trPr>
        <w:tc>
          <w:tcPr>
            <w:tcW w:w="480" w:type="dxa"/>
            <w:tcBorders>
              <w:top w:val="nil"/>
              <w:left w:val="nil"/>
              <w:bottom w:val="nil"/>
              <w:right w:val="nil"/>
            </w:tcBorders>
            <w:tcMar>
              <w:top w:w="0" w:type="dxa"/>
              <w:left w:w="53" w:type="dxa"/>
              <w:bottom w:w="0" w:type="dxa"/>
              <w:right w:w="53" w:type="dxa"/>
            </w:tcMar>
            <w:vAlign w:val="top"/>
          </w:tcPr>
          <w:p>
            <w:pPr>
              <w:pageBreakBefore w:val="0"/>
              <w:spacing w:before="53" w:line="269" w:lineRule="auto"/>
              <w:ind w:left="0"/>
              <w:jc w:val="left"/>
            </w:pPr>
            <w:r>
              <w:rPr>
                <w:rFonts w:ascii="Arial" w:eastAsia="Arial" w:hAnsi="Arial" w:cs="Arial"/>
                <w:color w:val="000000"/>
                <w:sz w:val="18"/>
              </w:rPr>
              <w:t>(a)</w:t>
            </w:r>
          </w:p>
          <w:p>
            <w:pPr>
              <w:spacing w:after="30" w:line="269" w:lineRule="auto"/>
              <w:ind w:left="0"/>
              <w:jc w:val="left"/>
            </w:pPr>
          </w:p>
        </w:tc>
        <w:tc>
          <w:tcPr>
            <w:tcW w:w="8880" w:type="dxa"/>
            <w:tcBorders>
              <w:top w:val="nil"/>
              <w:left w:val="nil"/>
              <w:bottom w:val="nil"/>
              <w:right w:val="nil"/>
            </w:tcBorders>
            <w:tcMar>
              <w:top w:w="0" w:type="dxa"/>
              <w:left w:w="53" w:type="dxa"/>
              <w:bottom w:w="0" w:type="dxa"/>
              <w:right w:w="53" w:type="dxa"/>
            </w:tcMar>
            <w:vAlign w:val="top"/>
          </w:tcPr>
          <w:p>
            <w:pPr>
              <w:pageBreakBefore w:val="0"/>
              <w:spacing w:before="53" w:after="30" w:line="269" w:lineRule="auto"/>
              <w:ind w:right="0"/>
              <w:jc w:val="both"/>
            </w:pPr>
            <w:r>
              <w:rPr>
                <w:rFonts w:ascii="Arial" w:eastAsia="Arial" w:hAnsi="Arial" w:cs="Arial"/>
                <w:color w:val="000000"/>
                <w:sz w:val="18"/>
              </w:rPr>
              <w:t>Acquisition NTM Adjusted EBITDA assumes historical cost structure and not reflective of synergies that may be realised following post-acquisition integration; Purchase Price multiple based on estimated net Purchase Price and Acquisition’s NTM Adjusted EBITDA (unhedged)</w:t>
            </w:r>
          </w:p>
        </w:tc>
      </w:tr>
      <w:tr>
        <w:tblPrEx>
          <w:tblW w:w="9547" w:type="dxa"/>
          <w:jc w:val="left"/>
          <w:tblInd w:w="0" w:type="dxa"/>
          <w:tblCellMar>
            <w:left w:w="108" w:type="dxa"/>
            <w:right w:w="108" w:type="dxa"/>
          </w:tblCellMar>
        </w:tblPrEx>
        <w:trPr>
          <w:cantSplit/>
          <w:trHeight w:hRule="exact" w:val="480"/>
          <w:jc w:val="left"/>
        </w:trPr>
        <w:tc>
          <w:tcPr>
            <w:tcW w:w="480" w:type="dxa"/>
            <w:tcBorders>
              <w:top w:val="nil"/>
              <w:left w:val="nil"/>
              <w:bottom w:val="nil"/>
              <w:right w:val="nil"/>
            </w:tcBorders>
            <w:tcMar>
              <w:top w:w="0" w:type="dxa"/>
              <w:left w:w="53" w:type="dxa"/>
              <w:bottom w:w="0" w:type="dxa"/>
              <w:right w:w="53" w:type="dxa"/>
            </w:tcMar>
            <w:vAlign w:val="top"/>
          </w:tcPr>
          <w:p>
            <w:pPr>
              <w:pageBreakBefore w:val="0"/>
              <w:spacing w:before="53" w:after="30" w:line="269" w:lineRule="auto"/>
              <w:ind w:left="0"/>
              <w:jc w:val="left"/>
            </w:pPr>
            <w:r>
              <w:rPr>
                <w:rFonts w:ascii="Arial" w:eastAsia="Arial" w:hAnsi="Arial" w:cs="Arial"/>
                <w:color w:val="000000"/>
                <w:sz w:val="18"/>
              </w:rPr>
              <w:t>(b)</w:t>
            </w:r>
          </w:p>
        </w:tc>
        <w:tc>
          <w:tcPr>
            <w:tcW w:w="888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69" w:lineRule="auto"/>
              <w:ind w:left="0" w:right="0" w:firstLine="0"/>
              <w:jc w:val="both"/>
              <w:outlineLvl w:val="9"/>
              <w:rPr>
                <w:rFonts w:ascii="Arial" w:eastAsia="Arial" w:hAnsi="Arial" w:cs="Arial"/>
                <w:b/>
                <w:sz w:val="18"/>
              </w:rPr>
            </w:pPr>
            <w:r>
              <w:rPr>
                <w:rFonts w:ascii="Arial" w:eastAsia="Arial" w:hAnsi="Arial" w:cs="Arial"/>
                <w:sz w:val="18"/>
              </w:rPr>
              <w:t xml:space="preserve">Based on the Company’s 2020 reported Adjusted EBITDA of </w:t>
            </w:r>
            <w:r>
              <w:rPr>
                <w:rFonts w:ascii="Arial" w:eastAsia="Arial" w:hAnsi="Arial" w:cs="Arial"/>
                <w:sz w:val="18"/>
              </w:rPr>
              <w:t>$301 million</w:t>
            </w:r>
            <w:r>
              <w:rPr>
                <w:rFonts w:ascii="Arial" w:eastAsia="Arial" w:hAnsi="Arial" w:cs="Arial"/>
                <w:sz w:val="18"/>
              </w:rPr>
              <w:t xml:space="preserve"> and the Acquisition’s estimated NTM Adjusted EBITDA (unhedged) of </w:t>
            </w:r>
            <w:r>
              <w:rPr>
                <w:rFonts w:ascii="Arial" w:eastAsia="Arial" w:hAnsi="Arial" w:cs="Arial"/>
                <w:sz w:val="18"/>
              </w:rPr>
              <w:t>~$51 million</w:t>
            </w:r>
          </w:p>
        </w:tc>
      </w:tr>
      <w:tr>
        <w:tblPrEx>
          <w:tblW w:w="9547" w:type="dxa"/>
          <w:jc w:val="left"/>
          <w:tblInd w:w="0" w:type="dxa"/>
          <w:tblCellMar>
            <w:left w:w="108" w:type="dxa"/>
            <w:right w:w="108" w:type="dxa"/>
          </w:tblCellMar>
        </w:tblPrEx>
        <w:trPr>
          <w:cantSplit/>
          <w:trHeight w:hRule="exact" w:val="300"/>
          <w:jc w:val="left"/>
        </w:trPr>
        <w:tc>
          <w:tcPr>
            <w:tcW w:w="480" w:type="dxa"/>
            <w:tcBorders>
              <w:top w:val="nil"/>
              <w:left w:val="nil"/>
              <w:bottom w:val="nil"/>
              <w:right w:val="nil"/>
            </w:tcBorders>
            <w:tcMar>
              <w:top w:w="0" w:type="dxa"/>
              <w:left w:w="53" w:type="dxa"/>
              <w:bottom w:w="0" w:type="dxa"/>
              <w:right w:w="53" w:type="dxa"/>
            </w:tcMar>
            <w:vAlign w:val="top"/>
          </w:tcPr>
          <w:p>
            <w:pPr>
              <w:pageBreakBefore w:val="0"/>
              <w:spacing w:before="53" w:after="30" w:line="269" w:lineRule="auto"/>
              <w:ind w:left="0"/>
              <w:jc w:val="left"/>
            </w:pPr>
            <w:r>
              <w:rPr>
                <w:rFonts w:ascii="Arial" w:eastAsia="Arial" w:hAnsi="Arial" w:cs="Arial"/>
                <w:color w:val="000000"/>
                <w:sz w:val="18"/>
              </w:rPr>
              <w:t>(c)</w:t>
            </w:r>
          </w:p>
        </w:tc>
        <w:tc>
          <w:tcPr>
            <w:tcW w:w="888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69" w:lineRule="auto"/>
              <w:ind w:left="0" w:right="0" w:firstLine="0"/>
              <w:jc w:val="both"/>
              <w:outlineLvl w:val="9"/>
              <w:rPr>
                <w:rFonts w:ascii="Arial" w:eastAsia="Arial" w:hAnsi="Arial" w:cs="Arial"/>
                <w:sz w:val="18"/>
              </w:rPr>
            </w:pPr>
            <w:r>
              <w:rPr>
                <w:rFonts w:ascii="Arial" w:eastAsia="Arial" w:hAnsi="Arial" w:cs="Arial"/>
                <w:sz w:val="18"/>
              </w:rPr>
              <w:t>Based on</w:t>
            </w:r>
            <w:r>
              <w:rPr>
                <w:rFonts w:ascii="Arial" w:eastAsia="Arial" w:hAnsi="Arial" w:cs="Arial"/>
                <w:sz w:val="18"/>
              </w:rPr>
              <w:t xml:space="preserve"> </w:t>
            </w:r>
            <w:r>
              <w:rPr>
                <w:rFonts w:ascii="Arial" w:eastAsia="Arial" w:hAnsi="Arial" w:cs="Arial"/>
                <w:sz w:val="18"/>
              </w:rPr>
              <w:t>January</w:t>
            </w:r>
            <w:r>
              <w:rPr>
                <w:rFonts w:ascii="Arial" w:eastAsia="Arial" w:hAnsi="Arial" w:cs="Arial"/>
                <w:sz w:val="18"/>
              </w:rPr>
              <w:t xml:space="preserve"> 1,</w:t>
            </w:r>
            <w:r>
              <w:rPr>
                <w:rFonts w:ascii="Arial" w:eastAsia="Arial" w:hAnsi="Arial" w:cs="Arial"/>
                <w:sz w:val="18"/>
              </w:rPr>
              <w:t xml:space="preserve"> 2021 effective date and the full NYMEX strip as of </w:t>
            </w:r>
            <w:r>
              <w:rPr>
                <w:rFonts w:ascii="Arial" w:eastAsia="Arial" w:hAnsi="Arial" w:cs="Arial"/>
                <w:sz w:val="18"/>
              </w:rPr>
              <w:t>June 28, 2021</w:t>
            </w:r>
          </w:p>
        </w:tc>
      </w:tr>
    </w:tbl>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4"/>
        </w:rPr>
      </w:pP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4"/>
        </w:rPr>
      </w:pP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sz w:val="24"/>
        </w:rPr>
      </w:pPr>
      <w:r>
        <w:rPr>
          <w:rFonts w:ascii="Arial" w:eastAsia="Arial" w:hAnsi="Arial" w:cs="Arial"/>
          <w:b/>
          <w:sz w:val="20"/>
        </w:rPr>
        <w:t>Market Abuse Regulation</w:t>
      </w: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sz w:val="24"/>
        </w:rPr>
      </w:pPr>
      <w:r>
        <w:rPr>
          <w:rFonts w:ascii="Arial" w:eastAsia="Arial" w:hAnsi="Arial" w:cs="Arial"/>
          <w:sz w:val="20"/>
        </w:rPr>
        <w:t>This announcement contains inside information for the purposes of article 7 of the UK version of regulation (EU) no. 596/2014 on market abuse ("UK MAR"), as it forms part of UK domestic law by virtue of the European Union (Withdrawal) Act 2018, and regulation (EU) no. 596/2014 on market abuse ("EU MAR").</w:t>
      </w: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4"/>
        </w:rPr>
      </w:pP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sz w:val="24"/>
        </w:rPr>
      </w:pPr>
      <w:r>
        <w:rPr>
          <w:rFonts w:ascii="Arial" w:eastAsia="Arial" w:hAnsi="Arial" w:cs="Arial"/>
          <w:sz w:val="20"/>
        </w:rPr>
        <w:t xml:space="preserve">For further information, please contact: </w:t>
      </w:r>
    </w:p>
    <w:tbl>
      <w:tblPr>
        <w:tblW w:w="9547"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590"/>
        <w:gridCol w:w="4770"/>
      </w:tblGrid>
      <w:tr>
        <w:tblPrEx>
          <w:tblW w:w="9547"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55"/>
          <w:jc w:val="left"/>
        </w:trPr>
        <w:tc>
          <w:tcPr>
            <w:tcW w:w="459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69" w:lineRule="auto"/>
              <w:ind w:left="0" w:right="0" w:firstLine="0"/>
              <w:jc w:val="left"/>
              <w:outlineLvl w:val="9"/>
              <w:rPr>
                <w:rFonts w:ascii="Arial" w:eastAsia="Arial" w:hAnsi="Arial" w:cs="Arial"/>
                <w:b/>
                <w:sz w:val="24"/>
              </w:rPr>
            </w:pPr>
            <w:r>
              <w:rPr>
                <w:rFonts w:ascii="Arial" w:eastAsia="Arial" w:hAnsi="Arial" w:cs="Arial"/>
                <w:b/>
                <w:sz w:val="20"/>
              </w:rPr>
              <w:t>Diversified Energy Company PLC</w:t>
            </w:r>
          </w:p>
        </w:tc>
        <w:tc>
          <w:tcPr>
            <w:tcW w:w="477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69" w:lineRule="auto"/>
              <w:ind w:left="0" w:right="0" w:firstLine="0"/>
              <w:jc w:val="right"/>
              <w:outlineLvl w:val="9"/>
              <w:rPr>
                <w:rFonts w:ascii="Arial" w:eastAsia="Arial" w:hAnsi="Arial" w:cs="Arial"/>
                <w:sz w:val="24"/>
              </w:rPr>
            </w:pPr>
            <w:r>
              <w:rPr>
                <w:rFonts w:ascii="Arial" w:eastAsia="Arial" w:hAnsi="Arial" w:cs="Arial"/>
                <w:sz w:val="20"/>
              </w:rPr>
              <w:t>+1 205 408 0909</w:t>
            </w:r>
          </w:p>
        </w:tc>
      </w:tr>
      <w:tr>
        <w:tblPrEx>
          <w:tblW w:w="9547" w:type="dxa"/>
          <w:jc w:val="left"/>
          <w:tblInd w:w="0" w:type="dxa"/>
          <w:tblCellMar>
            <w:left w:w="108" w:type="dxa"/>
            <w:right w:w="108" w:type="dxa"/>
          </w:tblCellMar>
        </w:tblPrEx>
        <w:trPr>
          <w:cantSplit/>
          <w:trHeight w:hRule="exact" w:val="255"/>
          <w:jc w:val="left"/>
        </w:trPr>
        <w:tc>
          <w:tcPr>
            <w:tcW w:w="459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69" w:lineRule="auto"/>
              <w:ind w:left="0" w:right="0" w:firstLine="0"/>
              <w:jc w:val="left"/>
              <w:outlineLvl w:val="9"/>
              <w:rPr>
                <w:rFonts w:ascii="Arial" w:eastAsia="Arial" w:hAnsi="Arial" w:cs="Arial"/>
                <w:sz w:val="24"/>
              </w:rPr>
            </w:pPr>
            <w:r>
              <w:rPr>
                <w:rFonts w:ascii="Arial" w:eastAsia="Arial" w:hAnsi="Arial" w:cs="Arial"/>
                <w:sz w:val="20"/>
              </w:rPr>
              <w:t>Teresa Odom</w:t>
            </w:r>
          </w:p>
        </w:tc>
        <w:tc>
          <w:tcPr>
            <w:tcW w:w="4770"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9547" w:type="dxa"/>
          <w:jc w:val="left"/>
          <w:tblInd w:w="0" w:type="dxa"/>
          <w:tblCellMar>
            <w:left w:w="108" w:type="dxa"/>
            <w:right w:w="108" w:type="dxa"/>
          </w:tblCellMar>
        </w:tblPrEx>
        <w:trPr>
          <w:cantSplit/>
          <w:trHeight w:hRule="exact" w:val="255"/>
          <w:jc w:val="left"/>
        </w:trPr>
        <w:tc>
          <w:tcPr>
            <w:tcW w:w="459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88" w:lineRule="auto"/>
              <w:ind w:left="0" w:right="0" w:firstLine="0"/>
              <w:jc w:val="left"/>
              <w:outlineLvl w:val="9"/>
              <w:rPr>
                <w:rFonts w:ascii="Arial" w:eastAsia="Arial" w:hAnsi="Arial" w:cs="Arial"/>
                <w:color w:val="0000FF"/>
                <w:sz w:val="24"/>
              </w:rPr>
            </w:pPr>
            <w:r>
              <w:rPr>
                <w:rFonts w:ascii="Arial" w:eastAsia="Arial" w:hAnsi="Arial" w:cs="Arial"/>
                <w:color w:val="0000FF"/>
                <w:sz w:val="20"/>
              </w:rPr>
              <w:t>www.div.energy</w:t>
            </w:r>
          </w:p>
        </w:tc>
        <w:tc>
          <w:tcPr>
            <w:tcW w:w="4770"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9547" w:type="dxa"/>
          <w:jc w:val="left"/>
          <w:tblInd w:w="0" w:type="dxa"/>
          <w:tblCellMar>
            <w:left w:w="108" w:type="dxa"/>
            <w:right w:w="108" w:type="dxa"/>
          </w:tblCellMar>
        </w:tblPrEx>
        <w:trPr>
          <w:cantSplit/>
          <w:trHeight w:hRule="exact" w:val="255"/>
          <w:jc w:val="left"/>
        </w:trPr>
        <w:tc>
          <w:tcPr>
            <w:tcW w:w="459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69" w:lineRule="auto"/>
              <w:ind w:left="0" w:right="0" w:firstLine="0"/>
              <w:jc w:val="left"/>
              <w:outlineLvl w:val="9"/>
              <w:rPr>
                <w:rFonts w:ascii="Arial" w:eastAsia="Arial" w:hAnsi="Arial" w:cs="Arial"/>
                <w:sz w:val="24"/>
              </w:rPr>
            </w:pPr>
            <w:r>
              <w:rPr>
                <w:rFonts w:ascii="Arial" w:eastAsia="Arial" w:hAnsi="Arial" w:cs="Arial"/>
                <w:sz w:val="20"/>
              </w:rPr>
              <w:t>ir@dgoc.com</w:t>
            </w:r>
          </w:p>
        </w:tc>
        <w:tc>
          <w:tcPr>
            <w:tcW w:w="4770"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9547" w:type="dxa"/>
          <w:jc w:val="left"/>
          <w:tblInd w:w="0" w:type="dxa"/>
          <w:tblCellMar>
            <w:left w:w="108" w:type="dxa"/>
            <w:right w:w="108" w:type="dxa"/>
          </w:tblCellMar>
        </w:tblPrEx>
        <w:trPr>
          <w:cantSplit/>
          <w:trHeight w:hRule="exact" w:val="255"/>
          <w:jc w:val="left"/>
        </w:trPr>
        <w:tc>
          <w:tcPr>
            <w:tcW w:w="459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4770"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9547" w:type="dxa"/>
          <w:jc w:val="left"/>
          <w:tblInd w:w="0" w:type="dxa"/>
          <w:tblCellMar>
            <w:left w:w="108" w:type="dxa"/>
            <w:right w:w="108" w:type="dxa"/>
          </w:tblCellMar>
        </w:tblPrEx>
        <w:trPr>
          <w:cantSplit/>
          <w:trHeight w:hRule="exact" w:val="255"/>
          <w:jc w:val="left"/>
        </w:trPr>
        <w:tc>
          <w:tcPr>
            <w:tcW w:w="459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69" w:lineRule="auto"/>
              <w:ind w:left="0" w:right="0" w:firstLine="0"/>
              <w:jc w:val="left"/>
              <w:outlineLvl w:val="9"/>
              <w:rPr>
                <w:rFonts w:ascii="Arial" w:eastAsia="Arial" w:hAnsi="Arial" w:cs="Arial"/>
                <w:b/>
                <w:sz w:val="24"/>
              </w:rPr>
            </w:pPr>
            <w:r>
              <w:rPr>
                <w:rFonts w:ascii="Arial" w:eastAsia="Arial" w:hAnsi="Arial" w:cs="Arial"/>
                <w:b/>
                <w:sz w:val="20"/>
              </w:rPr>
              <w:t>Buchanan</w:t>
            </w:r>
          </w:p>
        </w:tc>
        <w:tc>
          <w:tcPr>
            <w:tcW w:w="477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69" w:lineRule="auto"/>
              <w:ind w:left="0" w:right="0" w:firstLine="0"/>
              <w:jc w:val="right"/>
              <w:outlineLvl w:val="9"/>
              <w:rPr>
                <w:rFonts w:ascii="Arial" w:eastAsia="Arial" w:hAnsi="Arial" w:cs="Arial"/>
                <w:sz w:val="24"/>
              </w:rPr>
            </w:pPr>
            <w:r>
              <w:rPr>
                <w:rFonts w:ascii="Arial" w:eastAsia="Arial" w:hAnsi="Arial" w:cs="Arial"/>
                <w:sz w:val="20"/>
              </w:rPr>
              <w:t>+44 20 7466 5000</w:t>
            </w:r>
          </w:p>
        </w:tc>
      </w:tr>
      <w:tr>
        <w:tblPrEx>
          <w:tblW w:w="9547" w:type="dxa"/>
          <w:jc w:val="left"/>
          <w:tblInd w:w="0" w:type="dxa"/>
          <w:tblCellMar>
            <w:left w:w="108" w:type="dxa"/>
            <w:right w:w="108" w:type="dxa"/>
          </w:tblCellMar>
        </w:tblPrEx>
        <w:trPr>
          <w:cantSplit/>
          <w:trHeight w:hRule="exact" w:val="255"/>
          <w:jc w:val="left"/>
        </w:trPr>
        <w:tc>
          <w:tcPr>
            <w:tcW w:w="459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69" w:lineRule="auto"/>
              <w:ind w:left="0" w:right="0" w:firstLine="0"/>
              <w:jc w:val="left"/>
              <w:outlineLvl w:val="9"/>
              <w:rPr>
                <w:rFonts w:ascii="Arial" w:eastAsia="Arial" w:hAnsi="Arial" w:cs="Arial"/>
                <w:i/>
                <w:sz w:val="24"/>
              </w:rPr>
            </w:pPr>
            <w:r>
              <w:rPr>
                <w:rFonts w:ascii="Arial" w:eastAsia="Arial" w:hAnsi="Arial" w:cs="Arial"/>
                <w:i/>
                <w:sz w:val="20"/>
              </w:rPr>
              <w:t>Financial Public Relations</w:t>
            </w:r>
          </w:p>
        </w:tc>
        <w:tc>
          <w:tcPr>
            <w:tcW w:w="4770"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9547" w:type="dxa"/>
          <w:jc w:val="left"/>
          <w:tblInd w:w="0" w:type="dxa"/>
          <w:tblCellMar>
            <w:left w:w="108" w:type="dxa"/>
            <w:right w:w="108" w:type="dxa"/>
          </w:tblCellMar>
        </w:tblPrEx>
        <w:trPr>
          <w:cantSplit/>
          <w:trHeight w:hRule="exact" w:val="255"/>
          <w:jc w:val="left"/>
        </w:trPr>
        <w:tc>
          <w:tcPr>
            <w:tcW w:w="459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69" w:lineRule="auto"/>
              <w:ind w:left="0" w:right="0" w:firstLine="0"/>
              <w:jc w:val="left"/>
              <w:outlineLvl w:val="9"/>
              <w:rPr>
                <w:rFonts w:ascii="Arial" w:eastAsia="Arial" w:hAnsi="Arial" w:cs="Arial"/>
                <w:sz w:val="24"/>
              </w:rPr>
            </w:pPr>
            <w:r>
              <w:rPr>
                <w:rFonts w:ascii="Arial" w:eastAsia="Arial" w:hAnsi="Arial" w:cs="Arial"/>
                <w:sz w:val="20"/>
              </w:rPr>
              <w:t>Ben Romney</w:t>
            </w:r>
          </w:p>
        </w:tc>
        <w:tc>
          <w:tcPr>
            <w:tcW w:w="4770"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9547" w:type="dxa"/>
          <w:jc w:val="left"/>
          <w:tblInd w:w="0" w:type="dxa"/>
          <w:tblCellMar>
            <w:left w:w="108" w:type="dxa"/>
            <w:right w:w="108" w:type="dxa"/>
          </w:tblCellMar>
        </w:tblPrEx>
        <w:trPr>
          <w:cantSplit/>
          <w:trHeight w:hRule="exact" w:val="255"/>
          <w:jc w:val="left"/>
        </w:trPr>
        <w:tc>
          <w:tcPr>
            <w:tcW w:w="459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69" w:lineRule="auto"/>
              <w:ind w:left="0" w:right="0" w:firstLine="0"/>
              <w:jc w:val="left"/>
              <w:outlineLvl w:val="9"/>
              <w:rPr>
                <w:rFonts w:ascii="Arial" w:eastAsia="Arial" w:hAnsi="Arial" w:cs="Arial"/>
                <w:sz w:val="24"/>
              </w:rPr>
            </w:pPr>
            <w:r>
              <w:rPr>
                <w:rFonts w:ascii="Arial" w:eastAsia="Arial" w:hAnsi="Arial" w:cs="Arial"/>
                <w:sz w:val="20"/>
              </w:rPr>
              <w:t>Chris Judd</w:t>
            </w:r>
          </w:p>
        </w:tc>
        <w:tc>
          <w:tcPr>
            <w:tcW w:w="4770"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9547" w:type="dxa"/>
          <w:jc w:val="left"/>
          <w:tblInd w:w="0" w:type="dxa"/>
          <w:tblCellMar>
            <w:left w:w="108" w:type="dxa"/>
            <w:right w:w="108" w:type="dxa"/>
          </w:tblCellMar>
        </w:tblPrEx>
        <w:trPr>
          <w:cantSplit/>
          <w:trHeight w:hRule="exact" w:val="255"/>
          <w:jc w:val="left"/>
        </w:trPr>
        <w:tc>
          <w:tcPr>
            <w:tcW w:w="459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69" w:lineRule="auto"/>
              <w:ind w:left="0" w:right="0" w:firstLine="0"/>
              <w:jc w:val="left"/>
              <w:outlineLvl w:val="9"/>
              <w:rPr>
                <w:rFonts w:ascii="Arial" w:eastAsia="Arial" w:hAnsi="Arial" w:cs="Arial"/>
                <w:sz w:val="24"/>
              </w:rPr>
            </w:pPr>
            <w:r>
              <w:rPr>
                <w:rFonts w:ascii="Arial" w:eastAsia="Arial" w:hAnsi="Arial" w:cs="Arial"/>
                <w:sz w:val="20"/>
              </w:rPr>
              <w:t>Kelsey Traynor</w:t>
            </w:r>
          </w:p>
        </w:tc>
        <w:tc>
          <w:tcPr>
            <w:tcW w:w="4770"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9547" w:type="dxa"/>
          <w:jc w:val="left"/>
          <w:tblInd w:w="0" w:type="dxa"/>
          <w:tblCellMar>
            <w:left w:w="108" w:type="dxa"/>
            <w:right w:w="108" w:type="dxa"/>
          </w:tblCellMar>
        </w:tblPrEx>
        <w:trPr>
          <w:cantSplit/>
          <w:trHeight w:hRule="exact" w:val="255"/>
          <w:jc w:val="left"/>
        </w:trPr>
        <w:tc>
          <w:tcPr>
            <w:tcW w:w="459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69" w:lineRule="auto"/>
              <w:ind w:left="0" w:right="0" w:firstLine="0"/>
              <w:jc w:val="left"/>
              <w:outlineLvl w:val="9"/>
              <w:rPr>
                <w:rFonts w:ascii="Arial" w:eastAsia="Arial" w:hAnsi="Arial" w:cs="Arial"/>
                <w:sz w:val="24"/>
              </w:rPr>
            </w:pPr>
            <w:r>
              <w:rPr>
                <w:rFonts w:ascii="Arial" w:eastAsia="Arial" w:hAnsi="Arial" w:cs="Arial"/>
                <w:sz w:val="20"/>
              </w:rPr>
              <w:t>James Husband</w:t>
            </w:r>
          </w:p>
        </w:tc>
        <w:tc>
          <w:tcPr>
            <w:tcW w:w="4770"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9547" w:type="dxa"/>
          <w:jc w:val="left"/>
          <w:tblInd w:w="0" w:type="dxa"/>
          <w:tblCellMar>
            <w:left w:w="108" w:type="dxa"/>
            <w:right w:w="108" w:type="dxa"/>
          </w:tblCellMar>
        </w:tblPrEx>
        <w:trPr>
          <w:cantSplit/>
          <w:trHeight w:hRule="exact" w:val="255"/>
          <w:jc w:val="left"/>
        </w:trPr>
        <w:tc>
          <w:tcPr>
            <w:tcW w:w="459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69" w:lineRule="auto"/>
              <w:ind w:left="0" w:right="0" w:firstLine="0"/>
              <w:jc w:val="left"/>
              <w:outlineLvl w:val="9"/>
              <w:rPr>
                <w:rFonts w:ascii="Arial" w:eastAsia="Arial" w:hAnsi="Arial" w:cs="Arial"/>
                <w:sz w:val="24"/>
              </w:rPr>
            </w:pPr>
            <w:r>
              <w:rPr>
                <w:rFonts w:ascii="Arial" w:eastAsia="Arial" w:hAnsi="Arial" w:cs="Arial"/>
                <w:sz w:val="20"/>
              </w:rPr>
              <w:t>dec@buchanan.uk.com</w:t>
            </w:r>
          </w:p>
        </w:tc>
        <w:tc>
          <w:tcPr>
            <w:tcW w:w="4770"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bl>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4"/>
        </w:rPr>
      </w:pP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sz w:val="24"/>
        </w:rPr>
      </w:pPr>
      <w:r>
        <w:rPr>
          <w:rFonts w:ascii="Arial" w:eastAsia="Arial" w:hAnsi="Arial" w:cs="Arial"/>
          <w:b/>
          <w:sz w:val="20"/>
        </w:rPr>
        <w:t>About Diversified Energy Company PLC</w:t>
      </w:r>
    </w:p>
    <w:p w:rsidR="00A77B3E">
      <w:pPr>
        <w:keepNext w:val="0"/>
        <w:keepLines w:val="0"/>
        <w:pageBreakBefore w:val="0"/>
        <w:widowControl/>
        <w:numPr>
          <w:ilvl w:val="0"/>
          <w:numId w:val="0"/>
        </w:numPr>
        <w:spacing w:before="0" w:after="0" w:line="288" w:lineRule="auto"/>
        <w:ind w:left="0" w:right="0" w:firstLine="0"/>
        <w:jc w:val="both"/>
        <w:outlineLvl w:val="9"/>
        <w:rPr>
          <w:rFonts w:ascii="Arial" w:eastAsia="Arial" w:hAnsi="Arial" w:cs="Arial"/>
          <w:sz w:val="24"/>
        </w:rPr>
      </w:pPr>
      <w:r>
        <w:rPr>
          <w:rFonts w:ascii="Arial" w:eastAsia="Arial" w:hAnsi="Arial" w:cs="Arial"/>
          <w:sz w:val="20"/>
        </w:rPr>
        <w:t xml:space="preserve">Diversified Energy Company PLC is an independent energy company engaged in the production, marketing and transportation of primarily natural gas related to its synergistic US onshore upstream and midstream assets. </w:t>
      </w: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4"/>
        </w:rPr>
      </w:pPr>
    </w:p>
    <w:p w:rsidR="00A77B3E">
      <w:pPr>
        <w:keepNext w:val="0"/>
        <w:keepLines w:val="0"/>
        <w:pageBreakBefore w:val="0"/>
        <w:widowControl/>
        <w:numPr>
          <w:ilvl w:val="0"/>
          <w:numId w:val="0"/>
        </w:numPr>
        <w:spacing w:before="0" w:after="0" w:line="276" w:lineRule="auto"/>
        <w:ind w:left="0" w:right="0" w:firstLine="0"/>
        <w:jc w:val="left"/>
        <w:outlineLvl w:val="9"/>
        <w:rPr>
          <w:rFonts w:ascii="Arial" w:eastAsia="Arial" w:hAnsi="Arial" w:cs="Arial"/>
          <w:sz w:val="24"/>
        </w:rPr>
      </w:pPr>
    </w:p>
    <w:p w:rsidR="00A77B3E">
      <w:pPr>
        <w:keepNext w:val="0"/>
        <w:keepLines w:val="0"/>
        <w:pageBreakBefore w:val="0"/>
        <w:widowControl/>
        <w:numPr>
          <w:ilvl w:val="0"/>
          <w:numId w:val="0"/>
        </w:numPr>
        <w:spacing w:before="0" w:after="0" w:line="269" w:lineRule="auto"/>
        <w:ind w:left="0" w:right="0" w:firstLine="0"/>
        <w:jc w:val="left"/>
        <w:outlineLvl w:val="9"/>
        <w:rPr>
          <w:rFonts w:ascii="Times New Roman" w:eastAsia="Times New Roman" w:hAnsi="Times New Roman" w:cs="Times New Roman"/>
          <w:sz w:val="20"/>
        </w:rPr>
      </w:pPr>
    </w:p>
    <w:sectPr>
      <w:headerReference w:type="default" r:id="rId5"/>
      <w:footerReference w:type="default" r:id="rId6"/>
      <w:type w:val="continuous"/>
      <w:pgSz w:w="12240" w:h="15840"/>
      <w:pgMar w:top="1440" w:right="1440" w:bottom="1440" w:left="1440" w:header="270" w:footer="27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88" w:lineRule="auto"/>
      <w:ind w:left="0" w:right="0" w:firstLine="0"/>
      <w:jc w:val="left"/>
      <w:outlineLvl w:val="9"/>
      <w:rPr>
        <w:rFonts w:ascii="Arial" w:eastAsia="Arial" w:hAnsi="Arial" w:cs="Arial"/>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styleLink w:val="DiscSYMBOL"/>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
    <w:nsid w:val="00000002"/>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
    <w:nsid w:val="00000003"/>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
    <w:nsid w:val="00000004"/>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
    <w:nsid w:val="00000005"/>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
    <w:nsid w:val="00000006"/>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
    <w:nsid w:val="00000007"/>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7">
    <w:nsid w:val="00000008"/>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20"/>
      </w:rPr>
    </w:lvl>
    <w:lvl w:ilvl="1">
      <w:start w:val="1"/>
      <w:numFmt w:val="lowerLetter"/>
      <w:lvlText w:val="◦"/>
      <w:lvlJc w:val="left"/>
      <w:pPr>
        <w:tabs>
          <w:tab w:val="num" w:pos="1440"/>
        </w:tabs>
        <w:ind w:left="1440" w:hanging="360"/>
      </w:pPr>
      <w:rPr>
        <w:rFonts w:ascii="Arial" w:eastAsia="Arial" w:hAnsi="Arial" w:cs="Arial"/>
        <w:color w:val="000000"/>
        <w:sz w:val="20"/>
      </w:r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8">
    <w:nsid w:val="00000009"/>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9">
    <w:nsid w:val="0000000A"/>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0">
    <w:nsid w:val="0000000B"/>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1">
    <w:nsid w:val="0000000C"/>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2">
    <w:nsid w:val="0000000D"/>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3">
    <w:nsid w:val="0000000E"/>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4">
    <w:nsid w:val="0000000F"/>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5">
    <w:nsid w:val="00000010"/>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18"/>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6">
    <w:nsid w:val="00000011"/>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18"/>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7">
    <w:nsid w:val="00000012"/>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18"/>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8">
    <w:nsid w:val="00000013"/>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18"/>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9">
    <w:nsid w:val="00000014"/>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18"/>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0">
    <w:nsid w:val="00000015"/>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18"/>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1">
    <w:nsid w:val="00000016"/>
    <w:multiLevelType w:val="multilevel"/>
    <w:tmpl w:val="00000001"/>
    <w:lvl w:ilvl="0">
      <w:start w:val="1"/>
      <w:numFmt w:val="decimal"/>
      <w:lvlText w:val="•"/>
      <w:lvlJc w:val="left"/>
      <w:pPr>
        <w:tabs>
          <w:tab w:val="num" w:pos="720"/>
        </w:tabs>
        <w:ind w:left="720" w:hanging="360"/>
      </w:pPr>
      <w:rPr>
        <w:rFonts w:ascii="Arial" w:eastAsia="Arial" w:hAnsi="Arial" w:cs="Arial"/>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noLeading/>
    <w:suppressTopSpacingWP/>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numbering" w:customStyle="1" w:styleId="DiscSYMBOL">
    <w:name w:val="DiscSYMBOL•◦▪"/>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fontTable" Target="fontTable.xml"/><Relationship Id="rId7" Type="http://schemas.openxmlformats.org/officeDocument/2006/relationships/theme" Target="theme/theme1.xml"/><Relationship Id="rId12" Type="http://schemas.openxmlformats.org/officeDocument/2006/relationships/customXml" Target="../customXml/item3.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eader" Target="header1.xml"/><Relationship Id="rId10"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A715F244FA44D9E2BF89E55CB4BE8" ma:contentTypeVersion="15" ma:contentTypeDescription="Create a new document." ma:contentTypeScope="" ma:versionID="c930fb58de300ca39e690bfe53c8576e">
  <xsd:schema xmlns:xsd="http://www.w3.org/2001/XMLSchema" xmlns:xs="http://www.w3.org/2001/XMLSchema" xmlns:p="http://schemas.microsoft.com/office/2006/metadata/properties" xmlns:ns1="http://schemas.microsoft.com/sharepoint/v3" xmlns:ns2="3b710357-14f8-43f6-9501-a11c2a400632" xmlns:ns3="364f1f7f-fd40-48a0-85f3-f11a64da6977" targetNamespace="http://schemas.microsoft.com/office/2006/metadata/properties" ma:root="true" ma:fieldsID="e3b122e33e334265cb19020cb0e43a9b" ns1:_="" ns2:_="" ns3:_="">
    <xsd:import namespace="http://schemas.microsoft.com/sharepoint/v3"/>
    <xsd:import namespace="3b710357-14f8-43f6-9501-a11c2a400632"/>
    <xsd:import namespace="364f1f7f-fd40-48a0-85f3-f11a64da69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710357-14f8-43f6-9501-a11c2a400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f1f7f-fd40-48a0-85f3-f11a64da69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67AAE4B-ACBA-479D-BAB5-FAEB082F76AE}"/>
</file>

<file path=customXml/itemProps2.xml><?xml version="1.0" encoding="utf-8"?>
<ds:datastoreItem xmlns:ds="http://schemas.openxmlformats.org/officeDocument/2006/customXml" ds:itemID="{94DEF549-331E-43C4-8B25-9E39FB04A508}"/>
</file>

<file path=customXml/itemProps3.xml><?xml version="1.0" encoding="utf-8"?>
<ds:datastoreItem xmlns:ds="http://schemas.openxmlformats.org/officeDocument/2006/customXml" ds:itemID="{4F934DB1-5FB5-4DC6-81B1-E30FD1E0B000}"/>
</file>

<file path=docProps/app.xml><?xml version="1.0" encoding="utf-8"?>
<Properties xmlns="http://schemas.openxmlformats.org/officeDocument/2006/extended-properties" xmlns:vt="http://schemas.openxmlformats.org/officeDocument/2006/docPropsVTypes">
  <Template>Normal.dot</Template>
  <TotalTime>0</TotalTime>
  <Pages>5</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2021-0705 - Tanos Announcement (US Version)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0x010100F7EA715F244FA44D9E2BF89E55CB4BE8</vt:lpwstr>
  </property>
</Properties>
</file>