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9187" w14:textId="7224D704" w:rsidR="00B20F3A" w:rsidRDefault="00357A65" w:rsidP="00B20F3A">
      <w:pPr>
        <w:pStyle w:val="NormalWeb"/>
        <w:spacing w:before="240" w:beforeAutospacing="0" w:after="240" w:afterAutospacing="0"/>
        <w:jc w:val="center"/>
        <w:rPr>
          <w:rFonts w:ascii="Calibri" w:hAnsi="Calibri" w:cs="Calibri"/>
          <w:b/>
          <w:bCs/>
          <w:color w:val="000000"/>
          <w:sz w:val="28"/>
          <w:szCs w:val="28"/>
        </w:rPr>
      </w:pPr>
      <w:bookmarkStart w:id="0" w:name="_Hlk73368374"/>
      <w:r>
        <w:rPr>
          <w:rFonts w:ascii="Calibri" w:hAnsi="Calibri" w:cs="Calibri"/>
          <w:b/>
          <w:bCs/>
          <w:color w:val="000000"/>
          <w:sz w:val="28"/>
          <w:szCs w:val="28"/>
        </w:rPr>
        <w:t xml:space="preserve">Alpha Esports Signs Binding Letter of Intent to Acquire 100% of </w:t>
      </w:r>
      <w:r w:rsidRPr="00D466BD">
        <w:rPr>
          <w:rFonts w:ascii="Calibri" w:hAnsi="Calibri" w:cs="Calibri"/>
          <w:b/>
          <w:bCs/>
          <w:color w:val="000000"/>
          <w:sz w:val="28"/>
          <w:szCs w:val="28"/>
        </w:rPr>
        <w:t>eDoxa Inc.</w:t>
      </w:r>
    </w:p>
    <w:p w14:paraId="0F58CDCD" w14:textId="28AA30F1" w:rsidR="00105C82" w:rsidRPr="00CB7B41" w:rsidRDefault="00357A65" w:rsidP="00B20F3A">
      <w:pPr>
        <w:pStyle w:val="NormalWeb"/>
        <w:spacing w:before="240" w:beforeAutospacing="0" w:after="240" w:afterAutospacing="0"/>
        <w:jc w:val="center"/>
        <w:rPr>
          <w:rFonts w:ascii="Calibri" w:hAnsi="Calibri" w:cs="Calibri"/>
          <w:b/>
          <w:bCs/>
          <w:i/>
          <w:iCs/>
          <w:color w:val="000000"/>
          <w:sz w:val="22"/>
          <w:szCs w:val="22"/>
        </w:rPr>
      </w:pPr>
      <w:proofErr w:type="spellStart"/>
      <w:r w:rsidRPr="00CB7B41">
        <w:rPr>
          <w:rFonts w:ascii="Calibri" w:hAnsi="Calibri" w:cs="Calibri"/>
          <w:b/>
          <w:bCs/>
          <w:i/>
          <w:iCs/>
          <w:color w:val="000000"/>
          <w:sz w:val="22"/>
          <w:szCs w:val="22"/>
        </w:rPr>
        <w:t>eDoxa</w:t>
      </w:r>
      <w:r w:rsidR="00275118">
        <w:rPr>
          <w:rFonts w:ascii="Calibri" w:hAnsi="Calibri" w:cs="Calibri"/>
          <w:b/>
          <w:bCs/>
          <w:i/>
          <w:iCs/>
          <w:color w:val="000000"/>
          <w:sz w:val="22"/>
          <w:szCs w:val="22"/>
        </w:rPr>
        <w:t>’s</w:t>
      </w:r>
      <w:proofErr w:type="spellEnd"/>
      <w:r w:rsidRPr="00CB7B41">
        <w:rPr>
          <w:rFonts w:ascii="Calibri" w:hAnsi="Calibri" w:cs="Calibri"/>
          <w:b/>
          <w:bCs/>
          <w:i/>
          <w:iCs/>
          <w:color w:val="000000"/>
          <w:sz w:val="22"/>
          <w:szCs w:val="22"/>
        </w:rPr>
        <w:t xml:space="preserve"> </w:t>
      </w:r>
      <w:r w:rsidR="00CB7B41" w:rsidRPr="00CB7B41">
        <w:rPr>
          <w:rFonts w:ascii="Calibri" w:hAnsi="Calibri" w:cs="Calibri"/>
          <w:b/>
          <w:bCs/>
          <w:i/>
          <w:iCs/>
          <w:color w:val="000000"/>
          <w:sz w:val="22"/>
          <w:szCs w:val="22"/>
        </w:rPr>
        <w:t xml:space="preserve">AI </w:t>
      </w:r>
      <w:r w:rsidR="00275118">
        <w:rPr>
          <w:rFonts w:ascii="Calibri" w:hAnsi="Calibri" w:cs="Calibri"/>
          <w:b/>
          <w:bCs/>
          <w:i/>
          <w:iCs/>
          <w:color w:val="000000"/>
          <w:sz w:val="22"/>
          <w:szCs w:val="22"/>
        </w:rPr>
        <w:t>platform</w:t>
      </w:r>
      <w:r w:rsidR="00CB7B41" w:rsidRPr="00CB7B41">
        <w:rPr>
          <w:rFonts w:ascii="Calibri" w:hAnsi="Calibri" w:cs="Calibri"/>
          <w:b/>
          <w:bCs/>
          <w:i/>
          <w:iCs/>
          <w:color w:val="000000"/>
          <w:sz w:val="22"/>
          <w:szCs w:val="22"/>
        </w:rPr>
        <w:t xml:space="preserve"> enables Alpha’s platforms to</w:t>
      </w:r>
      <w:r w:rsidR="00CB7B41">
        <w:rPr>
          <w:rFonts w:ascii="Calibri" w:hAnsi="Calibri" w:cs="Calibri"/>
          <w:b/>
          <w:bCs/>
          <w:i/>
          <w:iCs/>
          <w:color w:val="000000"/>
          <w:sz w:val="22"/>
          <w:szCs w:val="22"/>
        </w:rPr>
        <w:t xml:space="preserve"> promote fair play</w:t>
      </w:r>
      <w:r w:rsidR="00275118">
        <w:rPr>
          <w:rFonts w:ascii="Calibri" w:hAnsi="Calibri" w:cs="Calibri"/>
          <w:b/>
          <w:bCs/>
          <w:i/>
          <w:iCs/>
          <w:color w:val="000000"/>
          <w:sz w:val="22"/>
          <w:szCs w:val="22"/>
        </w:rPr>
        <w:t xml:space="preserve"> with new anti-smurfing and anti-cheating technology.</w:t>
      </w:r>
    </w:p>
    <w:bookmarkEnd w:id="0"/>
    <w:p w14:paraId="5CDBD836" w14:textId="1EBA727B" w:rsidR="00B20F3A" w:rsidRPr="00CB7B41" w:rsidRDefault="00357A65" w:rsidP="00B20F3A">
      <w:pPr>
        <w:pStyle w:val="NormalWeb"/>
        <w:spacing w:before="240" w:beforeAutospacing="0" w:after="240" w:afterAutospacing="0"/>
        <w:rPr>
          <w:color w:val="000000"/>
        </w:rPr>
      </w:pPr>
      <w:r w:rsidRPr="00CB7B41">
        <w:rPr>
          <w:rFonts w:ascii="Calibri" w:hAnsi="Calibri" w:cs="Calibri"/>
          <w:b/>
          <w:bCs/>
          <w:color w:val="000000"/>
          <w:sz w:val="22"/>
          <w:szCs w:val="22"/>
        </w:rPr>
        <w:t xml:space="preserve">July </w:t>
      </w:r>
      <w:r w:rsidR="008C1BAC">
        <w:rPr>
          <w:rFonts w:ascii="Calibri" w:hAnsi="Calibri" w:cs="Calibri"/>
          <w:b/>
          <w:bCs/>
          <w:color w:val="000000"/>
          <w:sz w:val="22"/>
          <w:szCs w:val="22"/>
        </w:rPr>
        <w:t>20</w:t>
      </w:r>
      <w:r w:rsidRPr="00CB7B41">
        <w:rPr>
          <w:rFonts w:ascii="Calibri" w:hAnsi="Calibri" w:cs="Calibri"/>
          <w:b/>
          <w:bCs/>
          <w:color w:val="000000"/>
          <w:sz w:val="22"/>
          <w:szCs w:val="22"/>
        </w:rPr>
        <w:t>, 2021</w:t>
      </w:r>
    </w:p>
    <w:p w14:paraId="790265EE" w14:textId="01014524" w:rsidR="00DD073D" w:rsidRDefault="00357A65" w:rsidP="00D466BD">
      <w:pPr>
        <w:pStyle w:val="NormalWeb"/>
        <w:spacing w:before="240" w:after="240"/>
        <w:jc w:val="both"/>
        <w:rPr>
          <w:rFonts w:ascii="Calibri" w:hAnsi="Calibri" w:cs="Calibri"/>
          <w:color w:val="000000"/>
          <w:sz w:val="22"/>
          <w:szCs w:val="22"/>
        </w:rPr>
      </w:pPr>
      <w:r w:rsidRPr="00A63ED3">
        <w:rPr>
          <w:rFonts w:ascii="Calibri" w:hAnsi="Calibri" w:cs="Calibri"/>
          <w:b/>
          <w:bCs/>
          <w:color w:val="000000"/>
          <w:sz w:val="22"/>
          <w:szCs w:val="22"/>
        </w:rPr>
        <w:t xml:space="preserve">Vancouver, BC – Alpha Esports Tech Inc. </w:t>
      </w:r>
      <w:r w:rsidRPr="00105C82">
        <w:rPr>
          <w:rFonts w:asciiTheme="minorHAnsi" w:hAnsiTheme="minorHAnsi" w:cstheme="minorHAnsi"/>
          <w:b/>
          <w:bCs/>
          <w:color w:val="000000"/>
          <w:sz w:val="22"/>
          <w:szCs w:val="22"/>
        </w:rPr>
        <w:t xml:space="preserve">(CSE: </w:t>
      </w:r>
      <w:r w:rsidRPr="00105C82">
        <w:rPr>
          <w:rFonts w:asciiTheme="minorHAnsi" w:hAnsiTheme="minorHAnsi" w:cstheme="minorHAnsi"/>
          <w:b/>
          <w:bCs/>
          <w:sz w:val="22"/>
          <w:szCs w:val="22"/>
        </w:rPr>
        <w:t>ALPA</w:t>
      </w:r>
      <w:r w:rsidRPr="00105C82">
        <w:rPr>
          <w:rFonts w:asciiTheme="minorHAnsi" w:hAnsiTheme="minorHAnsi" w:cstheme="minorHAnsi"/>
          <w:b/>
          <w:bCs/>
          <w:color w:val="000000"/>
          <w:sz w:val="22"/>
          <w:szCs w:val="22"/>
        </w:rPr>
        <w:t>)</w:t>
      </w:r>
      <w:r w:rsidRPr="00105C82">
        <w:rPr>
          <w:rFonts w:asciiTheme="minorHAnsi" w:hAnsiTheme="minorHAnsi" w:cstheme="minorHAnsi"/>
          <w:sz w:val="22"/>
          <w:szCs w:val="22"/>
        </w:rPr>
        <w:t xml:space="preserve"> </w:t>
      </w:r>
      <w:r w:rsidRPr="00105C82">
        <w:rPr>
          <w:rFonts w:asciiTheme="minorHAnsi" w:hAnsiTheme="minorHAnsi" w:cstheme="minorHAnsi"/>
          <w:b/>
          <w:bCs/>
          <w:color w:val="000000"/>
          <w:sz w:val="22"/>
          <w:szCs w:val="22"/>
        </w:rPr>
        <w:t>(FSE:</w:t>
      </w:r>
      <w:r w:rsidRPr="00105C82">
        <w:rPr>
          <w:rFonts w:asciiTheme="minorHAnsi" w:hAnsiTheme="minorHAnsi" w:cstheme="minorHAnsi"/>
          <w:b/>
          <w:bCs/>
          <w:sz w:val="22"/>
          <w:szCs w:val="22"/>
        </w:rPr>
        <w:t>5NP</w:t>
      </w:r>
      <w:r w:rsidRPr="00105C82">
        <w:rPr>
          <w:rFonts w:asciiTheme="minorHAnsi" w:hAnsiTheme="minorHAnsi" w:cstheme="minorHAnsi"/>
          <w:b/>
          <w:bCs/>
          <w:color w:val="000000"/>
          <w:sz w:val="22"/>
          <w:szCs w:val="22"/>
        </w:rPr>
        <w:t>)</w:t>
      </w:r>
      <w:r w:rsidRPr="00105C82">
        <w:rPr>
          <w:rFonts w:asciiTheme="minorHAnsi" w:hAnsiTheme="minorHAnsi" w:cstheme="minorHAnsi"/>
          <w:color w:val="000000"/>
          <w:sz w:val="22"/>
          <w:szCs w:val="22"/>
        </w:rPr>
        <w:t xml:space="preserve">, </w:t>
      </w:r>
      <w:r w:rsidRPr="00105C82">
        <w:rPr>
          <w:rFonts w:asciiTheme="minorHAnsi" w:hAnsiTheme="minorHAnsi" w:cstheme="minorHAnsi"/>
          <w:b/>
          <w:bCs/>
          <w:color w:val="000000"/>
          <w:sz w:val="22"/>
          <w:szCs w:val="22"/>
        </w:rPr>
        <w:t xml:space="preserve">(OTC PINK: </w:t>
      </w:r>
      <w:r w:rsidRPr="00105C82">
        <w:rPr>
          <w:rFonts w:asciiTheme="minorHAnsi" w:hAnsiTheme="minorHAnsi" w:cstheme="minorHAnsi"/>
          <w:b/>
          <w:bCs/>
          <w:sz w:val="22"/>
          <w:szCs w:val="22"/>
        </w:rPr>
        <w:t>APETF</w:t>
      </w:r>
      <w:r w:rsidRPr="00105C82">
        <w:rPr>
          <w:rFonts w:asciiTheme="minorHAnsi" w:hAnsiTheme="minorHAnsi" w:cstheme="minorHAnsi"/>
          <w:color w:val="000000"/>
          <w:sz w:val="22"/>
          <w:szCs w:val="22"/>
        </w:rPr>
        <w:t>),</w:t>
      </w:r>
      <w:r>
        <w:rPr>
          <w:rFonts w:ascii="Calibri" w:hAnsi="Calibri" w:cs="Calibri"/>
          <w:color w:val="000000"/>
          <w:sz w:val="22"/>
          <w:szCs w:val="22"/>
        </w:rPr>
        <w:t xml:space="preserve"> (“</w:t>
      </w:r>
      <w:r w:rsidRPr="00660B77">
        <w:rPr>
          <w:rFonts w:ascii="Calibri" w:hAnsi="Calibri" w:cs="Calibri"/>
          <w:b/>
          <w:color w:val="000000"/>
          <w:sz w:val="22"/>
          <w:szCs w:val="22"/>
        </w:rPr>
        <w:t>Alpha</w:t>
      </w:r>
      <w:r>
        <w:rPr>
          <w:rFonts w:ascii="Calibri" w:hAnsi="Calibri" w:cs="Calibri"/>
          <w:color w:val="000000"/>
          <w:sz w:val="22"/>
          <w:szCs w:val="22"/>
        </w:rPr>
        <w:t>” or the “</w:t>
      </w:r>
      <w:r w:rsidRPr="00660B77">
        <w:rPr>
          <w:rFonts w:ascii="Calibri" w:hAnsi="Calibri" w:cs="Calibri"/>
          <w:b/>
          <w:color w:val="000000"/>
          <w:sz w:val="22"/>
          <w:szCs w:val="22"/>
        </w:rPr>
        <w:t>Company</w:t>
      </w:r>
      <w:r>
        <w:rPr>
          <w:rFonts w:ascii="Calibri" w:hAnsi="Calibri" w:cs="Calibri"/>
          <w:color w:val="000000"/>
          <w:sz w:val="22"/>
          <w:szCs w:val="22"/>
        </w:rPr>
        <w:t xml:space="preserve">”) is pleased to announce that it has entered into a </w:t>
      </w:r>
      <w:proofErr w:type="spellStart"/>
      <w:r>
        <w:rPr>
          <w:rFonts w:ascii="Calibri" w:hAnsi="Calibri" w:cs="Calibri"/>
          <w:color w:val="000000"/>
          <w:sz w:val="22"/>
          <w:szCs w:val="22"/>
        </w:rPr>
        <w:t>a</w:t>
      </w:r>
      <w:proofErr w:type="spellEnd"/>
      <w:r>
        <w:rPr>
          <w:rFonts w:ascii="Calibri" w:hAnsi="Calibri" w:cs="Calibri"/>
          <w:color w:val="000000"/>
          <w:sz w:val="22"/>
          <w:szCs w:val="22"/>
        </w:rPr>
        <w:t xml:space="preserve"> binding Letter of Intent (LOI) to acquire 100% of the issued and outstanding shares of </w:t>
      </w:r>
      <w:r w:rsidRPr="003E0887">
        <w:rPr>
          <w:rFonts w:ascii="Calibri" w:hAnsi="Calibri" w:cs="Calibri"/>
          <w:sz w:val="22"/>
          <w:szCs w:val="22"/>
        </w:rPr>
        <w:t>eDoxa Inc</w:t>
      </w:r>
      <w:r>
        <w:rPr>
          <w:rFonts w:ascii="Calibri" w:hAnsi="Calibri" w:cs="Calibri"/>
          <w:color w:val="000000"/>
          <w:sz w:val="22"/>
          <w:szCs w:val="22"/>
        </w:rPr>
        <w:t>., (“eDoxa”), an esports company specializing in AI based game scoring which</w:t>
      </w:r>
      <w:r w:rsidR="00C85E53">
        <w:rPr>
          <w:rFonts w:ascii="Calibri" w:hAnsi="Calibri" w:cs="Calibri"/>
          <w:color w:val="000000"/>
          <w:sz w:val="22"/>
          <w:szCs w:val="22"/>
        </w:rPr>
        <w:t xml:space="preserve"> </w:t>
      </w:r>
      <w:r>
        <w:rPr>
          <w:rFonts w:ascii="Calibri" w:hAnsi="Calibri" w:cs="Calibri"/>
          <w:color w:val="000000"/>
          <w:sz w:val="22"/>
          <w:szCs w:val="22"/>
        </w:rPr>
        <w:t>helps to level the playing field among gamers of different skill levels, equalizing the opportunity for gamer</w:t>
      </w:r>
      <w:r w:rsidR="00CA595C">
        <w:rPr>
          <w:rFonts w:ascii="Calibri" w:hAnsi="Calibri" w:cs="Calibri"/>
          <w:color w:val="000000"/>
          <w:sz w:val="22"/>
          <w:szCs w:val="22"/>
        </w:rPr>
        <w:t>s</w:t>
      </w:r>
      <w:r>
        <w:rPr>
          <w:rFonts w:ascii="Calibri" w:hAnsi="Calibri" w:cs="Calibri"/>
          <w:color w:val="000000"/>
          <w:sz w:val="22"/>
          <w:szCs w:val="22"/>
        </w:rPr>
        <w:t xml:space="preserve"> of any skill level to win prizes in tournaments. </w:t>
      </w:r>
    </w:p>
    <w:p w14:paraId="6C0D6540" w14:textId="42AC8747" w:rsidR="00D466BD" w:rsidRDefault="00357A65" w:rsidP="00D466BD">
      <w:pPr>
        <w:pStyle w:val="NormalWeb"/>
        <w:spacing w:before="240" w:after="240"/>
        <w:jc w:val="both"/>
        <w:rPr>
          <w:rFonts w:ascii="Calibri" w:hAnsi="Calibri" w:cs="Calibri"/>
          <w:color w:val="000000"/>
          <w:sz w:val="22"/>
          <w:szCs w:val="22"/>
        </w:rPr>
      </w:pPr>
      <w:r>
        <w:rPr>
          <w:rFonts w:ascii="Calibri" w:hAnsi="Calibri" w:cs="Calibri"/>
          <w:color w:val="000000"/>
          <w:sz w:val="22"/>
          <w:szCs w:val="22"/>
        </w:rPr>
        <w:t xml:space="preserve">Originally founded in 2019, </w:t>
      </w:r>
      <w:proofErr w:type="spellStart"/>
      <w:r>
        <w:rPr>
          <w:rFonts w:ascii="Calibri" w:hAnsi="Calibri" w:cs="Calibri"/>
          <w:color w:val="000000"/>
          <w:sz w:val="22"/>
          <w:szCs w:val="22"/>
        </w:rPr>
        <w:t>eDoxa’s</w:t>
      </w:r>
      <w:proofErr w:type="spellEnd"/>
      <w:r>
        <w:rPr>
          <w:rFonts w:ascii="Calibri" w:hAnsi="Calibri" w:cs="Calibri"/>
          <w:color w:val="000000"/>
          <w:sz w:val="22"/>
          <w:szCs w:val="22"/>
        </w:rPr>
        <w:t xml:space="preserve"> competitions are built around a leaderboard concept where users play within their ranked queue and the scoring system automatically calculates a match score depending on players’ in-game performance.  Importantly, </w:t>
      </w:r>
      <w:proofErr w:type="spellStart"/>
      <w:r>
        <w:rPr>
          <w:rFonts w:ascii="Calibri" w:hAnsi="Calibri" w:cs="Calibri"/>
          <w:color w:val="000000"/>
          <w:sz w:val="22"/>
          <w:szCs w:val="22"/>
        </w:rPr>
        <w:t>eDoxa’s</w:t>
      </w:r>
      <w:proofErr w:type="spellEnd"/>
      <w:r>
        <w:rPr>
          <w:rFonts w:ascii="Calibri" w:hAnsi="Calibri" w:cs="Calibri"/>
          <w:color w:val="000000"/>
          <w:sz w:val="22"/>
          <w:szCs w:val="22"/>
        </w:rPr>
        <w:t xml:space="preserve"> fraud and cheating detection technology is proficient </w:t>
      </w:r>
      <w:proofErr w:type="gramStart"/>
      <w:r>
        <w:rPr>
          <w:rFonts w:ascii="Calibri" w:hAnsi="Calibri" w:cs="Calibri"/>
          <w:color w:val="000000"/>
          <w:sz w:val="22"/>
          <w:szCs w:val="22"/>
        </w:rPr>
        <w:t>at  detecting</w:t>
      </w:r>
      <w:proofErr w:type="gramEnd"/>
      <w:r>
        <w:rPr>
          <w:rFonts w:ascii="Calibri" w:hAnsi="Calibri" w:cs="Calibri"/>
          <w:color w:val="000000"/>
          <w:sz w:val="22"/>
          <w:szCs w:val="22"/>
        </w:rPr>
        <w:t xml:space="preserve"> bot accounts and users that abuse gameplay fairness.  Ensuring fairness of gameplay is increasingly important to </w:t>
      </w:r>
      <w:proofErr w:type="spellStart"/>
      <w:r>
        <w:rPr>
          <w:rFonts w:ascii="Calibri" w:hAnsi="Calibri" w:cs="Calibri"/>
          <w:color w:val="000000"/>
          <w:sz w:val="22"/>
          <w:szCs w:val="22"/>
        </w:rPr>
        <w:t>attacting</w:t>
      </w:r>
      <w:proofErr w:type="spellEnd"/>
      <w:r>
        <w:rPr>
          <w:rFonts w:ascii="Calibri" w:hAnsi="Calibri" w:cs="Calibri"/>
          <w:color w:val="000000"/>
          <w:sz w:val="22"/>
          <w:szCs w:val="22"/>
        </w:rPr>
        <w:t xml:space="preserve"> and retaining gamers.  Once completed, the Company expects the acquisition of eDoxa to improve its ability to host enhanced gameplay, utilizing </w:t>
      </w:r>
      <w:proofErr w:type="spellStart"/>
      <w:r>
        <w:rPr>
          <w:rFonts w:ascii="Calibri" w:hAnsi="Calibri" w:cs="Calibri"/>
          <w:color w:val="000000"/>
          <w:sz w:val="22"/>
          <w:szCs w:val="22"/>
        </w:rPr>
        <w:t>eDoxa’s</w:t>
      </w:r>
      <w:proofErr w:type="spellEnd"/>
      <w:r>
        <w:rPr>
          <w:rFonts w:ascii="Calibri" w:hAnsi="Calibri" w:cs="Calibri"/>
          <w:color w:val="000000"/>
          <w:sz w:val="22"/>
          <w:szCs w:val="22"/>
        </w:rPr>
        <w:t xml:space="preserve"> fairness-based technology. </w:t>
      </w:r>
    </w:p>
    <w:p w14:paraId="58F249F3" w14:textId="6BB43198" w:rsidR="00D466BD" w:rsidRDefault="00357A65" w:rsidP="00D466BD">
      <w:pPr>
        <w:pStyle w:val="NormalWeb"/>
        <w:spacing w:before="240" w:after="240"/>
        <w:jc w:val="both"/>
        <w:rPr>
          <w:rFonts w:ascii="Calibri" w:hAnsi="Calibri" w:cs="Calibri"/>
          <w:color w:val="000000"/>
          <w:sz w:val="22"/>
          <w:szCs w:val="22"/>
        </w:rPr>
      </w:pPr>
      <w:r>
        <w:rPr>
          <w:rFonts w:ascii="Calibri" w:hAnsi="Calibri" w:cs="Calibri"/>
          <w:color w:val="000000"/>
          <w:sz w:val="22"/>
          <w:szCs w:val="22"/>
        </w:rPr>
        <w:t>“eDoxa has built out strong technological features and their AI Scoring System and Smurf detector features enhancing fair game play are significant features and can add significant value to</w:t>
      </w:r>
      <w:r w:rsidR="003D028B">
        <w:rPr>
          <w:rFonts w:ascii="Calibri" w:hAnsi="Calibri" w:cs="Calibri"/>
          <w:color w:val="000000"/>
          <w:sz w:val="22"/>
          <w:szCs w:val="22"/>
        </w:rPr>
        <w:t xml:space="preserve"> </w:t>
      </w:r>
      <w:r>
        <w:rPr>
          <w:rFonts w:ascii="Calibri" w:hAnsi="Calibri" w:cs="Calibri"/>
          <w:color w:val="000000"/>
          <w:sz w:val="22"/>
          <w:szCs w:val="22"/>
        </w:rPr>
        <w:t>Alpha,” said interim CEO, Matthew Schmidt. “Equally important, the pending acquisition of eDoxa is expected to bring to Alpha an experienced team of esports and gaming veterans that will help ensure we are up to date in offering top of the line products and features to our growing userbase.  We will continue to be aggressive in our M&amp;A strategy to compliment our current assets and future growth.”</w:t>
      </w:r>
    </w:p>
    <w:p w14:paraId="620BD94D" w14:textId="77777777" w:rsidR="00D466BD" w:rsidRDefault="00357A65" w:rsidP="00D466BD">
      <w:pPr>
        <w:pStyle w:val="NormalWeb"/>
        <w:spacing w:before="240" w:after="240"/>
        <w:jc w:val="both"/>
        <w:rPr>
          <w:rFonts w:ascii="Calibri" w:hAnsi="Calibri" w:cs="Calibri"/>
          <w:color w:val="000000"/>
          <w:sz w:val="22"/>
          <w:szCs w:val="22"/>
        </w:rPr>
      </w:pPr>
      <w:r>
        <w:rPr>
          <w:rFonts w:ascii="Calibri" w:hAnsi="Calibri" w:cs="Calibri"/>
          <w:color w:val="000000"/>
          <w:sz w:val="22"/>
          <w:szCs w:val="22"/>
        </w:rPr>
        <w:t xml:space="preserve">“Our mission at eDoxa is to help casual gamers compete fairly at their level, while being rewarded for their </w:t>
      </w:r>
      <w:proofErr w:type="gramStart"/>
      <w:r>
        <w:rPr>
          <w:rFonts w:ascii="Calibri" w:hAnsi="Calibri" w:cs="Calibri"/>
          <w:color w:val="000000"/>
          <w:sz w:val="22"/>
          <w:szCs w:val="22"/>
        </w:rPr>
        <w:t>in game</w:t>
      </w:r>
      <w:proofErr w:type="gramEnd"/>
      <w:r>
        <w:rPr>
          <w:rFonts w:ascii="Calibri" w:hAnsi="Calibri" w:cs="Calibri"/>
          <w:color w:val="000000"/>
          <w:sz w:val="22"/>
          <w:szCs w:val="22"/>
        </w:rPr>
        <w:t xml:space="preserve"> performances,” said Roy El-Khouri, co-founder of eDoxa. “The eDoxa team is excited to be joining the experienced group of esports leaders at Alpha, allowing us to put in motion a high growth plan while increasing the pace of technological development.”</w:t>
      </w:r>
    </w:p>
    <w:p w14:paraId="7B9C39A2" w14:textId="77777777" w:rsidR="00D466BD" w:rsidRDefault="00357A65" w:rsidP="00E64FF6">
      <w:pPr>
        <w:pStyle w:val="NormalWeb"/>
        <w:spacing w:before="240" w:after="240"/>
        <w:jc w:val="both"/>
        <w:rPr>
          <w:rFonts w:ascii="Calibri" w:hAnsi="Calibri" w:cs="Calibri"/>
          <w:color w:val="000000"/>
          <w:sz w:val="22"/>
          <w:szCs w:val="22"/>
        </w:rPr>
      </w:pPr>
      <w:r>
        <w:rPr>
          <w:rFonts w:ascii="Calibri" w:hAnsi="Calibri" w:cs="Calibri"/>
          <w:color w:val="000000"/>
          <w:sz w:val="22"/>
          <w:szCs w:val="22"/>
        </w:rPr>
        <w:t xml:space="preserve">The acquisition of eDoxa is subject to regulatory approval and other customary closing conditions.  </w:t>
      </w:r>
    </w:p>
    <w:p w14:paraId="335BF3D0" w14:textId="77777777" w:rsidR="00B20F3A" w:rsidRDefault="00357A65" w:rsidP="002933D9">
      <w:pPr>
        <w:pStyle w:val="NormalWeb"/>
        <w:spacing w:before="240" w:after="240"/>
        <w:jc w:val="both"/>
        <w:rPr>
          <w:color w:val="000000"/>
        </w:rPr>
      </w:pPr>
      <w:r>
        <w:rPr>
          <w:rFonts w:ascii="Calibri" w:hAnsi="Calibri" w:cs="Calibri"/>
          <w:b/>
          <w:bCs/>
          <w:color w:val="000000"/>
          <w:sz w:val="22"/>
          <w:szCs w:val="22"/>
        </w:rPr>
        <w:t>About Alpha Esports Tech Inc.</w:t>
      </w:r>
    </w:p>
    <w:p w14:paraId="69A5450E" w14:textId="77777777" w:rsidR="00B20F3A" w:rsidRDefault="00357A65" w:rsidP="00CE5521">
      <w:pPr>
        <w:pStyle w:val="NormalWeb"/>
        <w:spacing w:before="240" w:beforeAutospacing="0" w:after="240" w:afterAutospacing="0"/>
        <w:jc w:val="both"/>
        <w:rPr>
          <w:color w:val="000000"/>
        </w:rPr>
      </w:pPr>
      <w:r>
        <w:rPr>
          <w:rFonts w:ascii="Calibri" w:hAnsi="Calibri" w:cs="Calibri"/>
          <w:color w:val="000000"/>
          <w:sz w:val="22"/>
          <w:szCs w:val="22"/>
        </w:rPr>
        <w:t xml:space="preserve">Alpha Esports Tech Inc. is a technology company that focuses on emerging industries in esports, mobile gaming, ecommerce and other high growth opportunities. Through a strong portfolio of technology assets and products such as </w:t>
      </w:r>
      <w:proofErr w:type="spellStart"/>
      <w:r>
        <w:rPr>
          <w:rFonts w:ascii="Calibri" w:hAnsi="Calibri" w:cs="Calibri"/>
          <w:color w:val="000000"/>
          <w:sz w:val="22"/>
          <w:szCs w:val="22"/>
        </w:rPr>
        <w:t>GamerzArena</w:t>
      </w:r>
      <w:proofErr w:type="spellEnd"/>
      <w:r>
        <w:rPr>
          <w:rFonts w:ascii="Calibri" w:hAnsi="Calibri" w:cs="Calibri"/>
          <w:color w:val="000000"/>
          <w:sz w:val="22"/>
          <w:szCs w:val="22"/>
        </w:rPr>
        <w:t>, Alpha Esports Tech brings a unique mass-appeal focus to modern gaming platforms. Learn more at:</w:t>
      </w:r>
      <w:r>
        <w:rPr>
          <w:rStyle w:val="Hyperlink"/>
          <w:rFonts w:ascii="Calibri" w:hAnsi="Calibri" w:cs="Calibri"/>
          <w:color w:val="000000"/>
          <w:sz w:val="22"/>
          <w:szCs w:val="22"/>
        </w:rPr>
        <w:t xml:space="preserve"> </w:t>
      </w:r>
      <w:r w:rsidRPr="000E0602">
        <w:rPr>
          <w:rFonts w:ascii="Calibri" w:hAnsi="Calibri" w:cs="Calibri"/>
          <w:sz w:val="22"/>
          <w:szCs w:val="22"/>
        </w:rPr>
        <w:t>www.alphatech.inc</w:t>
      </w:r>
      <w:r>
        <w:rPr>
          <w:rStyle w:val="Hyperlink"/>
          <w:rFonts w:ascii="Calibri" w:hAnsi="Calibri" w:cs="Calibri"/>
          <w:color w:val="000000"/>
          <w:sz w:val="22"/>
          <w:szCs w:val="22"/>
        </w:rPr>
        <w:t xml:space="preserve"> </w:t>
      </w:r>
    </w:p>
    <w:p w14:paraId="045729C5" w14:textId="77777777" w:rsidR="00B20F3A" w:rsidRDefault="00357A65" w:rsidP="00B20F3A">
      <w:pPr>
        <w:pStyle w:val="NormalWeb"/>
        <w:spacing w:before="240" w:beforeAutospacing="0" w:after="240" w:afterAutospacing="0"/>
        <w:jc w:val="both"/>
        <w:rPr>
          <w:color w:val="000000"/>
        </w:rPr>
      </w:pPr>
      <w:r>
        <w:rPr>
          <w:rFonts w:ascii="Calibri" w:hAnsi="Calibri" w:cs="Calibri"/>
          <w:b/>
          <w:bCs/>
          <w:color w:val="000000"/>
          <w:sz w:val="22"/>
          <w:szCs w:val="22"/>
        </w:rPr>
        <w:t>Contact:</w:t>
      </w:r>
    </w:p>
    <w:p w14:paraId="1EEA0B76" w14:textId="77777777" w:rsidR="00C228B7" w:rsidRDefault="00357A65" w:rsidP="00C228B7">
      <w:pPr>
        <w:pStyle w:val="NoSpacing"/>
      </w:pPr>
      <w:r>
        <w:lastRenderedPageBreak/>
        <w:t xml:space="preserve">Investor Relations: </w:t>
      </w:r>
      <w:r w:rsidRPr="003D7065">
        <w:t>ir@alphatech.inc</w:t>
      </w:r>
      <w:r>
        <w:t xml:space="preserve"> - 604 359 1256</w:t>
      </w:r>
    </w:p>
    <w:p w14:paraId="13C67DBE" w14:textId="77777777" w:rsidR="00B20F3A" w:rsidRDefault="00357A65" w:rsidP="00C228B7">
      <w:pPr>
        <w:pStyle w:val="NoSpacing"/>
      </w:pPr>
      <w:r>
        <w:t xml:space="preserve">Media and Public Relations: - </w:t>
      </w:r>
      <w:r w:rsidRPr="003D7065">
        <w:t>media@alphatech.inc</w:t>
      </w:r>
      <w:r>
        <w:t xml:space="preserve"> </w:t>
      </w:r>
    </w:p>
    <w:p w14:paraId="40D2ADA0" w14:textId="77777777" w:rsidR="00C228B7" w:rsidRPr="00C228B7" w:rsidRDefault="00390E3C" w:rsidP="00C228B7">
      <w:pPr>
        <w:pStyle w:val="NoSpacing"/>
        <w:rPr>
          <w:rFonts w:ascii="Times New Roman" w:hAnsi="Times New Roman" w:cs="Times New Roman"/>
          <w:sz w:val="24"/>
          <w:szCs w:val="24"/>
        </w:rPr>
      </w:pPr>
    </w:p>
    <w:p w14:paraId="6D5BB787" w14:textId="77777777" w:rsidR="00C228B7" w:rsidRPr="00C228B7" w:rsidRDefault="00357A65" w:rsidP="00C228B7">
      <w:pPr>
        <w:pStyle w:val="Body"/>
        <w:contextualSpacing/>
        <w:jc w:val="both"/>
        <w:rPr>
          <w:rFonts w:ascii="Calibri" w:hAnsi="Calibri" w:cs="Calibri"/>
          <w:b/>
          <w:bCs/>
          <w:lang w:val="en-US"/>
        </w:rPr>
      </w:pPr>
      <w:r w:rsidRPr="00C228B7">
        <w:rPr>
          <w:rFonts w:ascii="Calibri" w:hAnsi="Calibri" w:cs="Calibri"/>
          <w:b/>
          <w:bCs/>
          <w:lang w:val="en-US"/>
        </w:rPr>
        <w:t>On Behalf of The Board of Directors</w:t>
      </w:r>
    </w:p>
    <w:p w14:paraId="729C9F2A" w14:textId="77777777" w:rsidR="00C228B7" w:rsidRPr="00C228B7" w:rsidRDefault="00357A65" w:rsidP="00C228B7">
      <w:pPr>
        <w:pStyle w:val="Body"/>
        <w:contextualSpacing/>
        <w:jc w:val="both"/>
        <w:rPr>
          <w:rFonts w:ascii="Calibri" w:hAnsi="Calibri" w:cs="Calibri"/>
          <w:b/>
          <w:bCs/>
          <w:lang w:val="en-US"/>
        </w:rPr>
      </w:pPr>
      <w:r>
        <w:rPr>
          <w:rFonts w:ascii="Calibri" w:hAnsi="Calibri" w:cs="Calibri"/>
          <w:b/>
          <w:bCs/>
          <w:lang w:val="en-US"/>
        </w:rPr>
        <w:t>John Anastas</w:t>
      </w:r>
    </w:p>
    <w:p w14:paraId="7D930876" w14:textId="77777777" w:rsidR="00C228B7" w:rsidRPr="00C228B7" w:rsidRDefault="00357A65" w:rsidP="00C228B7">
      <w:pPr>
        <w:pStyle w:val="Body"/>
        <w:contextualSpacing/>
        <w:jc w:val="both"/>
        <w:rPr>
          <w:rFonts w:ascii="Calibri" w:hAnsi="Calibri" w:cs="Calibri"/>
          <w:b/>
          <w:bCs/>
          <w:lang w:val="en-US"/>
        </w:rPr>
      </w:pPr>
      <w:r>
        <w:rPr>
          <w:rFonts w:ascii="Calibri" w:hAnsi="Calibri" w:cs="Calibri"/>
          <w:b/>
          <w:bCs/>
          <w:lang w:val="en-US"/>
        </w:rPr>
        <w:t>Chairman and Director</w:t>
      </w:r>
    </w:p>
    <w:p w14:paraId="0CB8A0F7" w14:textId="77777777" w:rsidR="00B20F3A" w:rsidRDefault="00357A65" w:rsidP="00B20F3A">
      <w:pPr>
        <w:pStyle w:val="NormalWeb"/>
        <w:spacing w:before="240" w:beforeAutospacing="0" w:after="240" w:afterAutospacing="0"/>
        <w:jc w:val="both"/>
        <w:rPr>
          <w:color w:val="000000"/>
        </w:rPr>
      </w:pPr>
      <w:r>
        <w:rPr>
          <w:rFonts w:ascii="Calibri" w:hAnsi="Calibri" w:cs="Calibri"/>
          <w:b/>
          <w:bCs/>
          <w:color w:val="000000"/>
          <w:sz w:val="22"/>
          <w:szCs w:val="22"/>
        </w:rPr>
        <w:t>Forward Looking Statement</w:t>
      </w:r>
    </w:p>
    <w:p w14:paraId="2203CE38" w14:textId="77777777" w:rsidR="00B20F3A" w:rsidRDefault="00357A65" w:rsidP="00B20F3A">
      <w:pPr>
        <w:pStyle w:val="NormalWeb"/>
        <w:spacing w:before="240" w:beforeAutospacing="0" w:after="240" w:afterAutospacing="0"/>
        <w:jc w:val="both"/>
        <w:rPr>
          <w:rFonts w:asciiTheme="minorHAnsi" w:hAnsiTheme="minorHAnsi" w:cstheme="minorHAnsi"/>
          <w:i/>
          <w:sz w:val="22"/>
          <w:lang w:val="en-US"/>
        </w:rPr>
      </w:pPr>
      <w:r w:rsidRPr="00431E8B">
        <w:rPr>
          <w:rFonts w:asciiTheme="minorHAnsi" w:hAnsiTheme="minorHAnsi" w:cstheme="minorHAnsi"/>
          <w:i/>
          <w:sz w:val="22"/>
          <w:lang w:val="en-US"/>
        </w:rPr>
        <w:t>This news release contains "forward-looking information" within the meaning of applicable securities laws relating to statements regarding the Company's business, products and future of the Company’s business</w:t>
      </w:r>
      <w:r>
        <w:rPr>
          <w:rFonts w:asciiTheme="minorHAnsi" w:hAnsiTheme="minorHAnsi" w:cstheme="minorHAnsi"/>
          <w:i/>
          <w:sz w:val="22"/>
          <w:lang w:val="en-US"/>
        </w:rPr>
        <w:t>, and the anticipated completion of the acquisition of eDoxa and potential benefits thereof</w:t>
      </w:r>
      <w:r w:rsidRPr="00431E8B">
        <w:rPr>
          <w:rFonts w:asciiTheme="minorHAnsi" w:hAnsiTheme="minorHAnsi" w:cstheme="minorHAnsi"/>
          <w:i/>
          <w:sz w:val="22"/>
          <w:lang w:val="en-US"/>
        </w:rPr>
        <w:t>. Although the Company believes that the expectations reflected in the forward-looking information are reasonable, there can be no assurance that such expectations will prove to be correct. Readers are cautioned not to place undue reliance on forward-looking information. Such forward-looking statements are subject to risks and uncertainties that may cause actual results, performance and developments to differ materially from those contemplated by these statements depending on, among other things, the risks that the Company's products and plan will vary from those stated in this news release</w:t>
      </w:r>
      <w:r>
        <w:rPr>
          <w:rFonts w:asciiTheme="minorHAnsi" w:hAnsiTheme="minorHAnsi" w:cstheme="minorHAnsi"/>
          <w:i/>
          <w:sz w:val="22"/>
          <w:lang w:val="en-US"/>
        </w:rPr>
        <w:t>, that</w:t>
      </w:r>
      <w:r w:rsidRPr="00431E8B">
        <w:rPr>
          <w:rFonts w:asciiTheme="minorHAnsi" w:hAnsiTheme="minorHAnsi" w:cstheme="minorHAnsi"/>
          <w:i/>
          <w:sz w:val="22"/>
          <w:lang w:val="en-US"/>
        </w:rPr>
        <w:t xml:space="preserve"> the Company may not be able to carry out its business plans as expected</w:t>
      </w:r>
      <w:r>
        <w:rPr>
          <w:rFonts w:asciiTheme="minorHAnsi" w:hAnsiTheme="minorHAnsi" w:cstheme="minorHAnsi"/>
          <w:i/>
          <w:sz w:val="22"/>
          <w:lang w:val="en-US"/>
        </w:rPr>
        <w:t xml:space="preserve">, that the acquisition of eDoxa will not be completed as contemplated or at all, and that the expected benefits of the acquisition may not materialize as expected or at all </w:t>
      </w:r>
      <w:r w:rsidRPr="00431E8B">
        <w:rPr>
          <w:rFonts w:asciiTheme="minorHAnsi" w:hAnsiTheme="minorHAnsi" w:cstheme="minorHAnsi"/>
          <w:i/>
          <w:sz w:val="22"/>
          <w:lang w:val="en-US"/>
        </w:rPr>
        <w:t>. Except as required by law, the Company expressly disclaims any obligation and does not intend to update any forward-looking statements or forward-looking information in this news release. Although the Company believes that the expectations reflected in the forward-looking information are reasonable, there can be no assurance that such expectations will prove to be correct. The statements in this news release are made as of the date of this release.</w:t>
      </w:r>
    </w:p>
    <w:p w14:paraId="070AED73" w14:textId="77777777" w:rsidR="00431E8B" w:rsidRPr="00431E8B" w:rsidRDefault="00357A65" w:rsidP="00431E8B">
      <w:pPr>
        <w:pStyle w:val="NormalWeb"/>
        <w:spacing w:before="240" w:beforeAutospacing="0" w:after="240" w:afterAutospacing="0"/>
        <w:jc w:val="center"/>
        <w:rPr>
          <w:rFonts w:asciiTheme="minorHAnsi" w:hAnsiTheme="minorHAnsi" w:cstheme="minorHAnsi"/>
          <w:b/>
          <w:i/>
          <w:sz w:val="22"/>
        </w:rPr>
      </w:pPr>
      <w:r>
        <w:rPr>
          <w:rFonts w:asciiTheme="minorHAnsi" w:hAnsiTheme="minorHAnsi" w:cstheme="minorHAnsi"/>
          <w:b/>
          <w:i/>
          <w:sz w:val="22"/>
        </w:rPr>
        <w:t>The CSE has not reviewed, approved or disapproved the content of this press release</w:t>
      </w:r>
    </w:p>
    <w:p w14:paraId="4944039B" w14:textId="77777777" w:rsidR="002A62AF" w:rsidRPr="00E3341C" w:rsidRDefault="00390E3C" w:rsidP="00E3341C"/>
    <w:sectPr w:rsidR="002A62AF" w:rsidRPr="00E3341C" w:rsidSect="00E044B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0947" w14:textId="77777777" w:rsidR="00390E3C" w:rsidRDefault="00390E3C">
      <w:pPr>
        <w:spacing w:after="0" w:line="240" w:lineRule="auto"/>
      </w:pPr>
      <w:r>
        <w:separator/>
      </w:r>
    </w:p>
  </w:endnote>
  <w:endnote w:type="continuationSeparator" w:id="0">
    <w:p w14:paraId="2EDA4199" w14:textId="77777777" w:rsidR="00390E3C" w:rsidRDefault="0039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D0A68" w14:paraId="482541EE" w14:textId="77777777" w:rsidTr="00112781">
      <w:tc>
        <w:tcPr>
          <w:tcW w:w="3120" w:type="dxa"/>
          <w:vAlign w:val="bottom"/>
        </w:tcPr>
        <w:p w14:paraId="2E152E1F" w14:textId="77777777" w:rsidR="0059530F" w:rsidRDefault="00390E3C" w:rsidP="00112781">
          <w:pPr>
            <w:pStyle w:val="Header"/>
            <w:ind w:left="-115"/>
          </w:pPr>
        </w:p>
      </w:tc>
      <w:tc>
        <w:tcPr>
          <w:tcW w:w="3120" w:type="dxa"/>
        </w:tcPr>
        <w:p w14:paraId="7D97291C" w14:textId="77777777" w:rsidR="0059530F" w:rsidRDefault="00390E3C" w:rsidP="2DFCB732">
          <w:pPr>
            <w:pStyle w:val="Header"/>
            <w:jc w:val="center"/>
          </w:pPr>
        </w:p>
      </w:tc>
      <w:tc>
        <w:tcPr>
          <w:tcW w:w="3120" w:type="dxa"/>
          <w:vAlign w:val="bottom"/>
        </w:tcPr>
        <w:p w14:paraId="2B110CD0" w14:textId="77777777" w:rsidR="0059530F" w:rsidRDefault="00390E3C" w:rsidP="00112781">
          <w:pPr>
            <w:pStyle w:val="Header"/>
            <w:ind w:right="-115"/>
            <w:jc w:val="right"/>
          </w:pPr>
        </w:p>
      </w:tc>
    </w:tr>
  </w:tbl>
  <w:p w14:paraId="585F3468" w14:textId="77777777" w:rsidR="002A488D" w:rsidRDefault="00357A65" w:rsidP="002A488D">
    <w:pPr>
      <w:pStyle w:val="Footer"/>
      <w:jc w:val="center"/>
    </w:pPr>
    <w:r>
      <w:t xml:space="preserve"> </w:t>
    </w:r>
  </w:p>
  <w:p w14:paraId="576A57AA" w14:textId="77777777" w:rsidR="002A488D" w:rsidRDefault="00390E3C" w:rsidP="002A488D">
    <w:pPr>
      <w:pStyle w:val="Footer"/>
      <w:jc w:val="center"/>
    </w:pPr>
  </w:p>
  <w:p w14:paraId="25B20574" w14:textId="77777777" w:rsidR="001B1519" w:rsidRDefault="00357A65" w:rsidP="002A488D">
    <w:pPr>
      <w:pStyle w:val="Footer"/>
      <w:jc w:val="center"/>
    </w:pPr>
    <w:r>
      <w:rPr>
        <w:noProof/>
      </w:rPr>
      <w:drawing>
        <wp:inline distT="0" distB="0" distL="0" distR="0" wp14:anchorId="6464D75A" wp14:editId="0BA68C70">
          <wp:extent cx="167640" cy="167640"/>
          <wp:effectExtent l="0" t="0" r="3810" b="3810"/>
          <wp:docPr id="21" name="Picture 21" descr="My Passport:ANES (Alpha North Esports &amp; Entertainment):ALPHA NORTH Letter head template:_OLD:images:Other-Logos2_01.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y Passport:ANES (Alpha North Esports &amp; Entertainment):ALPHA NORTH Letter head template:_OLD:images:Other-Logos2_01.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noProof/>
      </w:rPr>
      <w:drawing>
        <wp:inline distT="0" distB="0" distL="0" distR="0" wp14:anchorId="0F665804" wp14:editId="644B5530">
          <wp:extent cx="205740" cy="186360"/>
          <wp:effectExtent l="0" t="0" r="3810" b="4445"/>
          <wp:docPr id="22" name="Picture 22" descr="My Passport:ANES (Alpha North Esports &amp; Entertainment):ALPHA NORTH Letter head template:_OLD:images:Other-Logos2_02.png">
            <a:hlinkClick xmlns:a="http://schemas.openxmlformats.org/drawingml/2006/main" r:id="" tooltip="https://twitter.com/anorthespor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y Passport:ANES (Alpha North Esports &amp; Entertainment):ALPHA NORTH Letter head template:_OLD:images:Other-Logos2_02.png">
                    <a:hlinkClick r:id="rId3" tooltip="https://twitter.com/anorthesports"/>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06420" cy="186976"/>
                  </a:xfrm>
                  <a:prstGeom prst="rect">
                    <a:avLst/>
                  </a:prstGeom>
                  <a:noFill/>
                  <a:ln>
                    <a:noFill/>
                  </a:ln>
                </pic:spPr>
              </pic:pic>
            </a:graphicData>
          </a:graphic>
        </wp:inline>
      </w:drawing>
    </w:r>
    <w:r>
      <w:rPr>
        <w:noProof/>
      </w:rPr>
      <w:drawing>
        <wp:inline distT="0" distB="0" distL="0" distR="0" wp14:anchorId="390FF412" wp14:editId="34132404">
          <wp:extent cx="164902" cy="167583"/>
          <wp:effectExtent l="0" t="0" r="6985" b="4445"/>
          <wp:docPr id="25" name="Picture 25" descr="My Passport:ANES (Alpha North Esports &amp; Entertainment):ALPHA NORTH Letter head template:_OLD:images:Other-Logos2_06.png">
            <a:hlinkClick xmlns:a="http://schemas.openxmlformats.org/drawingml/2006/main" r:id="" tooltip="https://www.twitch.tv/alphanation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My Passport:ANES (Alpha North Esports &amp; Entertainment):ALPHA NORTH Letter head template:_OLD:images:Other-Logos2_06.png">
                    <a:hlinkClick r:id="rId5" tooltip="https://www.twitch.tv/alphanation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4936" cy="167618"/>
                  </a:xfrm>
                  <a:prstGeom prst="rect">
                    <a:avLst/>
                  </a:prstGeom>
                  <a:noFill/>
                  <a:ln>
                    <a:noFill/>
                  </a:ln>
                </pic:spPr>
              </pic:pic>
            </a:graphicData>
          </a:graphic>
        </wp:inline>
      </w:drawing>
    </w:r>
  </w:p>
  <w:p w14:paraId="3987EDCF" w14:textId="5ECF1A7E" w:rsidR="001B1519" w:rsidRDefault="0039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EB1D" w14:textId="77777777" w:rsidR="00052E45" w:rsidRPr="00063370" w:rsidRDefault="00357A65" w:rsidP="005420D0">
    <w:pPr>
      <w:pStyle w:val="Footer"/>
      <w:jc w:val="center"/>
      <w:rPr>
        <w:color w:val="000000"/>
      </w:rPr>
    </w:pPr>
    <w:r w:rsidRPr="00063370">
      <w:rPr>
        <w:color w:val="000000" w:themeColor="text1"/>
      </w:rPr>
      <w:t xml:space="preserve"> </w:t>
    </w:r>
  </w:p>
  <w:p w14:paraId="7145944B" w14:textId="77777777" w:rsidR="001B1519" w:rsidRDefault="00357A65" w:rsidP="0029483A">
    <w:pPr>
      <w:pStyle w:val="Footer"/>
      <w:jc w:val="center"/>
      <w:rPr>
        <w:color w:val="000000"/>
      </w:rPr>
    </w:pPr>
    <w:r w:rsidRPr="00063370">
      <w:rPr>
        <w:noProof/>
        <w:color w:val="000000" w:themeColor="text1"/>
      </w:rPr>
      <w:drawing>
        <wp:inline distT="0" distB="0" distL="0" distR="0" wp14:anchorId="6B6B0501" wp14:editId="03ABDB3F">
          <wp:extent cx="167640" cy="167640"/>
          <wp:effectExtent l="0" t="0" r="3810" b="3810"/>
          <wp:docPr id="5" name="Picture 5" descr="My Passport:ANES (Alpha North Esports &amp; Entertainment):ALPHA NORTH Letter head template:_OLD:images:Other-Logos2_01.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y Passport:ANES (Alpha North Esports &amp; Entertainment):ALPHA NORTH Letter head template:_OLD:images:Other-Logos2_01.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Pr="00063370">
      <w:rPr>
        <w:noProof/>
        <w:color w:val="000000" w:themeColor="text1"/>
      </w:rPr>
      <w:drawing>
        <wp:inline distT="0" distB="0" distL="0" distR="0" wp14:anchorId="7306B84E" wp14:editId="63D97FEB">
          <wp:extent cx="205740" cy="186360"/>
          <wp:effectExtent l="0" t="0" r="3810" b="4445"/>
          <wp:docPr id="6" name="Picture 6" descr="My Passport:ANES (Alpha North Esports &amp; Entertainment):ALPHA NORTH Letter head template:_OLD:images:Other-Logos2_02.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y Passport:ANES (Alpha North Esports &amp; Entertainment):ALPHA NORTH Letter head template:_OLD:images:Other-Logos2_02.pn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06420" cy="186976"/>
                  </a:xfrm>
                  <a:prstGeom prst="rect">
                    <a:avLst/>
                  </a:prstGeom>
                  <a:noFill/>
                  <a:ln>
                    <a:noFill/>
                  </a:ln>
                </pic:spPr>
              </pic:pic>
            </a:graphicData>
          </a:graphic>
        </wp:inline>
      </w:drawing>
    </w:r>
    <w:r w:rsidRPr="00063370">
      <w:rPr>
        <w:noProof/>
        <w:color w:val="000000" w:themeColor="text1"/>
      </w:rPr>
      <w:drawing>
        <wp:inline distT="0" distB="0" distL="0" distR="0" wp14:anchorId="2A0D56AE" wp14:editId="5CC311CC">
          <wp:extent cx="164902" cy="167583"/>
          <wp:effectExtent l="0" t="0" r="6985" b="4445"/>
          <wp:docPr id="11" name="Picture 11" descr="My Passport:ANES (Alpha North Esports &amp; Entertainment):ALPHA NORTH Letter head template:_OLD:images:Other-Logos2_06.png">
            <a:hlinkClick xmlns:a="http://schemas.openxmlformats.org/drawingml/2006/main" r:id="" tooltip="https://www.twitch.tv/alphanation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y Passport:ANES (Alpha North Esports &amp; Entertainment):ALPHA NORTH Letter head template:_OLD:images:Other-Logos2_06.png">
                    <a:hlinkClick r:id="rId5" tooltip="https://www.twitch.tv/alphanation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4936" cy="167618"/>
                  </a:xfrm>
                  <a:prstGeom prst="rect">
                    <a:avLst/>
                  </a:prstGeom>
                  <a:noFill/>
                  <a:ln>
                    <a:noFill/>
                  </a:ln>
                </pic:spPr>
              </pic:pic>
            </a:graphicData>
          </a:graphic>
        </wp:inline>
      </w:drawing>
    </w:r>
  </w:p>
  <w:p w14:paraId="1556FC82" w14:textId="41728A4C" w:rsidR="001B1519" w:rsidRDefault="0039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19A3" w14:textId="77777777" w:rsidR="00390E3C" w:rsidRDefault="00390E3C">
      <w:pPr>
        <w:spacing w:after="0" w:line="240" w:lineRule="auto"/>
      </w:pPr>
      <w:r>
        <w:separator/>
      </w:r>
    </w:p>
  </w:footnote>
  <w:footnote w:type="continuationSeparator" w:id="0">
    <w:p w14:paraId="1F5E283C" w14:textId="77777777" w:rsidR="00390E3C" w:rsidRDefault="00390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D0A68" w14:paraId="203BA145" w14:textId="77777777" w:rsidTr="2DFCB732">
      <w:tc>
        <w:tcPr>
          <w:tcW w:w="3120" w:type="dxa"/>
        </w:tcPr>
        <w:p w14:paraId="38799683" w14:textId="77777777" w:rsidR="0059530F" w:rsidRDefault="00390E3C" w:rsidP="2DFCB732">
          <w:pPr>
            <w:pStyle w:val="Header"/>
            <w:ind w:left="-115"/>
          </w:pPr>
        </w:p>
      </w:tc>
      <w:tc>
        <w:tcPr>
          <w:tcW w:w="3120" w:type="dxa"/>
        </w:tcPr>
        <w:p w14:paraId="2B8FEC65" w14:textId="77777777" w:rsidR="0059530F" w:rsidRDefault="00390E3C" w:rsidP="2DFCB732">
          <w:pPr>
            <w:pStyle w:val="Header"/>
          </w:pPr>
        </w:p>
      </w:tc>
      <w:tc>
        <w:tcPr>
          <w:tcW w:w="3120" w:type="dxa"/>
        </w:tcPr>
        <w:p w14:paraId="4B6C9923" w14:textId="77777777" w:rsidR="0059530F" w:rsidRDefault="00390E3C" w:rsidP="2DFCB732">
          <w:pPr>
            <w:pStyle w:val="Header"/>
            <w:ind w:right="-115"/>
          </w:pPr>
        </w:p>
      </w:tc>
    </w:tr>
  </w:tbl>
  <w:p w14:paraId="2AA68778" w14:textId="77777777" w:rsidR="0059530F" w:rsidRDefault="00390E3C" w:rsidP="2DFCB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FA6E" w14:textId="77777777" w:rsidR="0059530F" w:rsidRPr="00F51D7A" w:rsidRDefault="00357A65" w:rsidP="00D83589">
    <w:pPr>
      <w:pStyle w:val="Header"/>
      <w:jc w:val="center"/>
      <w:rPr>
        <w:b/>
      </w:rPr>
    </w:pPr>
    <w:r>
      <w:rPr>
        <w:b/>
        <w:noProof/>
        <w:color w:val="000000" w:themeColor="text1"/>
      </w:rPr>
      <w:drawing>
        <wp:inline distT="0" distB="0" distL="0" distR="0" wp14:anchorId="4D99E613" wp14:editId="241C440A">
          <wp:extent cx="8763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630BC"/>
    <w:multiLevelType w:val="multilevel"/>
    <w:tmpl w:val="B114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9214D"/>
    <w:multiLevelType w:val="hybridMultilevel"/>
    <w:tmpl w:val="E58A6F84"/>
    <w:lvl w:ilvl="0" w:tplc="1E26DC7C">
      <w:start w:val="1"/>
      <w:numFmt w:val="bullet"/>
      <w:lvlText w:val=""/>
      <w:lvlJc w:val="left"/>
      <w:pPr>
        <w:ind w:left="765" w:hanging="360"/>
      </w:pPr>
      <w:rPr>
        <w:rFonts w:ascii="Symbol" w:hAnsi="Symbol" w:hint="default"/>
      </w:rPr>
    </w:lvl>
    <w:lvl w:ilvl="1" w:tplc="3E245A3E" w:tentative="1">
      <w:start w:val="1"/>
      <w:numFmt w:val="bullet"/>
      <w:lvlText w:val="o"/>
      <w:lvlJc w:val="left"/>
      <w:pPr>
        <w:ind w:left="1485" w:hanging="360"/>
      </w:pPr>
      <w:rPr>
        <w:rFonts w:ascii="Courier New" w:hAnsi="Courier New" w:cs="Courier New" w:hint="default"/>
      </w:rPr>
    </w:lvl>
    <w:lvl w:ilvl="2" w:tplc="7452EDEE" w:tentative="1">
      <w:start w:val="1"/>
      <w:numFmt w:val="bullet"/>
      <w:lvlText w:val=""/>
      <w:lvlJc w:val="left"/>
      <w:pPr>
        <w:ind w:left="2205" w:hanging="360"/>
      </w:pPr>
      <w:rPr>
        <w:rFonts w:ascii="Wingdings" w:hAnsi="Wingdings" w:hint="default"/>
      </w:rPr>
    </w:lvl>
    <w:lvl w:ilvl="3" w:tplc="53E84D54" w:tentative="1">
      <w:start w:val="1"/>
      <w:numFmt w:val="bullet"/>
      <w:lvlText w:val=""/>
      <w:lvlJc w:val="left"/>
      <w:pPr>
        <w:ind w:left="2925" w:hanging="360"/>
      </w:pPr>
      <w:rPr>
        <w:rFonts w:ascii="Symbol" w:hAnsi="Symbol" w:hint="default"/>
      </w:rPr>
    </w:lvl>
    <w:lvl w:ilvl="4" w:tplc="1930C9F4" w:tentative="1">
      <w:start w:val="1"/>
      <w:numFmt w:val="bullet"/>
      <w:lvlText w:val="o"/>
      <w:lvlJc w:val="left"/>
      <w:pPr>
        <w:ind w:left="3645" w:hanging="360"/>
      </w:pPr>
      <w:rPr>
        <w:rFonts w:ascii="Courier New" w:hAnsi="Courier New" w:cs="Courier New" w:hint="default"/>
      </w:rPr>
    </w:lvl>
    <w:lvl w:ilvl="5" w:tplc="40B016D4" w:tentative="1">
      <w:start w:val="1"/>
      <w:numFmt w:val="bullet"/>
      <w:lvlText w:val=""/>
      <w:lvlJc w:val="left"/>
      <w:pPr>
        <w:ind w:left="4365" w:hanging="360"/>
      </w:pPr>
      <w:rPr>
        <w:rFonts w:ascii="Wingdings" w:hAnsi="Wingdings" w:hint="default"/>
      </w:rPr>
    </w:lvl>
    <w:lvl w:ilvl="6" w:tplc="014ABD26" w:tentative="1">
      <w:start w:val="1"/>
      <w:numFmt w:val="bullet"/>
      <w:lvlText w:val=""/>
      <w:lvlJc w:val="left"/>
      <w:pPr>
        <w:ind w:left="5085" w:hanging="360"/>
      </w:pPr>
      <w:rPr>
        <w:rFonts w:ascii="Symbol" w:hAnsi="Symbol" w:hint="default"/>
      </w:rPr>
    </w:lvl>
    <w:lvl w:ilvl="7" w:tplc="D72422D6" w:tentative="1">
      <w:start w:val="1"/>
      <w:numFmt w:val="bullet"/>
      <w:lvlText w:val="o"/>
      <w:lvlJc w:val="left"/>
      <w:pPr>
        <w:ind w:left="5805" w:hanging="360"/>
      </w:pPr>
      <w:rPr>
        <w:rFonts w:ascii="Courier New" w:hAnsi="Courier New" w:cs="Courier New" w:hint="default"/>
      </w:rPr>
    </w:lvl>
    <w:lvl w:ilvl="8" w:tplc="BFCA5EB2" w:tentative="1">
      <w:start w:val="1"/>
      <w:numFmt w:val="bullet"/>
      <w:lvlText w:val=""/>
      <w:lvlJc w:val="left"/>
      <w:pPr>
        <w:ind w:left="6525" w:hanging="360"/>
      </w:pPr>
      <w:rPr>
        <w:rFonts w:ascii="Wingdings" w:hAnsi="Wingdings" w:hint="default"/>
      </w:rPr>
    </w:lvl>
  </w:abstractNum>
  <w:abstractNum w:abstractNumId="2" w15:restartNumberingAfterBreak="0">
    <w:nsid w:val="42D06213"/>
    <w:multiLevelType w:val="multilevel"/>
    <w:tmpl w:val="61B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1642A"/>
    <w:multiLevelType w:val="hybridMultilevel"/>
    <w:tmpl w:val="CC2E8966"/>
    <w:lvl w:ilvl="0" w:tplc="A3AA3A50">
      <w:start w:val="1"/>
      <w:numFmt w:val="bullet"/>
      <w:lvlText w:val=""/>
      <w:lvlJc w:val="left"/>
      <w:pPr>
        <w:ind w:left="720" w:hanging="360"/>
      </w:pPr>
      <w:rPr>
        <w:rFonts w:ascii="Symbol" w:hAnsi="Symbol" w:hint="default"/>
      </w:rPr>
    </w:lvl>
    <w:lvl w:ilvl="1" w:tplc="A1D4DD7A" w:tentative="1">
      <w:start w:val="1"/>
      <w:numFmt w:val="bullet"/>
      <w:lvlText w:val="o"/>
      <w:lvlJc w:val="left"/>
      <w:pPr>
        <w:ind w:left="1440" w:hanging="360"/>
      </w:pPr>
      <w:rPr>
        <w:rFonts w:ascii="Courier New" w:hAnsi="Courier New" w:cs="Courier New" w:hint="default"/>
      </w:rPr>
    </w:lvl>
    <w:lvl w:ilvl="2" w:tplc="2B526608" w:tentative="1">
      <w:start w:val="1"/>
      <w:numFmt w:val="bullet"/>
      <w:lvlText w:val=""/>
      <w:lvlJc w:val="left"/>
      <w:pPr>
        <w:ind w:left="2160" w:hanging="360"/>
      </w:pPr>
      <w:rPr>
        <w:rFonts w:ascii="Wingdings" w:hAnsi="Wingdings" w:hint="default"/>
      </w:rPr>
    </w:lvl>
    <w:lvl w:ilvl="3" w:tplc="9A58B0A4" w:tentative="1">
      <w:start w:val="1"/>
      <w:numFmt w:val="bullet"/>
      <w:lvlText w:val=""/>
      <w:lvlJc w:val="left"/>
      <w:pPr>
        <w:ind w:left="2880" w:hanging="360"/>
      </w:pPr>
      <w:rPr>
        <w:rFonts w:ascii="Symbol" w:hAnsi="Symbol" w:hint="default"/>
      </w:rPr>
    </w:lvl>
    <w:lvl w:ilvl="4" w:tplc="F878C3C6" w:tentative="1">
      <w:start w:val="1"/>
      <w:numFmt w:val="bullet"/>
      <w:lvlText w:val="o"/>
      <w:lvlJc w:val="left"/>
      <w:pPr>
        <w:ind w:left="3600" w:hanging="360"/>
      </w:pPr>
      <w:rPr>
        <w:rFonts w:ascii="Courier New" w:hAnsi="Courier New" w:cs="Courier New" w:hint="default"/>
      </w:rPr>
    </w:lvl>
    <w:lvl w:ilvl="5" w:tplc="38EE8BA8" w:tentative="1">
      <w:start w:val="1"/>
      <w:numFmt w:val="bullet"/>
      <w:lvlText w:val=""/>
      <w:lvlJc w:val="left"/>
      <w:pPr>
        <w:ind w:left="4320" w:hanging="360"/>
      </w:pPr>
      <w:rPr>
        <w:rFonts w:ascii="Wingdings" w:hAnsi="Wingdings" w:hint="default"/>
      </w:rPr>
    </w:lvl>
    <w:lvl w:ilvl="6" w:tplc="19B22218" w:tentative="1">
      <w:start w:val="1"/>
      <w:numFmt w:val="bullet"/>
      <w:lvlText w:val=""/>
      <w:lvlJc w:val="left"/>
      <w:pPr>
        <w:ind w:left="5040" w:hanging="360"/>
      </w:pPr>
      <w:rPr>
        <w:rFonts w:ascii="Symbol" w:hAnsi="Symbol" w:hint="default"/>
      </w:rPr>
    </w:lvl>
    <w:lvl w:ilvl="7" w:tplc="461E7A28" w:tentative="1">
      <w:start w:val="1"/>
      <w:numFmt w:val="bullet"/>
      <w:lvlText w:val="o"/>
      <w:lvlJc w:val="left"/>
      <w:pPr>
        <w:ind w:left="5760" w:hanging="360"/>
      </w:pPr>
      <w:rPr>
        <w:rFonts w:ascii="Courier New" w:hAnsi="Courier New" w:cs="Courier New" w:hint="default"/>
      </w:rPr>
    </w:lvl>
    <w:lvl w:ilvl="8" w:tplc="CD303C5C"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8"/>
    <w:rsid w:val="000206F2"/>
    <w:rsid w:val="00275118"/>
    <w:rsid w:val="00357A65"/>
    <w:rsid w:val="00363CA9"/>
    <w:rsid w:val="00390E3C"/>
    <w:rsid w:val="003D028B"/>
    <w:rsid w:val="0045628B"/>
    <w:rsid w:val="00591CD4"/>
    <w:rsid w:val="008C1BAC"/>
    <w:rsid w:val="00BD5664"/>
    <w:rsid w:val="00C85E53"/>
    <w:rsid w:val="00CA595C"/>
    <w:rsid w:val="00CB7B41"/>
    <w:rsid w:val="00EE1346"/>
    <w:rsid w:val="00FD0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4BF32"/>
  <w15:docId w15:val="{9BA4B0C3-1726-4566-BC6E-7BE4C9E4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4A3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0092065E"/>
    <w:rPr>
      <w:b/>
      <w:bCs/>
    </w:rPr>
  </w:style>
  <w:style w:type="character" w:styleId="Hyperlink">
    <w:name w:val="Hyperlink"/>
    <w:basedOn w:val="DefaultParagraphFont"/>
    <w:uiPriority w:val="99"/>
    <w:unhideWhenUsed/>
    <w:rsid w:val="0092065E"/>
    <w:rPr>
      <w:color w:val="0000FF"/>
      <w:u w:val="single"/>
    </w:rPr>
  </w:style>
  <w:style w:type="character" w:customStyle="1" w:styleId="UnresolvedMention1">
    <w:name w:val="Unresolved Mention1"/>
    <w:basedOn w:val="DefaultParagraphFont"/>
    <w:uiPriority w:val="99"/>
    <w:semiHidden/>
    <w:unhideWhenUsed/>
    <w:rsid w:val="00580F14"/>
    <w:rPr>
      <w:color w:val="605E5C"/>
      <w:shd w:val="clear" w:color="auto" w:fill="E1DFDD"/>
    </w:rPr>
  </w:style>
  <w:style w:type="character" w:styleId="FollowedHyperlink">
    <w:name w:val="FollowedHyperlink"/>
    <w:basedOn w:val="DefaultParagraphFont"/>
    <w:uiPriority w:val="99"/>
    <w:semiHidden/>
    <w:unhideWhenUsed/>
    <w:rsid w:val="00996E93"/>
    <w:rPr>
      <w:color w:val="954F72" w:themeColor="followedHyperlink"/>
      <w:u w:val="single"/>
    </w:rPr>
  </w:style>
  <w:style w:type="character" w:styleId="Emphasis">
    <w:name w:val="Emphasis"/>
    <w:basedOn w:val="DefaultParagraphFont"/>
    <w:uiPriority w:val="20"/>
    <w:qFormat/>
    <w:rsid w:val="00BC54CC"/>
    <w:rPr>
      <w:i/>
      <w:iCs/>
    </w:rPr>
  </w:style>
  <w:style w:type="paragraph" w:styleId="BalloonText">
    <w:name w:val="Balloon Text"/>
    <w:basedOn w:val="Normal"/>
    <w:link w:val="BalloonTextChar"/>
    <w:uiPriority w:val="99"/>
    <w:semiHidden/>
    <w:unhideWhenUsed/>
    <w:rsid w:val="0044372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72A"/>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3F3F7C"/>
    <w:rPr>
      <w:color w:val="605E5C"/>
      <w:shd w:val="clear" w:color="auto" w:fill="E1DFDD"/>
    </w:rPr>
  </w:style>
  <w:style w:type="paragraph" w:styleId="NormalWeb">
    <w:name w:val="Normal (Web)"/>
    <w:basedOn w:val="Normal"/>
    <w:uiPriority w:val="99"/>
    <w:unhideWhenUsed/>
    <w:rsid w:val="00F272F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FootnoteText">
    <w:name w:val="footnote text"/>
    <w:basedOn w:val="Normal"/>
    <w:link w:val="FootnoteTextChar"/>
    <w:uiPriority w:val="99"/>
    <w:semiHidden/>
    <w:unhideWhenUsed/>
    <w:rsid w:val="00F27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2F1"/>
    <w:rPr>
      <w:sz w:val="20"/>
      <w:szCs w:val="20"/>
    </w:rPr>
  </w:style>
  <w:style w:type="character" w:styleId="FootnoteReference">
    <w:name w:val="footnote reference"/>
    <w:basedOn w:val="DefaultParagraphFont"/>
    <w:uiPriority w:val="99"/>
    <w:semiHidden/>
    <w:unhideWhenUsed/>
    <w:rsid w:val="00F272F1"/>
    <w:rPr>
      <w:vertAlign w:val="superscript"/>
    </w:rPr>
  </w:style>
  <w:style w:type="paragraph" w:styleId="NoSpacing">
    <w:name w:val="No Spacing"/>
    <w:uiPriority w:val="1"/>
    <w:qFormat/>
    <w:rsid w:val="00EF5B2E"/>
    <w:pPr>
      <w:spacing w:after="0" w:line="240" w:lineRule="auto"/>
    </w:pPr>
  </w:style>
  <w:style w:type="character" w:customStyle="1" w:styleId="css-901oao">
    <w:name w:val="css-901oao"/>
    <w:basedOn w:val="DefaultParagraphFont"/>
    <w:rsid w:val="00E94283"/>
  </w:style>
  <w:style w:type="paragraph" w:styleId="ListParagraph">
    <w:name w:val="List Paragraph"/>
    <w:basedOn w:val="Normal"/>
    <w:uiPriority w:val="34"/>
    <w:qFormat/>
    <w:rsid w:val="001E5CC7"/>
    <w:pPr>
      <w:ind w:left="720"/>
      <w:contextualSpacing/>
    </w:pPr>
  </w:style>
  <w:style w:type="paragraph" w:customStyle="1" w:styleId="MacPacTrailer">
    <w:name w:val="MacPac Trailer"/>
    <w:rsid w:val="001B1519"/>
    <w:pPr>
      <w:widowControl w:val="0"/>
      <w:spacing w:after="0" w:line="200" w:lineRule="exact"/>
    </w:pPr>
    <w:rPr>
      <w:rFonts w:ascii="Arial" w:eastAsia="Times New Roman" w:hAnsi="Arial" w:cs="Times New Roman"/>
      <w:sz w:val="16"/>
    </w:rPr>
  </w:style>
  <w:style w:type="character" w:styleId="PlaceholderText">
    <w:name w:val="Placeholder Text"/>
    <w:basedOn w:val="DefaultParagraphFont"/>
    <w:uiPriority w:val="99"/>
    <w:semiHidden/>
    <w:rsid w:val="00DC25EA"/>
    <w:rPr>
      <w:color w:val="808080"/>
    </w:rPr>
  </w:style>
  <w:style w:type="character" w:customStyle="1" w:styleId="il">
    <w:name w:val="il"/>
    <w:basedOn w:val="DefaultParagraphFont"/>
    <w:rsid w:val="00731280"/>
  </w:style>
  <w:style w:type="character" w:styleId="CommentReference">
    <w:name w:val="annotation reference"/>
    <w:basedOn w:val="DefaultParagraphFont"/>
    <w:uiPriority w:val="99"/>
    <w:semiHidden/>
    <w:unhideWhenUsed/>
    <w:rsid w:val="00E91412"/>
    <w:rPr>
      <w:sz w:val="16"/>
      <w:szCs w:val="16"/>
    </w:rPr>
  </w:style>
  <w:style w:type="paragraph" w:styleId="CommentText">
    <w:name w:val="annotation text"/>
    <w:basedOn w:val="Normal"/>
    <w:link w:val="CommentTextChar"/>
    <w:uiPriority w:val="99"/>
    <w:semiHidden/>
    <w:unhideWhenUsed/>
    <w:rsid w:val="00E91412"/>
    <w:pPr>
      <w:spacing w:line="240" w:lineRule="auto"/>
    </w:pPr>
    <w:rPr>
      <w:sz w:val="20"/>
      <w:szCs w:val="20"/>
    </w:rPr>
  </w:style>
  <w:style w:type="character" w:customStyle="1" w:styleId="CommentTextChar">
    <w:name w:val="Comment Text Char"/>
    <w:basedOn w:val="DefaultParagraphFont"/>
    <w:link w:val="CommentText"/>
    <w:uiPriority w:val="99"/>
    <w:semiHidden/>
    <w:rsid w:val="00E91412"/>
    <w:rPr>
      <w:sz w:val="20"/>
      <w:szCs w:val="20"/>
    </w:rPr>
  </w:style>
  <w:style w:type="paragraph" w:styleId="CommentSubject">
    <w:name w:val="annotation subject"/>
    <w:basedOn w:val="CommentText"/>
    <w:next w:val="CommentText"/>
    <w:link w:val="CommentSubjectChar"/>
    <w:uiPriority w:val="99"/>
    <w:semiHidden/>
    <w:unhideWhenUsed/>
    <w:rsid w:val="00E91412"/>
    <w:rPr>
      <w:b/>
      <w:bCs/>
    </w:rPr>
  </w:style>
  <w:style w:type="character" w:customStyle="1" w:styleId="CommentSubjectChar">
    <w:name w:val="Comment Subject Char"/>
    <w:basedOn w:val="CommentTextChar"/>
    <w:link w:val="CommentSubject"/>
    <w:uiPriority w:val="99"/>
    <w:semiHidden/>
    <w:rsid w:val="00E91412"/>
    <w:rPr>
      <w:b/>
      <w:bCs/>
      <w:sz w:val="20"/>
      <w:szCs w:val="20"/>
    </w:rPr>
  </w:style>
  <w:style w:type="paragraph" w:customStyle="1" w:styleId="Body">
    <w:name w:val="Body"/>
    <w:basedOn w:val="Normal"/>
    <w:rsid w:val="00C228B7"/>
    <w:pPr>
      <w:spacing w:after="180" w:line="240" w:lineRule="auto"/>
    </w:pPr>
    <w:rPr>
      <w:rFonts w:ascii="Arial" w:eastAsia="Times New Roman" w:hAnsi="Arial"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gamerzarena" TargetMode="External"/><Relationship Id="rId2" Type="http://schemas.openxmlformats.org/officeDocument/2006/relationships/image" Target="media/image1.png"/><Relationship Id="rId1" Type="http://schemas.openxmlformats.org/officeDocument/2006/relationships/hyperlink" Target="https://www.instagram.com/gamerzarena" TargetMode="External"/><Relationship Id="rId6" Type="http://schemas.openxmlformats.org/officeDocument/2006/relationships/image" Target="media/image3.png"/><Relationship Id="rId5" Type="http://schemas.openxmlformats.org/officeDocument/2006/relationships/hyperlink" Target="https://www.twitch.tv/gamerzarena" TargetMode="External"/><Relationship Id="rId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twitter.com/gamerzarena" TargetMode="External"/><Relationship Id="rId2" Type="http://schemas.openxmlformats.org/officeDocument/2006/relationships/image" Target="media/image1.png"/><Relationship Id="rId1" Type="http://schemas.openxmlformats.org/officeDocument/2006/relationships/hyperlink" Target="https://www.instagram.com/gamerzarena" TargetMode="External"/><Relationship Id="rId6" Type="http://schemas.openxmlformats.org/officeDocument/2006/relationships/image" Target="media/image3.png"/><Relationship Id="rId5" Type="http://schemas.openxmlformats.org/officeDocument/2006/relationships/hyperlink" Target="https://www.twitch.tv/gamerzarena"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7152-0685-4459-951C-CE9B7377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Ranbir Kalan</cp:lastModifiedBy>
  <cp:revision>3</cp:revision>
  <dcterms:created xsi:type="dcterms:W3CDTF">2021-07-20T00:09:00Z</dcterms:created>
  <dcterms:modified xsi:type="dcterms:W3CDTF">2021-07-20T02:05:00Z</dcterms:modified>
</cp:coreProperties>
</file>