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0582" w:rsidRDefault="00EB0582" w:rsidP="00EB0582">
      <w:pPr>
        <w:pStyle w:val="HTMLPreformatted"/>
        <w:tabs>
          <w:tab w:val="left" w:pos="1440"/>
        </w:tabs>
        <w:rPr>
          <w:rFonts w:ascii="Arial" w:hAnsi="Arial"/>
          <w:b/>
          <w:i/>
        </w:rPr>
      </w:pPr>
      <w:r>
        <w:rPr>
          <w:rFonts w:ascii="Arial" w:hAnsi="Arial"/>
          <w:b/>
          <w:i/>
        </w:rPr>
        <w:t>For Immediate Release</w:t>
      </w:r>
    </w:p>
    <w:p w:rsidR="00EB0582" w:rsidRDefault="00EB0582" w:rsidP="00EB0582">
      <w:pPr>
        <w:pStyle w:val="HTMLPreformatted"/>
        <w:tabs>
          <w:tab w:val="left" w:pos="1440"/>
        </w:tabs>
        <w:rPr>
          <w:rFonts w:ascii="Arial" w:hAnsi="Arial"/>
          <w:b/>
          <w:i/>
        </w:rPr>
      </w:pPr>
    </w:p>
    <w:p w:rsidR="00EB0582" w:rsidRDefault="00EB0582" w:rsidP="00EB0582">
      <w:pPr>
        <w:pStyle w:val="HTMLPreformatted"/>
        <w:tabs>
          <w:tab w:val="left" w:pos="1440"/>
        </w:tabs>
        <w:rPr>
          <w:rFonts w:ascii="Arial" w:hAnsi="Arial"/>
          <w:b/>
          <w:i/>
        </w:rPr>
      </w:pPr>
    </w:p>
    <w:p w:rsidR="00EB0582" w:rsidRDefault="00EB0582" w:rsidP="00EB0582">
      <w:pPr>
        <w:pStyle w:val="HTMLPreformatted"/>
        <w:tabs>
          <w:tab w:val="left" w:pos="1440"/>
        </w:tabs>
        <w:rPr>
          <w:rFonts w:ascii="Arial" w:hAnsi="Arial"/>
          <w:b/>
          <w:i/>
        </w:rPr>
      </w:pPr>
    </w:p>
    <w:p w:rsidR="00EB0582" w:rsidRDefault="00EB0582" w:rsidP="00EB0582">
      <w:pPr>
        <w:pStyle w:val="HTMLPreformatted"/>
        <w:tabs>
          <w:tab w:val="left" w:pos="1440"/>
        </w:tabs>
        <w:jc w:val="center"/>
        <w:rPr>
          <w:rFonts w:ascii="Times New Roman" w:hAnsi="Times New Roman"/>
          <w:b/>
          <w:sz w:val="22"/>
          <w:szCs w:val="22"/>
        </w:rPr>
      </w:pPr>
      <w:r w:rsidRPr="00B67496">
        <w:rPr>
          <w:rFonts w:ascii="Times New Roman" w:hAnsi="Times New Roman"/>
          <w:b/>
          <w:sz w:val="22"/>
          <w:szCs w:val="22"/>
        </w:rPr>
        <w:t>TRINITY BANK REPORTS:</w:t>
      </w:r>
    </w:p>
    <w:p w:rsidR="00C615A0" w:rsidRPr="00B67496" w:rsidRDefault="00475C1D" w:rsidP="00EB0582">
      <w:pPr>
        <w:pStyle w:val="HTMLPreformatted"/>
        <w:tabs>
          <w:tab w:val="left" w:pos="1440"/>
        </w:tabs>
        <w:jc w:val="center"/>
        <w:rPr>
          <w:rFonts w:ascii="Times New Roman" w:hAnsi="Times New Roman"/>
          <w:b/>
          <w:sz w:val="22"/>
          <w:szCs w:val="22"/>
        </w:rPr>
      </w:pPr>
      <w:r>
        <w:rPr>
          <w:rFonts w:ascii="Times New Roman" w:hAnsi="Times New Roman"/>
          <w:b/>
          <w:sz w:val="22"/>
          <w:szCs w:val="22"/>
        </w:rPr>
        <w:t>RETURN ON ASSETS 1.</w:t>
      </w:r>
      <w:r w:rsidR="00F4577E">
        <w:rPr>
          <w:rFonts w:ascii="Times New Roman" w:hAnsi="Times New Roman"/>
          <w:b/>
          <w:sz w:val="22"/>
          <w:szCs w:val="22"/>
        </w:rPr>
        <w:t>46</w:t>
      </w:r>
      <w:r>
        <w:rPr>
          <w:rFonts w:ascii="Times New Roman" w:hAnsi="Times New Roman"/>
          <w:b/>
          <w:sz w:val="22"/>
          <w:szCs w:val="22"/>
        </w:rPr>
        <w:t>%</w:t>
      </w:r>
    </w:p>
    <w:p w:rsidR="00C615A0" w:rsidRDefault="002E7DBB" w:rsidP="00EB0582">
      <w:pPr>
        <w:pStyle w:val="HTMLPreformatted"/>
        <w:tabs>
          <w:tab w:val="left" w:pos="1440"/>
        </w:tabs>
        <w:jc w:val="center"/>
        <w:rPr>
          <w:rFonts w:ascii="Times New Roman" w:hAnsi="Times New Roman"/>
          <w:b/>
          <w:sz w:val="22"/>
          <w:szCs w:val="22"/>
        </w:rPr>
      </w:pPr>
      <w:r>
        <w:rPr>
          <w:rFonts w:ascii="Times New Roman" w:hAnsi="Times New Roman"/>
          <w:b/>
          <w:sz w:val="22"/>
          <w:szCs w:val="22"/>
        </w:rPr>
        <w:t xml:space="preserve">RETURN ON EQUITY </w:t>
      </w:r>
      <w:r w:rsidR="00B562D1">
        <w:rPr>
          <w:rFonts w:ascii="Times New Roman" w:hAnsi="Times New Roman"/>
          <w:b/>
          <w:sz w:val="22"/>
          <w:szCs w:val="22"/>
        </w:rPr>
        <w:t>1</w:t>
      </w:r>
      <w:r w:rsidR="006A6561">
        <w:rPr>
          <w:rFonts w:ascii="Times New Roman" w:hAnsi="Times New Roman"/>
          <w:b/>
          <w:sz w:val="22"/>
          <w:szCs w:val="22"/>
        </w:rPr>
        <w:t>4.18</w:t>
      </w:r>
      <w:r w:rsidR="00C615A0">
        <w:rPr>
          <w:rFonts w:ascii="Times New Roman" w:hAnsi="Times New Roman"/>
          <w:b/>
          <w:sz w:val="22"/>
          <w:szCs w:val="22"/>
        </w:rPr>
        <w:t>%</w:t>
      </w:r>
    </w:p>
    <w:p w:rsidR="00EB0582" w:rsidRPr="00A20B35" w:rsidRDefault="00EB0582" w:rsidP="00EB0582">
      <w:pPr>
        <w:pStyle w:val="HTMLPreformatted"/>
        <w:tabs>
          <w:tab w:val="left" w:pos="1440"/>
        </w:tabs>
        <w:jc w:val="center"/>
        <w:rPr>
          <w:rFonts w:ascii="Times New Roman" w:hAnsi="Times New Roman"/>
          <w:b/>
          <w:sz w:val="22"/>
          <w:szCs w:val="22"/>
        </w:rPr>
      </w:pPr>
    </w:p>
    <w:p w:rsidR="00EB0582" w:rsidRPr="00B67496" w:rsidRDefault="00EB0582" w:rsidP="00EB0582">
      <w:pPr>
        <w:pStyle w:val="HTMLPreformatted"/>
        <w:tabs>
          <w:tab w:val="left" w:pos="1440"/>
        </w:tabs>
        <w:jc w:val="center"/>
        <w:rPr>
          <w:rFonts w:ascii="Times New Roman" w:hAnsi="Times New Roman"/>
          <w:sz w:val="22"/>
          <w:szCs w:val="22"/>
        </w:rPr>
      </w:pPr>
    </w:p>
    <w:p w:rsidR="00EB0582" w:rsidRPr="00B67496" w:rsidRDefault="00EB0582" w:rsidP="002379BE">
      <w:pPr>
        <w:pStyle w:val="HTMLPreformatted"/>
        <w:tabs>
          <w:tab w:val="left" w:pos="1440"/>
        </w:tabs>
        <w:rPr>
          <w:rFonts w:ascii="Times New Roman" w:hAnsi="Times New Roman"/>
          <w:color w:val="000000"/>
          <w:sz w:val="22"/>
          <w:szCs w:val="22"/>
        </w:rPr>
      </w:pPr>
      <w:r w:rsidRPr="00B67496">
        <w:rPr>
          <w:rFonts w:ascii="Times New Roman" w:hAnsi="Times New Roman"/>
          <w:sz w:val="22"/>
          <w:szCs w:val="22"/>
        </w:rPr>
        <w:t xml:space="preserve">FORT WORTH, Texas, </w:t>
      </w:r>
      <w:r w:rsidR="00902D66">
        <w:rPr>
          <w:rFonts w:ascii="Times New Roman" w:hAnsi="Times New Roman"/>
          <w:sz w:val="22"/>
          <w:szCs w:val="22"/>
        </w:rPr>
        <w:t xml:space="preserve">August </w:t>
      </w:r>
      <w:r w:rsidR="002E7852">
        <w:rPr>
          <w:rFonts w:ascii="Times New Roman" w:hAnsi="Times New Roman"/>
          <w:sz w:val="22"/>
          <w:szCs w:val="22"/>
        </w:rPr>
        <w:t>3</w:t>
      </w:r>
      <w:bookmarkStart w:id="0" w:name="_GoBack"/>
      <w:bookmarkEnd w:id="0"/>
      <w:r w:rsidR="002E7DBB">
        <w:rPr>
          <w:rFonts w:ascii="Times New Roman" w:hAnsi="Times New Roman"/>
          <w:sz w:val="22"/>
          <w:szCs w:val="22"/>
        </w:rPr>
        <w:t>, 20</w:t>
      </w:r>
      <w:r w:rsidR="00475C1D">
        <w:rPr>
          <w:rFonts w:ascii="Times New Roman" w:hAnsi="Times New Roman"/>
          <w:sz w:val="22"/>
          <w:szCs w:val="22"/>
        </w:rPr>
        <w:t>2</w:t>
      </w:r>
      <w:r w:rsidR="00E46C69">
        <w:rPr>
          <w:rFonts w:ascii="Times New Roman" w:hAnsi="Times New Roman"/>
          <w:sz w:val="22"/>
          <w:szCs w:val="22"/>
        </w:rPr>
        <w:t>1</w:t>
      </w:r>
      <w:r w:rsidRPr="00B67496">
        <w:rPr>
          <w:rFonts w:ascii="Times New Roman" w:hAnsi="Times New Roman"/>
          <w:sz w:val="22"/>
          <w:szCs w:val="22"/>
        </w:rPr>
        <w:t xml:space="preserve"> - Trinity Bank N.A. (OTC Bulletin Board: TYBT) </w:t>
      </w:r>
      <w:r w:rsidRPr="00B67496">
        <w:rPr>
          <w:rFonts w:ascii="Times New Roman" w:hAnsi="Times New Roman"/>
          <w:color w:val="000000"/>
          <w:sz w:val="22"/>
          <w:szCs w:val="22"/>
        </w:rPr>
        <w:t xml:space="preserve">today announced operating results for the three months ending </w:t>
      </w:r>
      <w:r w:rsidR="00B562D1">
        <w:rPr>
          <w:rFonts w:ascii="Times New Roman" w:hAnsi="Times New Roman"/>
          <w:color w:val="000000"/>
          <w:sz w:val="22"/>
          <w:szCs w:val="22"/>
        </w:rPr>
        <w:t>June</w:t>
      </w:r>
      <w:r w:rsidRPr="00B67496">
        <w:rPr>
          <w:rFonts w:ascii="Times New Roman" w:hAnsi="Times New Roman"/>
          <w:color w:val="000000"/>
          <w:sz w:val="22"/>
          <w:szCs w:val="22"/>
        </w:rPr>
        <w:t xml:space="preserve"> 3</w:t>
      </w:r>
      <w:r w:rsidR="00B562D1">
        <w:rPr>
          <w:rFonts w:ascii="Times New Roman" w:hAnsi="Times New Roman"/>
          <w:color w:val="000000"/>
          <w:sz w:val="22"/>
          <w:szCs w:val="22"/>
        </w:rPr>
        <w:t>0</w:t>
      </w:r>
      <w:r w:rsidRPr="00B67496">
        <w:rPr>
          <w:rFonts w:ascii="Times New Roman" w:hAnsi="Times New Roman"/>
          <w:color w:val="000000"/>
          <w:sz w:val="22"/>
          <w:szCs w:val="22"/>
        </w:rPr>
        <w:t>, 20</w:t>
      </w:r>
      <w:r w:rsidR="00475C1D">
        <w:rPr>
          <w:rFonts w:ascii="Times New Roman" w:hAnsi="Times New Roman"/>
          <w:color w:val="000000"/>
          <w:sz w:val="22"/>
          <w:szCs w:val="22"/>
        </w:rPr>
        <w:t>2</w:t>
      </w:r>
      <w:r w:rsidR="00E46C69">
        <w:rPr>
          <w:rFonts w:ascii="Times New Roman" w:hAnsi="Times New Roman"/>
          <w:color w:val="000000"/>
          <w:sz w:val="22"/>
          <w:szCs w:val="22"/>
        </w:rPr>
        <w:t>1</w:t>
      </w:r>
      <w:r w:rsidR="004D41E5">
        <w:rPr>
          <w:rFonts w:ascii="Times New Roman" w:hAnsi="Times New Roman"/>
          <w:color w:val="000000"/>
          <w:sz w:val="22"/>
          <w:szCs w:val="22"/>
        </w:rPr>
        <w:t xml:space="preserve"> and YTD results for the six months ending June 30, 202</w:t>
      </w:r>
      <w:r w:rsidR="00E46C69">
        <w:rPr>
          <w:rFonts w:ascii="Times New Roman" w:hAnsi="Times New Roman"/>
          <w:color w:val="000000"/>
          <w:sz w:val="22"/>
          <w:szCs w:val="22"/>
        </w:rPr>
        <w:t>1</w:t>
      </w:r>
      <w:r w:rsidR="004D41E5">
        <w:rPr>
          <w:rFonts w:ascii="Times New Roman" w:hAnsi="Times New Roman"/>
          <w:color w:val="000000"/>
          <w:sz w:val="22"/>
          <w:szCs w:val="22"/>
        </w:rPr>
        <w:t>.</w:t>
      </w:r>
    </w:p>
    <w:p w:rsidR="00EB0582" w:rsidRPr="00B67496" w:rsidRDefault="00EB0582" w:rsidP="00EB0582">
      <w:pPr>
        <w:pStyle w:val="HTMLPreformatted"/>
        <w:tabs>
          <w:tab w:val="left" w:pos="1440"/>
        </w:tabs>
        <w:jc w:val="both"/>
        <w:rPr>
          <w:rFonts w:ascii="Times New Roman" w:hAnsi="Times New Roman"/>
          <w:sz w:val="22"/>
          <w:szCs w:val="22"/>
        </w:rPr>
      </w:pPr>
    </w:p>
    <w:p w:rsidR="00EB0582" w:rsidRPr="00B67496" w:rsidRDefault="00EB0582" w:rsidP="00EB0582">
      <w:pPr>
        <w:pStyle w:val="Heading2"/>
        <w:rPr>
          <w:i/>
          <w:sz w:val="22"/>
          <w:szCs w:val="22"/>
        </w:rPr>
      </w:pPr>
    </w:p>
    <w:p w:rsidR="00EB0582" w:rsidRPr="00B67496" w:rsidRDefault="00EB0582" w:rsidP="00EB0582">
      <w:pPr>
        <w:pStyle w:val="Heading2"/>
        <w:rPr>
          <w:sz w:val="22"/>
          <w:szCs w:val="22"/>
        </w:rPr>
      </w:pPr>
      <w:r w:rsidRPr="00B67496">
        <w:rPr>
          <w:sz w:val="22"/>
          <w:szCs w:val="22"/>
        </w:rPr>
        <w:t>Results of Operations</w:t>
      </w:r>
    </w:p>
    <w:p w:rsidR="00EB0582" w:rsidRPr="00B67496" w:rsidRDefault="00EB0582" w:rsidP="00EB0582">
      <w:pPr>
        <w:jc w:val="both"/>
        <w:rPr>
          <w:rFonts w:ascii="Times New Roman" w:hAnsi="Times New Roman"/>
          <w:sz w:val="22"/>
          <w:szCs w:val="22"/>
        </w:rPr>
      </w:pPr>
    </w:p>
    <w:p w:rsidR="00B67496" w:rsidRDefault="00B67496" w:rsidP="002379BE">
      <w:pPr>
        <w:pStyle w:val="NoSpacing"/>
        <w:jc w:val="both"/>
        <w:rPr>
          <w:rFonts w:ascii="Times New Roman" w:hAnsi="Times New Roman"/>
        </w:rPr>
      </w:pPr>
      <w:r w:rsidRPr="00B67496">
        <w:rPr>
          <w:rFonts w:ascii="Times New Roman" w:hAnsi="Times New Roman"/>
        </w:rPr>
        <w:t xml:space="preserve">Trinity </w:t>
      </w:r>
      <w:r w:rsidR="00B013B2">
        <w:rPr>
          <w:rFonts w:ascii="Times New Roman" w:hAnsi="Times New Roman"/>
        </w:rPr>
        <w:t>Bank, N.A. reported Net Income a</w:t>
      </w:r>
      <w:r w:rsidRPr="00B67496">
        <w:rPr>
          <w:rFonts w:ascii="Times New Roman" w:hAnsi="Times New Roman"/>
        </w:rPr>
        <w:t>fter Taxes of $</w:t>
      </w:r>
      <w:r w:rsidR="00BE17C4">
        <w:rPr>
          <w:rFonts w:ascii="Times New Roman" w:hAnsi="Times New Roman"/>
        </w:rPr>
        <w:t>1</w:t>
      </w:r>
      <w:r w:rsidR="00475C1D">
        <w:rPr>
          <w:rFonts w:ascii="Times New Roman" w:hAnsi="Times New Roman"/>
        </w:rPr>
        <w:t>,</w:t>
      </w:r>
      <w:r w:rsidR="001005E9">
        <w:rPr>
          <w:rFonts w:ascii="Times New Roman" w:hAnsi="Times New Roman"/>
        </w:rPr>
        <w:t>426</w:t>
      </w:r>
      <w:r w:rsidR="00576E16">
        <w:rPr>
          <w:rFonts w:ascii="Times New Roman" w:hAnsi="Times New Roman"/>
        </w:rPr>
        <w:t>,000 or $</w:t>
      </w:r>
      <w:r w:rsidR="00410036">
        <w:rPr>
          <w:rFonts w:ascii="Times New Roman" w:hAnsi="Times New Roman"/>
        </w:rPr>
        <w:t>1</w:t>
      </w:r>
      <w:r w:rsidR="00475C1D">
        <w:rPr>
          <w:rFonts w:ascii="Times New Roman" w:hAnsi="Times New Roman"/>
        </w:rPr>
        <w:t>.</w:t>
      </w:r>
      <w:r w:rsidR="001005E9">
        <w:rPr>
          <w:rFonts w:ascii="Times New Roman" w:hAnsi="Times New Roman"/>
        </w:rPr>
        <w:t>26</w:t>
      </w:r>
      <w:r w:rsidRPr="00B67496">
        <w:rPr>
          <w:rFonts w:ascii="Times New Roman" w:hAnsi="Times New Roman"/>
        </w:rPr>
        <w:t xml:space="preserve"> per diluted common share for the </w:t>
      </w:r>
      <w:r w:rsidR="00B562D1">
        <w:rPr>
          <w:rFonts w:ascii="Times New Roman" w:hAnsi="Times New Roman"/>
        </w:rPr>
        <w:t>second</w:t>
      </w:r>
      <w:r w:rsidRPr="00B67496">
        <w:rPr>
          <w:rFonts w:ascii="Times New Roman" w:hAnsi="Times New Roman"/>
        </w:rPr>
        <w:t xml:space="preserve"> quarter of 20</w:t>
      </w:r>
      <w:r w:rsidR="00475C1D">
        <w:rPr>
          <w:rFonts w:ascii="Times New Roman" w:hAnsi="Times New Roman"/>
        </w:rPr>
        <w:t>2</w:t>
      </w:r>
      <w:r w:rsidR="001005E9">
        <w:rPr>
          <w:rFonts w:ascii="Times New Roman" w:hAnsi="Times New Roman"/>
        </w:rPr>
        <w:t>1</w:t>
      </w:r>
      <w:r w:rsidRPr="00B67496">
        <w:rPr>
          <w:rFonts w:ascii="Times New Roman" w:hAnsi="Times New Roman"/>
        </w:rPr>
        <w:t xml:space="preserve">, compared to </w:t>
      </w:r>
      <w:r w:rsidR="005F0A7C" w:rsidRPr="00B67496">
        <w:rPr>
          <w:rFonts w:ascii="Times New Roman" w:hAnsi="Times New Roman"/>
        </w:rPr>
        <w:t>$</w:t>
      </w:r>
      <w:r w:rsidR="005F0A7C">
        <w:rPr>
          <w:rFonts w:ascii="Times New Roman" w:hAnsi="Times New Roman"/>
        </w:rPr>
        <w:t xml:space="preserve">1,130,000 </w:t>
      </w:r>
      <w:r w:rsidRPr="00B67496">
        <w:rPr>
          <w:rFonts w:ascii="Times New Roman" w:hAnsi="Times New Roman"/>
        </w:rPr>
        <w:t>or $</w:t>
      </w:r>
      <w:r w:rsidR="001005E9">
        <w:rPr>
          <w:rFonts w:ascii="Times New Roman" w:hAnsi="Times New Roman"/>
        </w:rPr>
        <w:t>1.0</w:t>
      </w:r>
      <w:r w:rsidR="004D41E5">
        <w:rPr>
          <w:rFonts w:ascii="Times New Roman" w:hAnsi="Times New Roman"/>
        </w:rPr>
        <w:t>0</w:t>
      </w:r>
      <w:r w:rsidRPr="00B67496">
        <w:rPr>
          <w:rFonts w:ascii="Times New Roman" w:hAnsi="Times New Roman"/>
        </w:rPr>
        <w:t xml:space="preserve"> per diluted common share for the </w:t>
      </w:r>
      <w:r w:rsidR="00B562D1">
        <w:rPr>
          <w:rFonts w:ascii="Times New Roman" w:hAnsi="Times New Roman"/>
        </w:rPr>
        <w:t>second</w:t>
      </w:r>
      <w:r w:rsidRPr="00B67496">
        <w:rPr>
          <w:rFonts w:ascii="Times New Roman" w:hAnsi="Times New Roman"/>
        </w:rPr>
        <w:t xml:space="preserve"> quarter of 20</w:t>
      </w:r>
      <w:r w:rsidR="001005E9">
        <w:rPr>
          <w:rFonts w:ascii="Times New Roman" w:hAnsi="Times New Roman"/>
        </w:rPr>
        <w:t>20</w:t>
      </w:r>
      <w:r w:rsidR="004D41E5">
        <w:rPr>
          <w:rFonts w:ascii="Times New Roman" w:hAnsi="Times New Roman"/>
        </w:rPr>
        <w:t xml:space="preserve">, an increase of </w:t>
      </w:r>
      <w:r w:rsidR="008B6FD6">
        <w:rPr>
          <w:rFonts w:ascii="Times New Roman" w:hAnsi="Times New Roman"/>
        </w:rPr>
        <w:t>2</w:t>
      </w:r>
      <w:r w:rsidR="001005E9">
        <w:rPr>
          <w:rFonts w:ascii="Times New Roman" w:hAnsi="Times New Roman"/>
        </w:rPr>
        <w:t>6</w:t>
      </w:r>
      <w:r w:rsidR="004D41E5">
        <w:rPr>
          <w:rFonts w:ascii="Times New Roman" w:hAnsi="Times New Roman"/>
        </w:rPr>
        <w:t>%</w:t>
      </w:r>
      <w:r w:rsidRPr="00A20B35">
        <w:rPr>
          <w:rFonts w:ascii="Times New Roman" w:hAnsi="Times New Roman"/>
        </w:rPr>
        <w:t>.</w:t>
      </w:r>
    </w:p>
    <w:p w:rsidR="00346877" w:rsidRDefault="00346877" w:rsidP="002379BE">
      <w:pPr>
        <w:pStyle w:val="NoSpacing"/>
        <w:jc w:val="both"/>
        <w:rPr>
          <w:rFonts w:ascii="Times New Roman" w:hAnsi="Times New Roman"/>
        </w:rPr>
      </w:pPr>
    </w:p>
    <w:p w:rsidR="00346877" w:rsidRDefault="00346877" w:rsidP="002379BE">
      <w:pPr>
        <w:pStyle w:val="NoSpacing"/>
        <w:jc w:val="both"/>
        <w:rPr>
          <w:rFonts w:ascii="Times New Roman" w:hAnsi="Times New Roman"/>
        </w:rPr>
      </w:pPr>
      <w:r>
        <w:rPr>
          <w:rFonts w:ascii="Times New Roman" w:hAnsi="Times New Roman"/>
        </w:rPr>
        <w:t>For the</w:t>
      </w:r>
      <w:r w:rsidR="00B562D1">
        <w:rPr>
          <w:rFonts w:ascii="Times New Roman" w:hAnsi="Times New Roman"/>
        </w:rPr>
        <w:t xml:space="preserve"> first six months of 20</w:t>
      </w:r>
      <w:r w:rsidR="008B6FD6">
        <w:rPr>
          <w:rFonts w:ascii="Times New Roman" w:hAnsi="Times New Roman"/>
        </w:rPr>
        <w:t>2</w:t>
      </w:r>
      <w:r w:rsidR="001005E9">
        <w:rPr>
          <w:rFonts w:ascii="Times New Roman" w:hAnsi="Times New Roman"/>
        </w:rPr>
        <w:t>1</w:t>
      </w:r>
      <w:r w:rsidR="00B562D1">
        <w:rPr>
          <w:rFonts w:ascii="Times New Roman" w:hAnsi="Times New Roman"/>
        </w:rPr>
        <w:t>, Net Income after Taxes amounted to $2,</w:t>
      </w:r>
      <w:r w:rsidR="001005E9">
        <w:rPr>
          <w:rFonts w:ascii="Times New Roman" w:hAnsi="Times New Roman"/>
        </w:rPr>
        <w:t>754</w:t>
      </w:r>
      <w:r w:rsidR="00B562D1">
        <w:rPr>
          <w:rFonts w:ascii="Times New Roman" w:hAnsi="Times New Roman"/>
        </w:rPr>
        <w:t xml:space="preserve">,000, an increase of </w:t>
      </w:r>
      <w:r w:rsidR="001005E9">
        <w:rPr>
          <w:rFonts w:ascii="Times New Roman" w:hAnsi="Times New Roman"/>
        </w:rPr>
        <w:t>22</w:t>
      </w:r>
      <w:r w:rsidR="00B562D1">
        <w:rPr>
          <w:rFonts w:ascii="Times New Roman" w:hAnsi="Times New Roman"/>
        </w:rPr>
        <w:t>% over the first half of 20</w:t>
      </w:r>
      <w:r w:rsidR="001005E9">
        <w:rPr>
          <w:rFonts w:ascii="Times New Roman" w:hAnsi="Times New Roman"/>
        </w:rPr>
        <w:t>20</w:t>
      </w:r>
      <w:r w:rsidR="00B562D1">
        <w:rPr>
          <w:rFonts w:ascii="Times New Roman" w:hAnsi="Times New Roman"/>
        </w:rPr>
        <w:t xml:space="preserve"> results of </w:t>
      </w:r>
      <w:r w:rsidR="001005E9">
        <w:rPr>
          <w:rFonts w:ascii="Times New Roman" w:hAnsi="Times New Roman"/>
        </w:rPr>
        <w:t>$2,254,000</w:t>
      </w:r>
      <w:r w:rsidR="00B562D1">
        <w:rPr>
          <w:rFonts w:ascii="Times New Roman" w:hAnsi="Times New Roman"/>
        </w:rPr>
        <w:t>.  Earnings per diluted common share for the first half of 202</w:t>
      </w:r>
      <w:r w:rsidR="001005E9">
        <w:rPr>
          <w:rFonts w:ascii="Times New Roman" w:hAnsi="Times New Roman"/>
        </w:rPr>
        <w:t>1</w:t>
      </w:r>
      <w:r w:rsidR="00B562D1">
        <w:rPr>
          <w:rFonts w:ascii="Times New Roman" w:hAnsi="Times New Roman"/>
        </w:rPr>
        <w:t xml:space="preserve"> were $</w:t>
      </w:r>
      <w:r w:rsidR="001005E9">
        <w:rPr>
          <w:rFonts w:ascii="Times New Roman" w:hAnsi="Times New Roman"/>
        </w:rPr>
        <w:t>2.44</w:t>
      </w:r>
      <w:r w:rsidR="00B562D1">
        <w:rPr>
          <w:rFonts w:ascii="Times New Roman" w:hAnsi="Times New Roman"/>
        </w:rPr>
        <w:t xml:space="preserve">, an increase of </w:t>
      </w:r>
      <w:r w:rsidR="001005E9">
        <w:rPr>
          <w:rFonts w:ascii="Times New Roman" w:hAnsi="Times New Roman"/>
        </w:rPr>
        <w:t>23</w:t>
      </w:r>
      <w:r w:rsidR="00B562D1">
        <w:rPr>
          <w:rFonts w:ascii="Times New Roman" w:hAnsi="Times New Roman"/>
        </w:rPr>
        <w:t>% over the first half of 20</w:t>
      </w:r>
      <w:r w:rsidR="001005E9">
        <w:rPr>
          <w:rFonts w:ascii="Times New Roman" w:hAnsi="Times New Roman"/>
        </w:rPr>
        <w:t>20</w:t>
      </w:r>
      <w:r w:rsidR="00B562D1">
        <w:rPr>
          <w:rFonts w:ascii="Times New Roman" w:hAnsi="Times New Roman"/>
        </w:rPr>
        <w:t xml:space="preserve"> results of $1.</w:t>
      </w:r>
      <w:r w:rsidR="001005E9">
        <w:rPr>
          <w:rFonts w:ascii="Times New Roman" w:hAnsi="Times New Roman"/>
        </w:rPr>
        <w:t>99</w:t>
      </w:r>
      <w:r w:rsidR="00B562D1">
        <w:rPr>
          <w:rFonts w:ascii="Times New Roman" w:hAnsi="Times New Roman"/>
        </w:rPr>
        <w:t xml:space="preserve"> per diluted common share.</w:t>
      </w:r>
    </w:p>
    <w:p w:rsidR="00C84D76" w:rsidRDefault="00C84D76" w:rsidP="002379BE">
      <w:pPr>
        <w:pStyle w:val="NoSpacing"/>
        <w:jc w:val="both"/>
        <w:rPr>
          <w:rFonts w:ascii="Times New Roman" w:hAnsi="Times New Roman"/>
        </w:rPr>
      </w:pPr>
    </w:p>
    <w:p w:rsidR="00344132" w:rsidRPr="00A36772" w:rsidRDefault="00FA448A" w:rsidP="002379BE">
      <w:pPr>
        <w:pStyle w:val="NoSpacing"/>
        <w:jc w:val="both"/>
        <w:rPr>
          <w:rFonts w:ascii="Times New Roman" w:hAnsi="Times New Roman"/>
        </w:rPr>
      </w:pPr>
      <w:r w:rsidRPr="00A36772">
        <w:rPr>
          <w:rFonts w:ascii="Times New Roman" w:hAnsi="Times New Roman"/>
        </w:rPr>
        <w:t>Matt R. Opitz</w:t>
      </w:r>
      <w:r w:rsidR="00BB2D35" w:rsidRPr="00A36772">
        <w:rPr>
          <w:rFonts w:ascii="Times New Roman" w:hAnsi="Times New Roman"/>
        </w:rPr>
        <w:t xml:space="preserve">, </w:t>
      </w:r>
      <w:r w:rsidR="00BD2C26" w:rsidRPr="00A36772">
        <w:rPr>
          <w:rFonts w:ascii="Times New Roman" w:hAnsi="Times New Roman"/>
        </w:rPr>
        <w:t>Chief Executive Officer</w:t>
      </w:r>
      <w:r w:rsidR="00BB2D35" w:rsidRPr="00A36772">
        <w:rPr>
          <w:rFonts w:ascii="Times New Roman" w:hAnsi="Times New Roman"/>
        </w:rPr>
        <w:t>, stated, “</w:t>
      </w:r>
      <w:r w:rsidR="00BD2C26" w:rsidRPr="00A36772">
        <w:rPr>
          <w:rFonts w:ascii="Times New Roman" w:hAnsi="Times New Roman"/>
        </w:rPr>
        <w:t xml:space="preserve">I am pleased with the performance Trinity Bank was able to achieve in 2Q.  These results represent our most profitable quarter since inception and that is due to the hard work and dedication of our </w:t>
      </w:r>
      <w:r w:rsidR="00BE513B" w:rsidRPr="00A36772">
        <w:rPr>
          <w:rFonts w:ascii="Times New Roman" w:hAnsi="Times New Roman"/>
        </w:rPr>
        <w:t xml:space="preserve">great </w:t>
      </w:r>
      <w:r w:rsidR="00BD2C26" w:rsidRPr="00A36772">
        <w:rPr>
          <w:rFonts w:ascii="Times New Roman" w:hAnsi="Times New Roman"/>
        </w:rPr>
        <w:t xml:space="preserve">staff.  PPP fee income and core loan growth, excluding PPP loans, </w:t>
      </w:r>
      <w:r w:rsidR="0045500E" w:rsidRPr="00A36772">
        <w:rPr>
          <w:rFonts w:ascii="Times New Roman" w:hAnsi="Times New Roman"/>
        </w:rPr>
        <w:t>were the primary drivers in achieving this above average performance</w:t>
      </w:r>
      <w:r w:rsidR="00BD2C26" w:rsidRPr="00A36772">
        <w:rPr>
          <w:rFonts w:ascii="Times New Roman" w:hAnsi="Times New Roman"/>
        </w:rPr>
        <w:t>.</w:t>
      </w:r>
      <w:r w:rsidR="00BB2D35" w:rsidRPr="00A36772">
        <w:rPr>
          <w:rFonts w:ascii="Times New Roman" w:hAnsi="Times New Roman"/>
        </w:rPr>
        <w:t>”</w:t>
      </w:r>
    </w:p>
    <w:p w:rsidR="00BB2D35" w:rsidRPr="00A36772" w:rsidRDefault="00BB2D35" w:rsidP="002379BE">
      <w:pPr>
        <w:pStyle w:val="NoSpacing"/>
        <w:jc w:val="both"/>
        <w:rPr>
          <w:rFonts w:ascii="Times New Roman" w:hAnsi="Times New Roman"/>
        </w:rPr>
      </w:pPr>
    </w:p>
    <w:p w:rsidR="00BB2D35" w:rsidRPr="00A36772" w:rsidRDefault="00BB2D35" w:rsidP="002379BE">
      <w:pPr>
        <w:pStyle w:val="NoSpacing"/>
        <w:jc w:val="both"/>
        <w:rPr>
          <w:rFonts w:ascii="Times New Roman" w:hAnsi="Times New Roman"/>
        </w:rPr>
      </w:pPr>
      <w:r w:rsidRPr="00A36772">
        <w:rPr>
          <w:rFonts w:ascii="Times New Roman" w:hAnsi="Times New Roman"/>
        </w:rPr>
        <w:t>“</w:t>
      </w:r>
      <w:r w:rsidR="0045500E" w:rsidRPr="00A36772">
        <w:rPr>
          <w:rFonts w:ascii="Times New Roman" w:hAnsi="Times New Roman"/>
        </w:rPr>
        <w:t xml:space="preserve">We have </w:t>
      </w:r>
      <w:r w:rsidR="00BE513B" w:rsidRPr="00A36772">
        <w:rPr>
          <w:rFonts w:ascii="Times New Roman" w:hAnsi="Times New Roman"/>
        </w:rPr>
        <w:t>successfully submitted all round one PPP loans for forgiveness</w:t>
      </w:r>
      <w:r w:rsidR="0045500E" w:rsidRPr="00A36772">
        <w:rPr>
          <w:rFonts w:ascii="Times New Roman" w:hAnsi="Times New Roman"/>
        </w:rPr>
        <w:t xml:space="preserve"> and have received 100% forgiveness on all but one loan that has been processed.  Subsequently, that loan has been paid off.  We are now focused on assisting our customers with the forgiveness of round two loans and have already begun those efforts.</w:t>
      </w:r>
      <w:r w:rsidRPr="00A36772">
        <w:rPr>
          <w:rFonts w:ascii="Times New Roman" w:hAnsi="Times New Roman"/>
        </w:rPr>
        <w:t>”</w:t>
      </w:r>
    </w:p>
    <w:p w:rsidR="0045500E" w:rsidRPr="00A36772" w:rsidRDefault="0045500E" w:rsidP="002379BE">
      <w:pPr>
        <w:pStyle w:val="NoSpacing"/>
        <w:jc w:val="both"/>
        <w:rPr>
          <w:rFonts w:ascii="Times New Roman" w:hAnsi="Times New Roman"/>
        </w:rPr>
      </w:pPr>
    </w:p>
    <w:p w:rsidR="0045500E" w:rsidRPr="00A36772" w:rsidRDefault="0045500E" w:rsidP="002379BE">
      <w:pPr>
        <w:pStyle w:val="NoSpacing"/>
        <w:jc w:val="both"/>
        <w:rPr>
          <w:rFonts w:ascii="Times New Roman" w:hAnsi="Times New Roman"/>
        </w:rPr>
      </w:pPr>
      <w:r w:rsidRPr="00A36772">
        <w:rPr>
          <w:rFonts w:ascii="Times New Roman" w:hAnsi="Times New Roman"/>
        </w:rPr>
        <w:t xml:space="preserve">“We continue to see above average </w:t>
      </w:r>
      <w:r w:rsidR="00BE513B" w:rsidRPr="00A36772">
        <w:rPr>
          <w:rFonts w:ascii="Times New Roman" w:hAnsi="Times New Roman"/>
        </w:rPr>
        <w:t>loan demand</w:t>
      </w:r>
      <w:r w:rsidRPr="00A36772">
        <w:rPr>
          <w:rFonts w:ascii="Times New Roman" w:hAnsi="Times New Roman"/>
        </w:rPr>
        <w:t xml:space="preserve"> both from our existing customer base as well as </w:t>
      </w:r>
      <w:r w:rsidR="00BE513B" w:rsidRPr="00A36772">
        <w:rPr>
          <w:rFonts w:ascii="Times New Roman" w:hAnsi="Times New Roman"/>
        </w:rPr>
        <w:t>prospective customers who are encountering challenges with their banks.  We are well positioned to continue taking advantage of this growth opportunity but</w:t>
      </w:r>
      <w:r w:rsidR="00A36772" w:rsidRPr="00A36772">
        <w:rPr>
          <w:rFonts w:ascii="Times New Roman" w:hAnsi="Times New Roman"/>
        </w:rPr>
        <w:t>,</w:t>
      </w:r>
      <w:r w:rsidR="00BE513B" w:rsidRPr="00A36772">
        <w:rPr>
          <w:rFonts w:ascii="Times New Roman" w:hAnsi="Times New Roman"/>
        </w:rPr>
        <w:t xml:space="preserve"> as always</w:t>
      </w:r>
      <w:r w:rsidR="00A36772" w:rsidRPr="00A36772">
        <w:rPr>
          <w:rFonts w:ascii="Times New Roman" w:hAnsi="Times New Roman"/>
        </w:rPr>
        <w:t>,</w:t>
      </w:r>
      <w:r w:rsidR="00BE513B" w:rsidRPr="00A36772">
        <w:rPr>
          <w:rFonts w:ascii="Times New Roman" w:hAnsi="Times New Roman"/>
        </w:rPr>
        <w:t xml:space="preserve"> we remain focused on quality over quantity.” </w:t>
      </w:r>
    </w:p>
    <w:p w:rsidR="00BB2D35" w:rsidRPr="00A36772" w:rsidRDefault="00BB2D35" w:rsidP="002379BE">
      <w:pPr>
        <w:pStyle w:val="NoSpacing"/>
        <w:jc w:val="both"/>
        <w:rPr>
          <w:rFonts w:ascii="Times New Roman" w:hAnsi="Times New Roman"/>
        </w:rPr>
      </w:pPr>
    </w:p>
    <w:p w:rsidR="00BB2D35" w:rsidRDefault="00BB2D35" w:rsidP="002379BE">
      <w:pPr>
        <w:pStyle w:val="NoSpacing"/>
        <w:jc w:val="both"/>
        <w:rPr>
          <w:rFonts w:ascii="Times New Roman" w:hAnsi="Times New Roman"/>
        </w:rPr>
      </w:pPr>
      <w:r w:rsidRPr="00A36772">
        <w:rPr>
          <w:rFonts w:ascii="Times New Roman" w:hAnsi="Times New Roman"/>
        </w:rPr>
        <w:t>“</w:t>
      </w:r>
      <w:r w:rsidR="00BE513B" w:rsidRPr="00A36772">
        <w:rPr>
          <w:rFonts w:ascii="Times New Roman" w:hAnsi="Times New Roman"/>
        </w:rPr>
        <w:t xml:space="preserve">We are still faced with a great deal of uncertainty and </w:t>
      </w:r>
      <w:r w:rsidR="00A36772" w:rsidRPr="00A36772">
        <w:rPr>
          <w:rFonts w:ascii="Times New Roman" w:hAnsi="Times New Roman"/>
        </w:rPr>
        <w:t xml:space="preserve">have prepared accordingly, adding significantly to our Loan Loss Reserve this year, despite no material deterioration in our loan portfolio.  </w:t>
      </w:r>
      <w:r w:rsidRPr="00A36772">
        <w:rPr>
          <w:rFonts w:ascii="Times New Roman" w:hAnsi="Times New Roman"/>
        </w:rPr>
        <w:t xml:space="preserve">With our core earnings (excluding PPP impact), strong capital base, asset quality, and efficiency, </w:t>
      </w:r>
      <w:r w:rsidR="00A36772" w:rsidRPr="00A36772">
        <w:rPr>
          <w:rFonts w:ascii="Times New Roman" w:hAnsi="Times New Roman"/>
        </w:rPr>
        <w:t>we remain ready to take advantage of opportunities for continued growth</w:t>
      </w:r>
      <w:r w:rsidRPr="00A36772">
        <w:rPr>
          <w:rFonts w:ascii="Times New Roman" w:hAnsi="Times New Roman"/>
        </w:rPr>
        <w:t>.”</w:t>
      </w:r>
    </w:p>
    <w:p w:rsidR="00F721B9" w:rsidRDefault="00F721B9" w:rsidP="00B67496">
      <w:pPr>
        <w:pStyle w:val="NoSpacing"/>
        <w:rPr>
          <w:rFonts w:ascii="Times New Roman" w:hAnsi="Times New Roman"/>
        </w:rPr>
      </w:pPr>
    </w:p>
    <w:p w:rsidR="00EB0582" w:rsidRPr="00B67496" w:rsidRDefault="00EB0582" w:rsidP="00EB0582">
      <w:pPr>
        <w:rPr>
          <w:rFonts w:ascii="Times New Roman" w:hAnsi="Times New Roman"/>
          <w:sz w:val="22"/>
          <w:szCs w:val="22"/>
        </w:rPr>
      </w:pPr>
      <w:r w:rsidRPr="00B67496">
        <w:rPr>
          <w:rFonts w:ascii="Times New Roman" w:hAnsi="Times New Roman"/>
          <w:sz w:val="22"/>
          <w:szCs w:val="22"/>
        </w:rPr>
        <w:tab/>
      </w:r>
      <w:r w:rsidRPr="00B67496">
        <w:rPr>
          <w:rFonts w:ascii="Times New Roman" w:hAnsi="Times New Roman"/>
          <w:sz w:val="22"/>
          <w:szCs w:val="22"/>
        </w:rPr>
        <w:tab/>
      </w:r>
      <w:r w:rsidRPr="00B67496">
        <w:rPr>
          <w:rFonts w:ascii="Times New Roman" w:hAnsi="Times New Roman"/>
          <w:sz w:val="22"/>
          <w:szCs w:val="22"/>
        </w:rPr>
        <w:tab/>
      </w:r>
      <w:r w:rsidRPr="00B67496">
        <w:rPr>
          <w:rFonts w:ascii="Times New Roman" w:hAnsi="Times New Roman"/>
          <w:sz w:val="22"/>
          <w:szCs w:val="22"/>
        </w:rPr>
        <w:tab/>
      </w:r>
      <w:r w:rsidRPr="00B67496">
        <w:rPr>
          <w:rFonts w:ascii="Times New Roman" w:hAnsi="Times New Roman"/>
          <w:sz w:val="22"/>
          <w:szCs w:val="22"/>
        </w:rPr>
        <w:tab/>
      </w:r>
      <w:r w:rsidRPr="00B67496">
        <w:rPr>
          <w:rFonts w:ascii="Times New Roman" w:hAnsi="Times New Roman"/>
          <w:sz w:val="22"/>
          <w:szCs w:val="22"/>
        </w:rPr>
        <w:tab/>
      </w:r>
      <w:r w:rsidRPr="00B67496">
        <w:rPr>
          <w:rFonts w:ascii="Times New Roman" w:hAnsi="Times New Roman"/>
          <w:sz w:val="22"/>
          <w:szCs w:val="22"/>
        </w:rPr>
        <w:tab/>
      </w:r>
      <w:r w:rsidRPr="00B67496">
        <w:rPr>
          <w:rFonts w:ascii="Times New Roman" w:hAnsi="Times New Roman"/>
          <w:sz w:val="22"/>
          <w:szCs w:val="22"/>
        </w:rPr>
        <w:tab/>
      </w:r>
      <w:r w:rsidRPr="00B67496">
        <w:rPr>
          <w:rFonts w:ascii="Times New Roman" w:hAnsi="Times New Roman"/>
          <w:sz w:val="22"/>
          <w:szCs w:val="22"/>
        </w:rPr>
        <w:tab/>
      </w:r>
      <w:r w:rsidRPr="00B67496">
        <w:rPr>
          <w:rFonts w:ascii="Times New Roman" w:hAnsi="Times New Roman"/>
          <w:sz w:val="22"/>
          <w:szCs w:val="22"/>
        </w:rPr>
        <w:tab/>
      </w:r>
    </w:p>
    <w:p w:rsidR="002D742D" w:rsidRPr="002D742D" w:rsidRDefault="002178D7" w:rsidP="00F54397">
      <w:pPr>
        <w:pStyle w:val="NormalWeb"/>
        <w:jc w:val="both"/>
        <w:rPr>
          <w:sz w:val="22"/>
          <w:szCs w:val="22"/>
        </w:rPr>
      </w:pPr>
      <w:r w:rsidRPr="002178D7">
        <w:rPr>
          <w:noProof/>
          <w:sz w:val="22"/>
          <w:szCs w:val="22"/>
        </w:rPr>
        <w:drawing>
          <wp:inline distT="0" distB="0" distL="0" distR="0">
            <wp:extent cx="5486400" cy="71404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714045"/>
                    </a:xfrm>
                    <a:prstGeom prst="rect">
                      <a:avLst/>
                    </a:prstGeom>
                    <a:noFill/>
                    <a:ln>
                      <a:noFill/>
                    </a:ln>
                  </pic:spPr>
                </pic:pic>
              </a:graphicData>
            </a:graphic>
          </wp:inline>
        </w:drawing>
      </w:r>
    </w:p>
    <w:p w:rsidR="002D742D" w:rsidRPr="002D742D" w:rsidRDefault="002D742D" w:rsidP="00F54397">
      <w:pPr>
        <w:pStyle w:val="NormalWeb"/>
        <w:jc w:val="both"/>
        <w:rPr>
          <w:sz w:val="22"/>
          <w:szCs w:val="22"/>
        </w:rPr>
      </w:pPr>
    </w:p>
    <w:p w:rsidR="00C17A17" w:rsidRDefault="00C17A17" w:rsidP="00F54397">
      <w:pPr>
        <w:pStyle w:val="NormalWeb"/>
        <w:jc w:val="both"/>
        <w:rPr>
          <w:i/>
          <w:sz w:val="22"/>
          <w:szCs w:val="22"/>
        </w:rPr>
      </w:pPr>
      <w:r>
        <w:rPr>
          <w:i/>
          <w:sz w:val="22"/>
          <w:szCs w:val="22"/>
        </w:rPr>
        <w:lastRenderedPageBreak/>
        <w:t>Page 2 – Trinity Bank Second Quarter 2021</w:t>
      </w:r>
    </w:p>
    <w:p w:rsidR="002D742D" w:rsidRPr="00C17A17" w:rsidRDefault="002178D7" w:rsidP="00F54397">
      <w:pPr>
        <w:pStyle w:val="NormalWeb"/>
        <w:jc w:val="both"/>
        <w:rPr>
          <w:sz w:val="22"/>
          <w:szCs w:val="22"/>
        </w:rPr>
      </w:pPr>
      <w:r w:rsidRPr="002178D7">
        <w:rPr>
          <w:noProof/>
          <w:sz w:val="22"/>
          <w:szCs w:val="22"/>
        </w:rPr>
        <w:drawing>
          <wp:inline distT="0" distB="0" distL="0" distR="0">
            <wp:extent cx="5486315" cy="7394713"/>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9700" cy="7399276"/>
                    </a:xfrm>
                    <a:prstGeom prst="rect">
                      <a:avLst/>
                    </a:prstGeom>
                    <a:noFill/>
                    <a:ln>
                      <a:noFill/>
                    </a:ln>
                  </pic:spPr>
                </pic:pic>
              </a:graphicData>
            </a:graphic>
          </wp:inline>
        </w:drawing>
      </w:r>
    </w:p>
    <w:p w:rsidR="002D742D" w:rsidRDefault="002D742D" w:rsidP="00F54397">
      <w:pPr>
        <w:pStyle w:val="NormalWeb"/>
        <w:jc w:val="both"/>
        <w:rPr>
          <w:i/>
          <w:sz w:val="22"/>
          <w:szCs w:val="22"/>
        </w:rPr>
      </w:pPr>
    </w:p>
    <w:p w:rsidR="002D742D" w:rsidRDefault="002D742D" w:rsidP="00F54397">
      <w:pPr>
        <w:pStyle w:val="NormalWeb"/>
        <w:jc w:val="both"/>
        <w:rPr>
          <w:i/>
          <w:sz w:val="22"/>
          <w:szCs w:val="22"/>
        </w:rPr>
      </w:pPr>
    </w:p>
    <w:p w:rsidR="00C17A17" w:rsidRDefault="00C17A17" w:rsidP="00F54397">
      <w:pPr>
        <w:pStyle w:val="NormalWeb"/>
        <w:jc w:val="both"/>
        <w:rPr>
          <w:i/>
          <w:sz w:val="22"/>
          <w:szCs w:val="22"/>
        </w:rPr>
      </w:pPr>
    </w:p>
    <w:p w:rsidR="00D64F6D" w:rsidRPr="00D64F6D" w:rsidRDefault="006E5FDE" w:rsidP="00F54397">
      <w:pPr>
        <w:pStyle w:val="NormalWeb"/>
        <w:jc w:val="both"/>
        <w:rPr>
          <w:i/>
          <w:sz w:val="22"/>
          <w:szCs w:val="22"/>
        </w:rPr>
      </w:pPr>
      <w:r>
        <w:rPr>
          <w:i/>
          <w:sz w:val="22"/>
          <w:szCs w:val="22"/>
        </w:rPr>
        <w:t>P</w:t>
      </w:r>
      <w:r w:rsidR="00D64F6D" w:rsidRPr="00D64F6D">
        <w:rPr>
          <w:i/>
          <w:sz w:val="22"/>
          <w:szCs w:val="22"/>
        </w:rPr>
        <w:t>age 3</w:t>
      </w:r>
      <w:r>
        <w:rPr>
          <w:i/>
          <w:sz w:val="22"/>
          <w:szCs w:val="22"/>
        </w:rPr>
        <w:t xml:space="preserve"> -</w:t>
      </w:r>
      <w:r w:rsidR="00D64F6D" w:rsidRPr="00D64F6D">
        <w:rPr>
          <w:i/>
          <w:sz w:val="22"/>
          <w:szCs w:val="22"/>
        </w:rPr>
        <w:t xml:space="preserve"> </w:t>
      </w:r>
      <w:r>
        <w:rPr>
          <w:i/>
          <w:sz w:val="22"/>
        </w:rPr>
        <w:t>Trinity Bank Second Quarter 2021</w:t>
      </w:r>
    </w:p>
    <w:p w:rsidR="00D64F6D" w:rsidRDefault="00D64F6D" w:rsidP="00F54397">
      <w:pPr>
        <w:pStyle w:val="NormalWeb"/>
        <w:jc w:val="both"/>
        <w:rPr>
          <w:sz w:val="22"/>
          <w:szCs w:val="22"/>
        </w:rPr>
      </w:pPr>
    </w:p>
    <w:p w:rsidR="00EB0582" w:rsidRPr="00B67496" w:rsidRDefault="00EB0582" w:rsidP="002379BE">
      <w:pPr>
        <w:pStyle w:val="NormalWeb"/>
        <w:rPr>
          <w:sz w:val="22"/>
          <w:szCs w:val="22"/>
        </w:rPr>
      </w:pPr>
      <w:r w:rsidRPr="00B67496">
        <w:rPr>
          <w:sz w:val="22"/>
          <w:szCs w:val="22"/>
        </w:rPr>
        <w:t xml:space="preserve">Trinity Bank, N.A. is a commercial bank that began operations May 28, 2003. For a full financial statement, visit Trinity Bank’s website: </w:t>
      </w:r>
      <w:hyperlink r:id="rId10" w:history="1">
        <w:r w:rsidRPr="00B67496">
          <w:rPr>
            <w:rStyle w:val="Hyperlink"/>
            <w:sz w:val="22"/>
            <w:szCs w:val="22"/>
          </w:rPr>
          <w:t>www.trinitybk.com</w:t>
        </w:r>
      </w:hyperlink>
      <w:r w:rsidRPr="00B67496">
        <w:rPr>
          <w:sz w:val="22"/>
          <w:szCs w:val="22"/>
        </w:rPr>
        <w:t xml:space="preserve"> Regulatory reporting format is also available at </w:t>
      </w:r>
      <w:r w:rsidRPr="00B67496">
        <w:rPr>
          <w:sz w:val="22"/>
          <w:szCs w:val="22"/>
          <w:u w:val="single"/>
        </w:rPr>
        <w:t>www.fdic.gov.</w:t>
      </w:r>
    </w:p>
    <w:p w:rsidR="00EB0582" w:rsidRPr="00B67496" w:rsidRDefault="00EB0582" w:rsidP="00EB0582">
      <w:pPr>
        <w:pStyle w:val="NormalWeb"/>
        <w:jc w:val="center"/>
        <w:rPr>
          <w:sz w:val="22"/>
          <w:szCs w:val="22"/>
        </w:rPr>
      </w:pPr>
      <w:r w:rsidRPr="00B67496">
        <w:rPr>
          <w:sz w:val="22"/>
          <w:szCs w:val="22"/>
        </w:rPr>
        <w:t>###</w:t>
      </w:r>
    </w:p>
    <w:p w:rsidR="00EB0582" w:rsidRPr="00B72104" w:rsidRDefault="00EB0582" w:rsidP="00EB0582">
      <w:pPr>
        <w:rPr>
          <w:rFonts w:ascii="Times New Roman" w:hAnsi="Times New Roman"/>
          <w:b/>
          <w:i/>
          <w:sz w:val="20"/>
        </w:rPr>
      </w:pPr>
      <w:r w:rsidRPr="00B72104">
        <w:rPr>
          <w:rFonts w:ascii="Times New Roman" w:hAnsi="Times New Roman"/>
          <w:b/>
          <w:i/>
          <w:sz w:val="20"/>
        </w:rPr>
        <w:t>For information contact:</w:t>
      </w:r>
    </w:p>
    <w:p w:rsidR="00EB0582" w:rsidRPr="00B72104" w:rsidRDefault="00EB0582" w:rsidP="00EB0582">
      <w:pPr>
        <w:rPr>
          <w:rFonts w:ascii="Times New Roman" w:hAnsi="Times New Roman"/>
          <w:sz w:val="20"/>
        </w:rPr>
      </w:pPr>
      <w:r w:rsidRPr="00B72104">
        <w:rPr>
          <w:rFonts w:ascii="Times New Roman" w:hAnsi="Times New Roman"/>
          <w:sz w:val="20"/>
        </w:rPr>
        <w:t>Richard Burt</w:t>
      </w:r>
    </w:p>
    <w:p w:rsidR="00EB0582" w:rsidRPr="00B72104" w:rsidRDefault="00EB0582" w:rsidP="00EB0582">
      <w:pPr>
        <w:rPr>
          <w:rFonts w:ascii="Times New Roman" w:hAnsi="Times New Roman"/>
          <w:sz w:val="20"/>
        </w:rPr>
      </w:pPr>
      <w:r w:rsidRPr="00B72104">
        <w:rPr>
          <w:rFonts w:ascii="Times New Roman" w:hAnsi="Times New Roman"/>
          <w:sz w:val="20"/>
        </w:rPr>
        <w:t>Executive Vice President</w:t>
      </w:r>
    </w:p>
    <w:p w:rsidR="00EB0582" w:rsidRPr="00B72104" w:rsidRDefault="00EB0582" w:rsidP="00EB0582">
      <w:pPr>
        <w:rPr>
          <w:rFonts w:ascii="Times New Roman" w:hAnsi="Times New Roman"/>
          <w:sz w:val="20"/>
        </w:rPr>
      </w:pPr>
      <w:r w:rsidRPr="00B72104">
        <w:rPr>
          <w:rFonts w:ascii="Times New Roman" w:hAnsi="Times New Roman"/>
          <w:sz w:val="20"/>
        </w:rPr>
        <w:t>Trinity Bank</w:t>
      </w:r>
    </w:p>
    <w:p w:rsidR="00EB0582" w:rsidRPr="00B72104" w:rsidRDefault="00EB0582" w:rsidP="00EB0582">
      <w:pPr>
        <w:rPr>
          <w:rFonts w:ascii="Times New Roman" w:hAnsi="Times New Roman"/>
          <w:sz w:val="20"/>
        </w:rPr>
      </w:pPr>
      <w:r w:rsidRPr="00B72104">
        <w:rPr>
          <w:rFonts w:ascii="Times New Roman" w:hAnsi="Times New Roman"/>
          <w:sz w:val="20"/>
        </w:rPr>
        <w:t>817-763-9966</w:t>
      </w:r>
    </w:p>
    <w:p w:rsidR="00EB0582" w:rsidRPr="00B72104" w:rsidRDefault="00EB0582" w:rsidP="00EB0582">
      <w:pPr>
        <w:rPr>
          <w:rFonts w:ascii="Times New Roman" w:hAnsi="Times New Roman"/>
          <w:sz w:val="20"/>
        </w:rPr>
      </w:pPr>
    </w:p>
    <w:p w:rsidR="00EB0582" w:rsidRDefault="00EB0582" w:rsidP="00EB0582">
      <w:pPr>
        <w:pStyle w:val="BodyTextFirstIndent"/>
        <w:ind w:firstLine="0"/>
        <w:jc w:val="both"/>
        <w:rPr>
          <w:rFonts w:ascii="Times New Roman" w:hAnsi="Times New Roman"/>
          <w:sz w:val="16"/>
        </w:rPr>
      </w:pPr>
      <w:r w:rsidRPr="00B72104">
        <w:rPr>
          <w:rFonts w:ascii="Times New Roman" w:hAnsi="Times New Roman"/>
          <w:sz w:val="16"/>
        </w:rPr>
        <w:t>This Press Release may contain certain forward-looking statements within the meaning of the Private Securities Litigation Reform Act of 1995 regarding future financial conditions, results of operations and the Bank's business operations. Such forward-looking statements involve risks, uncertainties and assumptions, including, but not limited to, monetary policy and general economic conditions in Texas and the greater Dallas-Fort Worth metropolitan area, the risks of changes in interest rates on the level and composition of deposits, loan demand and the values of loan collateral, securities and interest rate protection agreements, the actions of competitors and customers, the success of the Bank in implementing its strategic plan, the failure of the assumptions underlying the reserves for loan losses and the estimations of values of collateral and various financial assets and liabilities, that the costs of technological changes are more difficult or expensive than anticipated, the effects of regulatory restrictions imposed on banks generally, any changes in fiscal, monetary or regulatory policies and other uncertainties as discussed in the Bank's Registration Statement on Form SB</w:t>
      </w:r>
      <w:r w:rsidRPr="00B72104">
        <w:rPr>
          <w:rFonts w:ascii="Times New Roman" w:hAnsi="Times New Roman"/>
          <w:sz w:val="16"/>
        </w:rPr>
        <w:noBreakHyphen/>
        <w:t>1 filed with the Office of the Comptroller of the Currency.  Should one or more of these risks or uncertainties materialize, or should these underlying assumptions prove incorrect, actual outcomes may vary materially from outcomes expected or anticipated by the Bank.  A forward-looking statement may include a statement of the assumptions or bases underlying the forward</w:t>
      </w:r>
      <w:r w:rsidRPr="00B72104">
        <w:rPr>
          <w:rFonts w:ascii="Times New Roman" w:hAnsi="Times New Roman"/>
          <w:sz w:val="16"/>
        </w:rPr>
        <w:noBreakHyphen/>
        <w:t>looking statement.  The Bank believes it has chosen these assumptions or bases in good faith and that they are reasonable.  However, the Bank cautions you that assumptions or bases almost always vary from actual results, and the differences between assumptions or bases and actual results can be material.  The Bank undertakes no obligation to publicly update or otherwise revise any forward</w:t>
      </w:r>
      <w:r w:rsidRPr="00B72104">
        <w:rPr>
          <w:rFonts w:ascii="Times New Roman" w:hAnsi="Times New Roman"/>
          <w:sz w:val="16"/>
        </w:rPr>
        <w:noBreakHyphen/>
        <w:t>looking statements, whether as a result of new information, future events or otherwise, unless the securities laws require the Bank to do so.</w:t>
      </w:r>
    </w:p>
    <w:sectPr w:rsidR="00EB0582" w:rsidSect="00A7257A">
      <w:headerReference w:type="default" r:id="rId11"/>
      <w:footerReference w:type="even" r:id="rId12"/>
      <w:pgSz w:w="12240" w:h="15840"/>
      <w:pgMar w:top="1296" w:right="1800" w:bottom="1008" w:left="18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2887" w:rsidRDefault="001C2887">
      <w:r>
        <w:separator/>
      </w:r>
    </w:p>
  </w:endnote>
  <w:endnote w:type="continuationSeparator" w:id="0">
    <w:p w:rsidR="001C2887" w:rsidRDefault="001C2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pfHumnst BT">
    <w:altName w:val="Lucida Sans Unicode"/>
    <w:charset w:val="00"/>
    <w:family w:val="swiss"/>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6B1F" w:rsidRDefault="00916B1F" w:rsidP="00E332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16B1F" w:rsidRDefault="00916B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2887" w:rsidRDefault="001C2887">
      <w:r>
        <w:separator/>
      </w:r>
    </w:p>
  </w:footnote>
  <w:footnote w:type="continuationSeparator" w:id="0">
    <w:p w:rsidR="001C2887" w:rsidRDefault="001C28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6B1F" w:rsidRDefault="00916B1F" w:rsidP="00A7257A">
    <w:pPr>
      <w:pStyle w:val="Header"/>
      <w:rPr>
        <w:rFonts w:ascii="Times New Roman" w:hAnsi="Times New Roman"/>
        <w:i/>
        <w:sz w:val="22"/>
        <w:szCs w:val="22"/>
      </w:rPr>
    </w:pPr>
  </w:p>
  <w:p w:rsidR="00916B1F" w:rsidRPr="00A7257A" w:rsidRDefault="00916B1F" w:rsidP="00A7257A">
    <w:pPr>
      <w:pStyle w:val="Header"/>
      <w:rPr>
        <w:rFonts w:ascii="Times New Roman" w:hAnsi="Times New Roman"/>
        <w:i/>
        <w:sz w:val="22"/>
        <w:szCs w:val="22"/>
      </w:rPr>
    </w:pPr>
  </w:p>
  <w:p w:rsidR="00916B1F" w:rsidRDefault="00916B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9B1FCC"/>
    <w:multiLevelType w:val="hybridMultilevel"/>
    <w:tmpl w:val="E256811C"/>
    <w:lvl w:ilvl="0" w:tplc="8B58206A">
      <w:start w:val="1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9E9"/>
    <w:rsid w:val="0000582C"/>
    <w:rsid w:val="00013684"/>
    <w:rsid w:val="0002722F"/>
    <w:rsid w:val="00043BE5"/>
    <w:rsid w:val="000469C5"/>
    <w:rsid w:val="00050FB4"/>
    <w:rsid w:val="00052D96"/>
    <w:rsid w:val="00054816"/>
    <w:rsid w:val="00064395"/>
    <w:rsid w:val="00067612"/>
    <w:rsid w:val="00073BD4"/>
    <w:rsid w:val="000857ED"/>
    <w:rsid w:val="00091EE7"/>
    <w:rsid w:val="00093182"/>
    <w:rsid w:val="000A4F86"/>
    <w:rsid w:val="000A68F3"/>
    <w:rsid w:val="000B38E2"/>
    <w:rsid w:val="000C3483"/>
    <w:rsid w:val="000C7753"/>
    <w:rsid w:val="000D5BFE"/>
    <w:rsid w:val="000E0F74"/>
    <w:rsid w:val="000E257E"/>
    <w:rsid w:val="000E2614"/>
    <w:rsid w:val="000E4A9A"/>
    <w:rsid w:val="001005E9"/>
    <w:rsid w:val="00114CCD"/>
    <w:rsid w:val="00141757"/>
    <w:rsid w:val="001419E9"/>
    <w:rsid w:val="00166BC4"/>
    <w:rsid w:val="001726F3"/>
    <w:rsid w:val="001813E9"/>
    <w:rsid w:val="00187002"/>
    <w:rsid w:val="001902E9"/>
    <w:rsid w:val="001B23BB"/>
    <w:rsid w:val="001B317E"/>
    <w:rsid w:val="001C2887"/>
    <w:rsid w:val="001C35CA"/>
    <w:rsid w:val="001C6025"/>
    <w:rsid w:val="001E05FC"/>
    <w:rsid w:val="001E3DEA"/>
    <w:rsid w:val="001F1A1A"/>
    <w:rsid w:val="001F25E1"/>
    <w:rsid w:val="001F78EE"/>
    <w:rsid w:val="00204291"/>
    <w:rsid w:val="002178D7"/>
    <w:rsid w:val="0022613A"/>
    <w:rsid w:val="00234303"/>
    <w:rsid w:val="002379BE"/>
    <w:rsid w:val="00254DD6"/>
    <w:rsid w:val="00255668"/>
    <w:rsid w:val="0026069D"/>
    <w:rsid w:val="00264667"/>
    <w:rsid w:val="00266A6E"/>
    <w:rsid w:val="00277F52"/>
    <w:rsid w:val="00280E2C"/>
    <w:rsid w:val="0028494E"/>
    <w:rsid w:val="0029441C"/>
    <w:rsid w:val="002A0F1E"/>
    <w:rsid w:val="002A3D82"/>
    <w:rsid w:val="002A4810"/>
    <w:rsid w:val="002A5D4B"/>
    <w:rsid w:val="002A67F9"/>
    <w:rsid w:val="002C30BD"/>
    <w:rsid w:val="002D2334"/>
    <w:rsid w:val="002D49BB"/>
    <w:rsid w:val="002D742D"/>
    <w:rsid w:val="002E7852"/>
    <w:rsid w:val="002E7DBB"/>
    <w:rsid w:val="002F31BE"/>
    <w:rsid w:val="002F522B"/>
    <w:rsid w:val="0031277D"/>
    <w:rsid w:val="00317765"/>
    <w:rsid w:val="003219FA"/>
    <w:rsid w:val="0034092C"/>
    <w:rsid w:val="00344132"/>
    <w:rsid w:val="00346877"/>
    <w:rsid w:val="00352653"/>
    <w:rsid w:val="0036409E"/>
    <w:rsid w:val="00371AF9"/>
    <w:rsid w:val="00372F6B"/>
    <w:rsid w:val="00383DFA"/>
    <w:rsid w:val="00394D3D"/>
    <w:rsid w:val="003A018D"/>
    <w:rsid w:val="003A0B6C"/>
    <w:rsid w:val="003A4E9E"/>
    <w:rsid w:val="003C44D2"/>
    <w:rsid w:val="003D460E"/>
    <w:rsid w:val="003E2D53"/>
    <w:rsid w:val="004057FB"/>
    <w:rsid w:val="00410036"/>
    <w:rsid w:val="004131ED"/>
    <w:rsid w:val="00414ACA"/>
    <w:rsid w:val="0041545B"/>
    <w:rsid w:val="00425DCE"/>
    <w:rsid w:val="00426323"/>
    <w:rsid w:val="004273EC"/>
    <w:rsid w:val="004329E4"/>
    <w:rsid w:val="004459F7"/>
    <w:rsid w:val="0045500E"/>
    <w:rsid w:val="00463B51"/>
    <w:rsid w:val="00475C1D"/>
    <w:rsid w:val="00490C4C"/>
    <w:rsid w:val="004A25F6"/>
    <w:rsid w:val="004A53AD"/>
    <w:rsid w:val="004C12F0"/>
    <w:rsid w:val="004D41E5"/>
    <w:rsid w:val="004E427F"/>
    <w:rsid w:val="004E7BF5"/>
    <w:rsid w:val="004E7CAF"/>
    <w:rsid w:val="004F0786"/>
    <w:rsid w:val="004F0FEE"/>
    <w:rsid w:val="004F71D4"/>
    <w:rsid w:val="005118F6"/>
    <w:rsid w:val="00512708"/>
    <w:rsid w:val="005336FF"/>
    <w:rsid w:val="00557BFC"/>
    <w:rsid w:val="0057548D"/>
    <w:rsid w:val="00576E16"/>
    <w:rsid w:val="0058359C"/>
    <w:rsid w:val="00584159"/>
    <w:rsid w:val="00584A7F"/>
    <w:rsid w:val="0059341A"/>
    <w:rsid w:val="005970D2"/>
    <w:rsid w:val="005A441E"/>
    <w:rsid w:val="005D12F2"/>
    <w:rsid w:val="005F0A7C"/>
    <w:rsid w:val="0060319E"/>
    <w:rsid w:val="006067DD"/>
    <w:rsid w:val="00615210"/>
    <w:rsid w:val="006509F3"/>
    <w:rsid w:val="00680CDF"/>
    <w:rsid w:val="00681A70"/>
    <w:rsid w:val="006A08D1"/>
    <w:rsid w:val="006A6561"/>
    <w:rsid w:val="006A69C2"/>
    <w:rsid w:val="006B3297"/>
    <w:rsid w:val="006B7A30"/>
    <w:rsid w:val="006C6FA1"/>
    <w:rsid w:val="006D2D24"/>
    <w:rsid w:val="006D58E3"/>
    <w:rsid w:val="006E5FDE"/>
    <w:rsid w:val="006F2E07"/>
    <w:rsid w:val="007034CF"/>
    <w:rsid w:val="00710343"/>
    <w:rsid w:val="007169E4"/>
    <w:rsid w:val="007207A3"/>
    <w:rsid w:val="00720BCF"/>
    <w:rsid w:val="00722DD6"/>
    <w:rsid w:val="007253A9"/>
    <w:rsid w:val="0072673A"/>
    <w:rsid w:val="0073709D"/>
    <w:rsid w:val="00742E70"/>
    <w:rsid w:val="00744041"/>
    <w:rsid w:val="0075252F"/>
    <w:rsid w:val="00773797"/>
    <w:rsid w:val="007A0272"/>
    <w:rsid w:val="007A15CD"/>
    <w:rsid w:val="007A29AC"/>
    <w:rsid w:val="007A3194"/>
    <w:rsid w:val="007B2E56"/>
    <w:rsid w:val="007B3D7E"/>
    <w:rsid w:val="007E75AD"/>
    <w:rsid w:val="007F7B5A"/>
    <w:rsid w:val="00806341"/>
    <w:rsid w:val="00812844"/>
    <w:rsid w:val="00814E77"/>
    <w:rsid w:val="008155A4"/>
    <w:rsid w:val="00816ADB"/>
    <w:rsid w:val="00816C5F"/>
    <w:rsid w:val="00831476"/>
    <w:rsid w:val="00840F67"/>
    <w:rsid w:val="0084755D"/>
    <w:rsid w:val="00874D79"/>
    <w:rsid w:val="008766FF"/>
    <w:rsid w:val="00877055"/>
    <w:rsid w:val="0088403C"/>
    <w:rsid w:val="008934F1"/>
    <w:rsid w:val="008B6FD6"/>
    <w:rsid w:val="008C0786"/>
    <w:rsid w:val="008D22A0"/>
    <w:rsid w:val="008D600F"/>
    <w:rsid w:val="008D63FA"/>
    <w:rsid w:val="008E078E"/>
    <w:rsid w:val="009021DB"/>
    <w:rsid w:val="00902D66"/>
    <w:rsid w:val="009062DB"/>
    <w:rsid w:val="00916B1F"/>
    <w:rsid w:val="00922022"/>
    <w:rsid w:val="009234F9"/>
    <w:rsid w:val="009331A4"/>
    <w:rsid w:val="009366DB"/>
    <w:rsid w:val="00945A07"/>
    <w:rsid w:val="00962986"/>
    <w:rsid w:val="00963C3C"/>
    <w:rsid w:val="00967DC6"/>
    <w:rsid w:val="00974035"/>
    <w:rsid w:val="00974FCF"/>
    <w:rsid w:val="0097696D"/>
    <w:rsid w:val="009863C0"/>
    <w:rsid w:val="00991828"/>
    <w:rsid w:val="009943E9"/>
    <w:rsid w:val="009A6953"/>
    <w:rsid w:val="009A6D24"/>
    <w:rsid w:val="009A7C9D"/>
    <w:rsid w:val="009E0F1E"/>
    <w:rsid w:val="009E2087"/>
    <w:rsid w:val="009E35D5"/>
    <w:rsid w:val="00A00D6C"/>
    <w:rsid w:val="00A06516"/>
    <w:rsid w:val="00A20B35"/>
    <w:rsid w:val="00A218E9"/>
    <w:rsid w:val="00A22069"/>
    <w:rsid w:val="00A228CE"/>
    <w:rsid w:val="00A34FF1"/>
    <w:rsid w:val="00A36772"/>
    <w:rsid w:val="00A454FF"/>
    <w:rsid w:val="00A55214"/>
    <w:rsid w:val="00A5774D"/>
    <w:rsid w:val="00A63352"/>
    <w:rsid w:val="00A6462F"/>
    <w:rsid w:val="00A7257A"/>
    <w:rsid w:val="00A7643D"/>
    <w:rsid w:val="00A813A7"/>
    <w:rsid w:val="00A82221"/>
    <w:rsid w:val="00A87040"/>
    <w:rsid w:val="00A87328"/>
    <w:rsid w:val="00AA0DCC"/>
    <w:rsid w:val="00AB4E01"/>
    <w:rsid w:val="00AB6B11"/>
    <w:rsid w:val="00AE7832"/>
    <w:rsid w:val="00B013B2"/>
    <w:rsid w:val="00B06CF6"/>
    <w:rsid w:val="00B1127A"/>
    <w:rsid w:val="00B129FF"/>
    <w:rsid w:val="00B20677"/>
    <w:rsid w:val="00B25F62"/>
    <w:rsid w:val="00B275C1"/>
    <w:rsid w:val="00B3384C"/>
    <w:rsid w:val="00B41428"/>
    <w:rsid w:val="00B51ED9"/>
    <w:rsid w:val="00B53B79"/>
    <w:rsid w:val="00B562D1"/>
    <w:rsid w:val="00B61CE7"/>
    <w:rsid w:val="00B67496"/>
    <w:rsid w:val="00B72104"/>
    <w:rsid w:val="00B73005"/>
    <w:rsid w:val="00BA3B26"/>
    <w:rsid w:val="00BB2D35"/>
    <w:rsid w:val="00BC3EB9"/>
    <w:rsid w:val="00BC47A1"/>
    <w:rsid w:val="00BD0B7D"/>
    <w:rsid w:val="00BD2C26"/>
    <w:rsid w:val="00BE17C4"/>
    <w:rsid w:val="00BE513B"/>
    <w:rsid w:val="00BF453C"/>
    <w:rsid w:val="00C02CEC"/>
    <w:rsid w:val="00C0721A"/>
    <w:rsid w:val="00C12C0C"/>
    <w:rsid w:val="00C17A17"/>
    <w:rsid w:val="00C362EB"/>
    <w:rsid w:val="00C44A0B"/>
    <w:rsid w:val="00C45830"/>
    <w:rsid w:val="00C474A1"/>
    <w:rsid w:val="00C5257A"/>
    <w:rsid w:val="00C53B15"/>
    <w:rsid w:val="00C61014"/>
    <w:rsid w:val="00C615A0"/>
    <w:rsid w:val="00C6224A"/>
    <w:rsid w:val="00C6567C"/>
    <w:rsid w:val="00C84D76"/>
    <w:rsid w:val="00C850FA"/>
    <w:rsid w:val="00C90DB4"/>
    <w:rsid w:val="00CA7051"/>
    <w:rsid w:val="00CA74BA"/>
    <w:rsid w:val="00CD2AF2"/>
    <w:rsid w:val="00CF15F3"/>
    <w:rsid w:val="00D107B7"/>
    <w:rsid w:val="00D12360"/>
    <w:rsid w:val="00D12E06"/>
    <w:rsid w:val="00D1678A"/>
    <w:rsid w:val="00D20868"/>
    <w:rsid w:val="00D2175A"/>
    <w:rsid w:val="00D219C5"/>
    <w:rsid w:val="00D245CB"/>
    <w:rsid w:val="00D3190F"/>
    <w:rsid w:val="00D338A4"/>
    <w:rsid w:val="00D4174D"/>
    <w:rsid w:val="00D4219E"/>
    <w:rsid w:val="00D46DA3"/>
    <w:rsid w:val="00D64F6D"/>
    <w:rsid w:val="00D84FF6"/>
    <w:rsid w:val="00DB4023"/>
    <w:rsid w:val="00DC170D"/>
    <w:rsid w:val="00DC6E49"/>
    <w:rsid w:val="00DD3F26"/>
    <w:rsid w:val="00DE0C0C"/>
    <w:rsid w:val="00DE3F6E"/>
    <w:rsid w:val="00DF1F47"/>
    <w:rsid w:val="00E020CA"/>
    <w:rsid w:val="00E12378"/>
    <w:rsid w:val="00E17A9E"/>
    <w:rsid w:val="00E23EA6"/>
    <w:rsid w:val="00E257E9"/>
    <w:rsid w:val="00E27083"/>
    <w:rsid w:val="00E27FC8"/>
    <w:rsid w:val="00E332B1"/>
    <w:rsid w:val="00E34983"/>
    <w:rsid w:val="00E37C4E"/>
    <w:rsid w:val="00E41D01"/>
    <w:rsid w:val="00E46C69"/>
    <w:rsid w:val="00E53342"/>
    <w:rsid w:val="00E642BD"/>
    <w:rsid w:val="00E662C7"/>
    <w:rsid w:val="00EB0582"/>
    <w:rsid w:val="00EE13C7"/>
    <w:rsid w:val="00EE5126"/>
    <w:rsid w:val="00EE56AB"/>
    <w:rsid w:val="00EF061D"/>
    <w:rsid w:val="00F114AA"/>
    <w:rsid w:val="00F128DB"/>
    <w:rsid w:val="00F206C9"/>
    <w:rsid w:val="00F353FB"/>
    <w:rsid w:val="00F35FAB"/>
    <w:rsid w:val="00F4577E"/>
    <w:rsid w:val="00F471A7"/>
    <w:rsid w:val="00F47F60"/>
    <w:rsid w:val="00F54397"/>
    <w:rsid w:val="00F602B0"/>
    <w:rsid w:val="00F66D3D"/>
    <w:rsid w:val="00F721B9"/>
    <w:rsid w:val="00F751C2"/>
    <w:rsid w:val="00F815CA"/>
    <w:rsid w:val="00F91888"/>
    <w:rsid w:val="00F9758D"/>
    <w:rsid w:val="00FA268D"/>
    <w:rsid w:val="00FA2D1A"/>
    <w:rsid w:val="00FA448A"/>
    <w:rsid w:val="00FA4C0C"/>
    <w:rsid w:val="00FC4F88"/>
    <w:rsid w:val="00FD1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7A817A"/>
  <w15:chartTrackingRefBased/>
  <w15:docId w15:val="{ACDE246F-CB8B-4425-BBCA-88D1DF255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ZapfHumnst BT" w:hAnsi="ZapfHumnst BT"/>
      <w:sz w:val="24"/>
    </w:rPr>
  </w:style>
  <w:style w:type="paragraph" w:styleId="Heading1">
    <w:name w:val="heading 1"/>
    <w:basedOn w:val="Normal"/>
    <w:next w:val="Normal"/>
    <w:qFormat/>
    <w:pPr>
      <w:keepNext/>
      <w:outlineLvl w:val="0"/>
    </w:pPr>
    <w:rPr>
      <w:rFonts w:ascii="Arial" w:hAnsi="Arial"/>
      <w:b/>
      <w:i/>
      <w:sz w:val="20"/>
    </w:rPr>
  </w:style>
  <w:style w:type="paragraph" w:styleId="Heading2">
    <w:name w:val="heading 2"/>
    <w:basedOn w:val="Normal"/>
    <w:next w:val="Normal"/>
    <w:link w:val="Heading2Char"/>
    <w:qFormat/>
    <w:pPr>
      <w:keepNext/>
      <w:outlineLvl w:val="1"/>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NormalWeb">
    <w:name w:val="Normal (Web)"/>
    <w:basedOn w:val="Normal"/>
    <w:pPr>
      <w:spacing w:before="100" w:after="100"/>
    </w:pPr>
    <w:rPr>
      <w:rFonts w:ascii="Times New Roman" w:hAnsi="Times New Roman"/>
    </w:rPr>
  </w:style>
  <w:style w:type="character" w:styleId="Hyperlink">
    <w:name w:val="Hyperlink"/>
    <w:rPr>
      <w:color w:val="0000FF"/>
      <w:u w:val="single"/>
    </w:rPr>
  </w:style>
  <w:style w:type="paragraph" w:styleId="BodyText">
    <w:name w:val="Body Text"/>
    <w:basedOn w:val="Normal"/>
    <w:pPr>
      <w:spacing w:after="120"/>
    </w:p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paragraph" w:styleId="BodyTextFirstIndent">
    <w:name w:val="Body Text First Indent"/>
    <w:basedOn w:val="BodyText"/>
    <w:link w:val="BodyTextFirstIndentChar"/>
    <w:pPr>
      <w:ind w:firstLine="210"/>
    </w:pPr>
  </w:style>
  <w:style w:type="paragraph" w:styleId="BalloonText">
    <w:name w:val="Balloon Text"/>
    <w:basedOn w:val="Normal"/>
    <w:semiHidden/>
    <w:rPr>
      <w:rFonts w:ascii="Tahoma" w:hAnsi="Tahoma" w:cs="Tahoma"/>
      <w:sz w:val="16"/>
      <w:szCs w:val="16"/>
    </w:rPr>
  </w:style>
  <w:style w:type="paragraph" w:styleId="Footer">
    <w:name w:val="footer"/>
    <w:basedOn w:val="Normal"/>
    <w:rsid w:val="001C6025"/>
    <w:pPr>
      <w:tabs>
        <w:tab w:val="center" w:pos="4320"/>
        <w:tab w:val="right" w:pos="8640"/>
      </w:tabs>
    </w:pPr>
  </w:style>
  <w:style w:type="character" w:styleId="PageNumber">
    <w:name w:val="page number"/>
    <w:basedOn w:val="DefaultParagraphFont"/>
    <w:rsid w:val="001C6025"/>
  </w:style>
  <w:style w:type="paragraph" w:styleId="Header">
    <w:name w:val="header"/>
    <w:basedOn w:val="Normal"/>
    <w:rsid w:val="00F128DB"/>
    <w:pPr>
      <w:tabs>
        <w:tab w:val="center" w:pos="4320"/>
        <w:tab w:val="right" w:pos="8640"/>
      </w:tabs>
    </w:pPr>
  </w:style>
  <w:style w:type="character" w:customStyle="1" w:styleId="Heading2Char">
    <w:name w:val="Heading 2 Char"/>
    <w:link w:val="Heading2"/>
    <w:rsid w:val="00A228CE"/>
    <w:rPr>
      <w:b/>
      <w:sz w:val="24"/>
    </w:rPr>
  </w:style>
  <w:style w:type="character" w:customStyle="1" w:styleId="HTMLPreformattedChar">
    <w:name w:val="HTML Preformatted Char"/>
    <w:link w:val="HTMLPreformatted"/>
    <w:rsid w:val="00A228CE"/>
    <w:rPr>
      <w:rFonts w:ascii="Courier New" w:hAnsi="Courier New"/>
    </w:rPr>
  </w:style>
  <w:style w:type="character" w:customStyle="1" w:styleId="BodyTextFirstIndentChar">
    <w:name w:val="Body Text First Indent Char"/>
    <w:link w:val="BodyTextFirstIndent"/>
    <w:rsid w:val="00EB0582"/>
    <w:rPr>
      <w:rFonts w:ascii="ZapfHumnst BT" w:hAnsi="ZapfHumnst BT"/>
      <w:sz w:val="24"/>
    </w:rPr>
  </w:style>
  <w:style w:type="paragraph" w:styleId="NoSpacing">
    <w:name w:val="No Spacing"/>
    <w:uiPriority w:val="1"/>
    <w:qFormat/>
    <w:rsid w:val="00B67496"/>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551037">
      <w:bodyDiv w:val="1"/>
      <w:marLeft w:val="0"/>
      <w:marRight w:val="0"/>
      <w:marTop w:val="0"/>
      <w:marBottom w:val="0"/>
      <w:divBdr>
        <w:top w:val="none" w:sz="0" w:space="0" w:color="auto"/>
        <w:left w:val="none" w:sz="0" w:space="0" w:color="auto"/>
        <w:bottom w:val="none" w:sz="0" w:space="0" w:color="auto"/>
        <w:right w:val="none" w:sz="0" w:space="0" w:color="auto"/>
      </w:divBdr>
    </w:div>
    <w:div w:id="433020711">
      <w:bodyDiv w:val="1"/>
      <w:marLeft w:val="0"/>
      <w:marRight w:val="0"/>
      <w:marTop w:val="0"/>
      <w:marBottom w:val="0"/>
      <w:divBdr>
        <w:top w:val="none" w:sz="0" w:space="0" w:color="auto"/>
        <w:left w:val="none" w:sz="0" w:space="0" w:color="auto"/>
        <w:bottom w:val="none" w:sz="0" w:space="0" w:color="auto"/>
        <w:right w:val="none" w:sz="0" w:space="0" w:color="auto"/>
      </w:divBdr>
    </w:div>
    <w:div w:id="687218307">
      <w:bodyDiv w:val="1"/>
      <w:marLeft w:val="0"/>
      <w:marRight w:val="0"/>
      <w:marTop w:val="0"/>
      <w:marBottom w:val="0"/>
      <w:divBdr>
        <w:top w:val="none" w:sz="0" w:space="0" w:color="auto"/>
        <w:left w:val="none" w:sz="0" w:space="0" w:color="auto"/>
        <w:bottom w:val="none" w:sz="0" w:space="0" w:color="auto"/>
        <w:right w:val="none" w:sz="0" w:space="0" w:color="auto"/>
      </w:divBdr>
    </w:div>
    <w:div w:id="1184592632">
      <w:bodyDiv w:val="1"/>
      <w:marLeft w:val="0"/>
      <w:marRight w:val="0"/>
      <w:marTop w:val="0"/>
      <w:marBottom w:val="0"/>
      <w:divBdr>
        <w:top w:val="none" w:sz="0" w:space="0" w:color="auto"/>
        <w:left w:val="none" w:sz="0" w:space="0" w:color="auto"/>
        <w:bottom w:val="none" w:sz="0" w:space="0" w:color="auto"/>
        <w:right w:val="none" w:sz="0" w:space="0" w:color="auto"/>
      </w:divBdr>
    </w:div>
    <w:div w:id="1192692658">
      <w:bodyDiv w:val="1"/>
      <w:marLeft w:val="0"/>
      <w:marRight w:val="0"/>
      <w:marTop w:val="0"/>
      <w:marBottom w:val="0"/>
      <w:divBdr>
        <w:top w:val="none" w:sz="0" w:space="0" w:color="auto"/>
        <w:left w:val="none" w:sz="0" w:space="0" w:color="auto"/>
        <w:bottom w:val="none" w:sz="0" w:space="0" w:color="auto"/>
        <w:right w:val="none" w:sz="0" w:space="0" w:color="auto"/>
      </w:divBdr>
    </w:div>
    <w:div w:id="1199585054">
      <w:bodyDiv w:val="1"/>
      <w:marLeft w:val="0"/>
      <w:marRight w:val="0"/>
      <w:marTop w:val="0"/>
      <w:marBottom w:val="0"/>
      <w:divBdr>
        <w:top w:val="none" w:sz="0" w:space="0" w:color="auto"/>
        <w:left w:val="none" w:sz="0" w:space="0" w:color="auto"/>
        <w:bottom w:val="none" w:sz="0" w:space="0" w:color="auto"/>
        <w:right w:val="none" w:sz="0" w:space="0" w:color="auto"/>
      </w:divBdr>
    </w:div>
    <w:div w:id="1209341860">
      <w:bodyDiv w:val="1"/>
      <w:marLeft w:val="0"/>
      <w:marRight w:val="0"/>
      <w:marTop w:val="0"/>
      <w:marBottom w:val="0"/>
      <w:divBdr>
        <w:top w:val="none" w:sz="0" w:space="0" w:color="auto"/>
        <w:left w:val="none" w:sz="0" w:space="0" w:color="auto"/>
        <w:bottom w:val="none" w:sz="0" w:space="0" w:color="auto"/>
        <w:right w:val="none" w:sz="0" w:space="0" w:color="auto"/>
      </w:divBdr>
    </w:div>
    <w:div w:id="1303190541">
      <w:bodyDiv w:val="1"/>
      <w:marLeft w:val="0"/>
      <w:marRight w:val="0"/>
      <w:marTop w:val="0"/>
      <w:marBottom w:val="0"/>
      <w:divBdr>
        <w:top w:val="none" w:sz="0" w:space="0" w:color="auto"/>
        <w:left w:val="none" w:sz="0" w:space="0" w:color="auto"/>
        <w:bottom w:val="none" w:sz="0" w:space="0" w:color="auto"/>
        <w:right w:val="none" w:sz="0" w:space="0" w:color="auto"/>
      </w:divBdr>
    </w:div>
    <w:div w:id="1380520715">
      <w:bodyDiv w:val="1"/>
      <w:marLeft w:val="0"/>
      <w:marRight w:val="0"/>
      <w:marTop w:val="0"/>
      <w:marBottom w:val="0"/>
      <w:divBdr>
        <w:top w:val="none" w:sz="0" w:space="0" w:color="auto"/>
        <w:left w:val="none" w:sz="0" w:space="0" w:color="auto"/>
        <w:bottom w:val="none" w:sz="0" w:space="0" w:color="auto"/>
        <w:right w:val="none" w:sz="0" w:space="0" w:color="auto"/>
      </w:divBdr>
    </w:div>
    <w:div w:id="1394113884">
      <w:bodyDiv w:val="1"/>
      <w:marLeft w:val="0"/>
      <w:marRight w:val="0"/>
      <w:marTop w:val="0"/>
      <w:marBottom w:val="0"/>
      <w:divBdr>
        <w:top w:val="none" w:sz="0" w:space="0" w:color="auto"/>
        <w:left w:val="none" w:sz="0" w:space="0" w:color="auto"/>
        <w:bottom w:val="none" w:sz="0" w:space="0" w:color="auto"/>
        <w:right w:val="none" w:sz="0" w:space="0" w:color="auto"/>
      </w:divBdr>
    </w:div>
    <w:div w:id="1399092746">
      <w:bodyDiv w:val="1"/>
      <w:marLeft w:val="0"/>
      <w:marRight w:val="0"/>
      <w:marTop w:val="0"/>
      <w:marBottom w:val="0"/>
      <w:divBdr>
        <w:top w:val="none" w:sz="0" w:space="0" w:color="auto"/>
        <w:left w:val="none" w:sz="0" w:space="0" w:color="auto"/>
        <w:bottom w:val="none" w:sz="0" w:space="0" w:color="auto"/>
        <w:right w:val="none" w:sz="0" w:space="0" w:color="auto"/>
      </w:divBdr>
    </w:div>
    <w:div w:id="1425036112">
      <w:bodyDiv w:val="1"/>
      <w:marLeft w:val="0"/>
      <w:marRight w:val="0"/>
      <w:marTop w:val="0"/>
      <w:marBottom w:val="0"/>
      <w:divBdr>
        <w:top w:val="none" w:sz="0" w:space="0" w:color="auto"/>
        <w:left w:val="none" w:sz="0" w:space="0" w:color="auto"/>
        <w:bottom w:val="none" w:sz="0" w:space="0" w:color="auto"/>
        <w:right w:val="none" w:sz="0" w:space="0" w:color="auto"/>
      </w:divBdr>
    </w:div>
    <w:div w:id="1575974584">
      <w:bodyDiv w:val="1"/>
      <w:marLeft w:val="0"/>
      <w:marRight w:val="0"/>
      <w:marTop w:val="0"/>
      <w:marBottom w:val="0"/>
      <w:divBdr>
        <w:top w:val="none" w:sz="0" w:space="0" w:color="auto"/>
        <w:left w:val="none" w:sz="0" w:space="0" w:color="auto"/>
        <w:bottom w:val="none" w:sz="0" w:space="0" w:color="auto"/>
        <w:right w:val="none" w:sz="0" w:space="0" w:color="auto"/>
      </w:divBdr>
    </w:div>
    <w:div w:id="1644115046">
      <w:bodyDiv w:val="1"/>
      <w:marLeft w:val="0"/>
      <w:marRight w:val="0"/>
      <w:marTop w:val="0"/>
      <w:marBottom w:val="0"/>
      <w:divBdr>
        <w:top w:val="none" w:sz="0" w:space="0" w:color="auto"/>
        <w:left w:val="none" w:sz="0" w:space="0" w:color="auto"/>
        <w:bottom w:val="none" w:sz="0" w:space="0" w:color="auto"/>
        <w:right w:val="none" w:sz="0" w:space="0" w:color="auto"/>
      </w:divBdr>
    </w:div>
    <w:div w:id="1759207419">
      <w:bodyDiv w:val="1"/>
      <w:marLeft w:val="0"/>
      <w:marRight w:val="0"/>
      <w:marTop w:val="0"/>
      <w:marBottom w:val="0"/>
      <w:divBdr>
        <w:top w:val="none" w:sz="0" w:space="0" w:color="auto"/>
        <w:left w:val="none" w:sz="0" w:space="0" w:color="auto"/>
        <w:bottom w:val="none" w:sz="0" w:space="0" w:color="auto"/>
        <w:right w:val="none" w:sz="0" w:space="0" w:color="auto"/>
      </w:divBdr>
    </w:div>
    <w:div w:id="1779133283">
      <w:bodyDiv w:val="1"/>
      <w:marLeft w:val="0"/>
      <w:marRight w:val="0"/>
      <w:marTop w:val="0"/>
      <w:marBottom w:val="0"/>
      <w:divBdr>
        <w:top w:val="none" w:sz="0" w:space="0" w:color="auto"/>
        <w:left w:val="none" w:sz="0" w:space="0" w:color="auto"/>
        <w:bottom w:val="none" w:sz="0" w:space="0" w:color="auto"/>
        <w:right w:val="none" w:sz="0" w:space="0" w:color="auto"/>
      </w:divBdr>
    </w:div>
    <w:div w:id="1786148898">
      <w:bodyDiv w:val="1"/>
      <w:marLeft w:val="0"/>
      <w:marRight w:val="0"/>
      <w:marTop w:val="0"/>
      <w:marBottom w:val="0"/>
      <w:divBdr>
        <w:top w:val="none" w:sz="0" w:space="0" w:color="auto"/>
        <w:left w:val="none" w:sz="0" w:space="0" w:color="auto"/>
        <w:bottom w:val="none" w:sz="0" w:space="0" w:color="auto"/>
        <w:right w:val="none" w:sz="0" w:space="0" w:color="auto"/>
      </w:divBdr>
    </w:div>
    <w:div w:id="1946695078">
      <w:bodyDiv w:val="1"/>
      <w:marLeft w:val="0"/>
      <w:marRight w:val="0"/>
      <w:marTop w:val="0"/>
      <w:marBottom w:val="0"/>
      <w:divBdr>
        <w:top w:val="none" w:sz="0" w:space="0" w:color="auto"/>
        <w:left w:val="none" w:sz="0" w:space="0" w:color="auto"/>
        <w:bottom w:val="none" w:sz="0" w:space="0" w:color="auto"/>
        <w:right w:val="none" w:sz="0" w:space="0" w:color="auto"/>
      </w:divBdr>
    </w:div>
    <w:div w:id="1973443572">
      <w:bodyDiv w:val="1"/>
      <w:marLeft w:val="0"/>
      <w:marRight w:val="0"/>
      <w:marTop w:val="0"/>
      <w:marBottom w:val="0"/>
      <w:divBdr>
        <w:top w:val="none" w:sz="0" w:space="0" w:color="auto"/>
        <w:left w:val="none" w:sz="0" w:space="0" w:color="auto"/>
        <w:bottom w:val="none" w:sz="0" w:space="0" w:color="auto"/>
        <w:right w:val="none" w:sz="0" w:space="0" w:color="auto"/>
      </w:divBdr>
    </w:div>
    <w:div w:id="2018069862">
      <w:bodyDiv w:val="1"/>
      <w:marLeft w:val="0"/>
      <w:marRight w:val="0"/>
      <w:marTop w:val="0"/>
      <w:marBottom w:val="0"/>
      <w:divBdr>
        <w:top w:val="none" w:sz="0" w:space="0" w:color="auto"/>
        <w:left w:val="none" w:sz="0" w:space="0" w:color="auto"/>
        <w:bottom w:val="none" w:sz="0" w:space="0" w:color="auto"/>
        <w:right w:val="none" w:sz="0" w:space="0" w:color="auto"/>
      </w:divBdr>
    </w:div>
    <w:div w:id="2045640706">
      <w:bodyDiv w:val="1"/>
      <w:marLeft w:val="0"/>
      <w:marRight w:val="0"/>
      <w:marTop w:val="0"/>
      <w:marBottom w:val="0"/>
      <w:divBdr>
        <w:top w:val="none" w:sz="0" w:space="0" w:color="auto"/>
        <w:left w:val="none" w:sz="0" w:space="0" w:color="auto"/>
        <w:bottom w:val="none" w:sz="0" w:space="0" w:color="auto"/>
        <w:right w:val="none" w:sz="0" w:space="0" w:color="auto"/>
      </w:divBdr>
    </w:div>
    <w:div w:id="2115858917">
      <w:bodyDiv w:val="1"/>
      <w:marLeft w:val="0"/>
      <w:marRight w:val="0"/>
      <w:marTop w:val="0"/>
      <w:marBottom w:val="0"/>
      <w:divBdr>
        <w:top w:val="none" w:sz="0" w:space="0" w:color="auto"/>
        <w:left w:val="none" w:sz="0" w:space="0" w:color="auto"/>
        <w:bottom w:val="none" w:sz="0" w:space="0" w:color="auto"/>
        <w:right w:val="none" w:sz="0" w:space="0" w:color="auto"/>
      </w:divBdr>
    </w:div>
    <w:div w:id="2127921136">
      <w:bodyDiv w:val="1"/>
      <w:marLeft w:val="0"/>
      <w:marRight w:val="0"/>
      <w:marTop w:val="0"/>
      <w:marBottom w:val="0"/>
      <w:divBdr>
        <w:top w:val="none" w:sz="0" w:space="0" w:color="auto"/>
        <w:left w:val="none" w:sz="0" w:space="0" w:color="auto"/>
        <w:bottom w:val="none" w:sz="0" w:space="0" w:color="auto"/>
        <w:right w:val="none" w:sz="0" w:space="0" w:color="auto"/>
      </w:divBdr>
    </w:div>
    <w:div w:id="2143113006">
      <w:bodyDiv w:val="1"/>
      <w:marLeft w:val="0"/>
      <w:marRight w:val="0"/>
      <w:marTop w:val="0"/>
      <w:marBottom w:val="0"/>
      <w:divBdr>
        <w:top w:val="none" w:sz="0" w:space="0" w:color="auto"/>
        <w:left w:val="none" w:sz="0" w:space="0" w:color="auto"/>
        <w:bottom w:val="none" w:sz="0" w:space="0" w:color="auto"/>
        <w:right w:val="none" w:sz="0" w:space="0" w:color="auto"/>
      </w:divBdr>
    </w:div>
    <w:div w:id="2146581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trinitybk.com"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9B80DD-B67E-4983-8B75-46048D31C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739</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FORT WORTH, Texas, August, 2005</vt:lpstr>
    </vt:vector>
  </TitlesOfParts>
  <Company>OTT ADVERTISING &amp; MARKETING</Company>
  <LinksUpToDate>false</LinksUpToDate>
  <CharactersWithSpaces>4840</CharactersWithSpaces>
  <SharedDoc>false</SharedDoc>
  <HLinks>
    <vt:vector size="6" baseType="variant">
      <vt:variant>
        <vt:i4>4390939</vt:i4>
      </vt:variant>
      <vt:variant>
        <vt:i4>0</vt:i4>
      </vt:variant>
      <vt:variant>
        <vt:i4>0</vt:i4>
      </vt:variant>
      <vt:variant>
        <vt:i4>5</vt:i4>
      </vt:variant>
      <vt:variant>
        <vt:lpwstr>http://www.trinitybk.com/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FORT WORTH, Texas, August, 2005</dc:title>
  <dc:subject/>
  <dc:creator>JOHN OTT</dc:creator>
  <cp:keywords/>
  <cp:lastModifiedBy>Richard A. Burt</cp:lastModifiedBy>
  <cp:revision>3</cp:revision>
  <cp:lastPrinted>2021-07-30T19:41:00Z</cp:lastPrinted>
  <dcterms:created xsi:type="dcterms:W3CDTF">2021-08-02T20:47:00Z</dcterms:created>
  <dcterms:modified xsi:type="dcterms:W3CDTF">2021-08-03T14:20:00Z</dcterms:modified>
</cp:coreProperties>
</file>