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7DCF" w14:textId="07B0E4FC" w:rsidR="0042145F" w:rsidRDefault="00ED7417" w:rsidP="00241C2E">
      <w:pPr>
        <w:pStyle w:val="xmsonormal"/>
        <w:jc w:val="center"/>
        <w:rPr>
          <w:rFonts w:asciiTheme="minorHAnsi" w:hAnsiTheme="minorHAnsi" w:cstheme="minorHAnsi"/>
          <w:b/>
          <w:bCs/>
          <w:sz w:val="32"/>
          <w:szCs w:val="32"/>
        </w:rPr>
      </w:pPr>
      <w:r w:rsidRPr="00C97470">
        <w:rPr>
          <w:rFonts w:asciiTheme="minorHAnsi" w:hAnsiTheme="minorHAnsi" w:cstheme="minorHAnsi"/>
          <w:b/>
          <w:bCs/>
          <w:sz w:val="32"/>
          <w:szCs w:val="32"/>
        </w:rPr>
        <w:t>Predictmedix</w:t>
      </w:r>
      <w:r w:rsidR="006A6D48">
        <w:rPr>
          <w:rFonts w:asciiTheme="minorHAnsi" w:hAnsiTheme="minorHAnsi" w:cstheme="minorHAnsi"/>
          <w:b/>
          <w:bCs/>
          <w:sz w:val="32"/>
          <w:szCs w:val="32"/>
        </w:rPr>
        <w:t xml:space="preserve"> Safe Entry Station</w:t>
      </w:r>
      <w:r w:rsidR="0056122D">
        <w:rPr>
          <w:rFonts w:asciiTheme="minorHAnsi" w:hAnsiTheme="minorHAnsi" w:cstheme="minorHAnsi"/>
          <w:b/>
          <w:bCs/>
          <w:sz w:val="32"/>
          <w:szCs w:val="32"/>
        </w:rPr>
        <w:t xml:space="preserve"> </w:t>
      </w:r>
      <w:r w:rsidR="003A78DD" w:rsidRPr="003A78DD">
        <w:rPr>
          <w:rFonts w:asciiTheme="minorHAnsi" w:hAnsiTheme="minorHAnsi" w:cstheme="minorHAnsi"/>
          <w:b/>
          <w:bCs/>
          <w:sz w:val="32"/>
          <w:szCs w:val="32"/>
        </w:rPr>
        <w:t>Receives CE Mark Approval</w:t>
      </w:r>
      <w:r w:rsidR="003A78DD">
        <w:rPr>
          <w:rFonts w:asciiTheme="minorHAnsi" w:hAnsiTheme="minorHAnsi" w:cstheme="minorHAnsi"/>
          <w:b/>
          <w:bCs/>
          <w:sz w:val="32"/>
          <w:szCs w:val="32"/>
        </w:rPr>
        <w:t xml:space="preserve"> and ISO Certification for </w:t>
      </w:r>
      <w:r w:rsidR="006A6D48">
        <w:rPr>
          <w:rFonts w:asciiTheme="minorHAnsi" w:hAnsiTheme="minorHAnsi" w:cstheme="minorHAnsi"/>
          <w:b/>
          <w:bCs/>
          <w:sz w:val="32"/>
          <w:szCs w:val="32"/>
        </w:rPr>
        <w:t>Commercialization in the European Union</w:t>
      </w:r>
    </w:p>
    <w:p w14:paraId="36D654B7" w14:textId="0A30C5B4" w:rsidR="000813BD" w:rsidRPr="000813BD" w:rsidRDefault="006F67EE" w:rsidP="00241C2E">
      <w:pPr>
        <w:pStyle w:val="xmsonormal"/>
        <w:jc w:val="center"/>
        <w:rPr>
          <w:rFonts w:asciiTheme="minorHAnsi" w:hAnsiTheme="minorHAnsi" w:cstheme="minorHAnsi"/>
          <w:i/>
          <w:iCs/>
          <w:sz w:val="28"/>
          <w:szCs w:val="28"/>
        </w:rPr>
      </w:pPr>
      <w:r>
        <w:rPr>
          <w:rFonts w:asciiTheme="minorHAnsi" w:hAnsiTheme="minorHAnsi" w:cstheme="minorHAnsi"/>
          <w:i/>
          <w:iCs/>
          <w:sz w:val="28"/>
          <w:szCs w:val="28"/>
        </w:rPr>
        <w:t xml:space="preserve">Regulatory Approval </w:t>
      </w:r>
      <w:r w:rsidR="006A6D48">
        <w:rPr>
          <w:rFonts w:asciiTheme="minorHAnsi" w:hAnsiTheme="minorHAnsi" w:cstheme="minorHAnsi"/>
          <w:i/>
          <w:iCs/>
          <w:sz w:val="28"/>
          <w:szCs w:val="28"/>
        </w:rPr>
        <w:t>Enables Commercialization in New, Leading Global Marketplaces</w:t>
      </w:r>
    </w:p>
    <w:p w14:paraId="2EBA3223" w14:textId="57A38AC7" w:rsidR="00DA313C" w:rsidRDefault="00ED7417" w:rsidP="00233165">
      <w:pPr>
        <w:pStyle w:val="xmsonormal"/>
        <w:jc w:val="both"/>
        <w:rPr>
          <w:rFonts w:asciiTheme="minorHAnsi" w:eastAsia="Calibri" w:hAnsiTheme="minorHAnsi" w:cstheme="minorHAnsi"/>
          <w:sz w:val="22"/>
          <w:szCs w:val="22"/>
        </w:rPr>
      </w:pPr>
      <w:r w:rsidRPr="00241C2E">
        <w:rPr>
          <w:rFonts w:asciiTheme="minorHAnsi" w:eastAsia="Calibri" w:hAnsiTheme="minorHAnsi" w:cstheme="minorHAnsi"/>
          <w:b/>
          <w:bCs/>
          <w:sz w:val="22"/>
          <w:szCs w:val="22"/>
        </w:rPr>
        <w:t xml:space="preserve">Toronto, ON – </w:t>
      </w:r>
      <w:r w:rsidR="00102307">
        <w:rPr>
          <w:rFonts w:asciiTheme="minorHAnsi" w:eastAsia="Calibri" w:hAnsiTheme="minorHAnsi" w:cstheme="minorHAnsi"/>
          <w:b/>
          <w:bCs/>
          <w:sz w:val="22"/>
          <w:szCs w:val="22"/>
        </w:rPr>
        <w:t>November 2</w:t>
      </w:r>
      <w:r w:rsidRPr="00241C2E">
        <w:rPr>
          <w:rFonts w:asciiTheme="minorHAnsi" w:eastAsia="Calibri" w:hAnsiTheme="minorHAnsi" w:cstheme="minorHAnsi"/>
          <w:b/>
          <w:bCs/>
          <w:sz w:val="22"/>
          <w:szCs w:val="22"/>
        </w:rPr>
        <w:t xml:space="preserve">, 2021 - </w:t>
      </w:r>
      <w:r w:rsidRPr="00762E0C">
        <w:rPr>
          <w:rFonts w:asciiTheme="minorHAnsi" w:eastAsia="Calibri" w:hAnsiTheme="minorHAnsi" w:cstheme="minorHAnsi"/>
          <w:sz w:val="22"/>
          <w:szCs w:val="22"/>
        </w:rPr>
        <w:t>Predictmedix Inc. (CSE:PMED) (OTCQB:PMEDF) (“Predictmedix” or the “Company”)</w:t>
      </w:r>
      <w:r w:rsidR="000430FF" w:rsidRPr="00762E0C">
        <w:rPr>
          <w:rFonts w:asciiTheme="minorHAnsi" w:eastAsia="Calibri" w:hAnsiTheme="minorHAnsi" w:cstheme="minorHAnsi"/>
          <w:sz w:val="22"/>
          <w:szCs w:val="22"/>
        </w:rPr>
        <w:t>,</w:t>
      </w:r>
      <w:r w:rsidR="008C2B21" w:rsidRPr="00241C2E">
        <w:rPr>
          <w:rFonts w:asciiTheme="minorHAnsi" w:eastAsia="Calibri" w:hAnsiTheme="minorHAnsi" w:cstheme="minorHAnsi"/>
          <w:sz w:val="22"/>
          <w:szCs w:val="22"/>
        </w:rPr>
        <w:t xml:space="preserve"> </w:t>
      </w:r>
      <w:r w:rsidR="003A78DD" w:rsidRPr="003A78DD">
        <w:rPr>
          <w:rFonts w:asciiTheme="minorHAnsi" w:eastAsia="Calibri" w:hAnsiTheme="minorHAnsi" w:cstheme="minorHAnsi"/>
          <w:sz w:val="22"/>
          <w:szCs w:val="22"/>
        </w:rPr>
        <w:t>an emerging provider of rapid health screening solutions powered by a proprietary artificial intelligence (</w:t>
      </w:r>
      <w:r w:rsidR="006F67EE">
        <w:rPr>
          <w:rFonts w:asciiTheme="minorHAnsi" w:eastAsia="Calibri" w:hAnsiTheme="minorHAnsi" w:cstheme="minorHAnsi"/>
          <w:sz w:val="22"/>
          <w:szCs w:val="22"/>
        </w:rPr>
        <w:t>“</w:t>
      </w:r>
      <w:r w:rsidR="003A78DD" w:rsidRPr="003A78DD">
        <w:rPr>
          <w:rFonts w:asciiTheme="minorHAnsi" w:eastAsia="Calibri" w:hAnsiTheme="minorHAnsi" w:cstheme="minorHAnsi"/>
          <w:sz w:val="22"/>
          <w:szCs w:val="22"/>
        </w:rPr>
        <w:t>AI</w:t>
      </w:r>
      <w:r w:rsidR="006F67EE">
        <w:rPr>
          <w:rFonts w:asciiTheme="minorHAnsi" w:eastAsia="Calibri" w:hAnsiTheme="minorHAnsi" w:cstheme="minorHAnsi"/>
          <w:sz w:val="22"/>
          <w:szCs w:val="22"/>
        </w:rPr>
        <w:t>”</w:t>
      </w:r>
      <w:r w:rsidR="003A78DD" w:rsidRPr="003A78DD">
        <w:rPr>
          <w:rFonts w:asciiTheme="minorHAnsi" w:eastAsia="Calibri" w:hAnsiTheme="minorHAnsi" w:cstheme="minorHAnsi"/>
          <w:sz w:val="22"/>
          <w:szCs w:val="22"/>
        </w:rPr>
        <w:t>)</w:t>
      </w:r>
      <w:r w:rsidR="00163236">
        <w:rPr>
          <w:rFonts w:asciiTheme="minorHAnsi" w:eastAsia="Calibri" w:hAnsiTheme="minorHAnsi" w:cstheme="minorHAnsi"/>
          <w:sz w:val="22"/>
          <w:szCs w:val="22"/>
        </w:rPr>
        <w:t>,</w:t>
      </w:r>
      <w:r w:rsidR="00D422F7">
        <w:rPr>
          <w:rFonts w:asciiTheme="minorHAnsi" w:eastAsia="Calibri" w:hAnsiTheme="minorHAnsi" w:cstheme="minorHAnsi"/>
          <w:sz w:val="22"/>
          <w:szCs w:val="22"/>
        </w:rPr>
        <w:t xml:space="preserve"> </w:t>
      </w:r>
      <w:r w:rsidR="006A6D48">
        <w:rPr>
          <w:rFonts w:asciiTheme="minorHAnsi" w:eastAsia="Calibri" w:hAnsiTheme="minorHAnsi" w:cstheme="minorHAnsi"/>
          <w:sz w:val="22"/>
          <w:szCs w:val="22"/>
        </w:rPr>
        <w:t>today announced that it has</w:t>
      </w:r>
      <w:r w:rsidR="003A78DD" w:rsidRPr="003A78DD">
        <w:rPr>
          <w:rFonts w:asciiTheme="minorHAnsi" w:eastAsia="Calibri" w:hAnsiTheme="minorHAnsi" w:cstheme="minorHAnsi"/>
          <w:sz w:val="22"/>
          <w:szCs w:val="22"/>
        </w:rPr>
        <w:t xml:space="preserve"> been granted </w:t>
      </w:r>
      <w:r w:rsidR="006F67EE" w:rsidRPr="006F67EE">
        <w:rPr>
          <w:rFonts w:asciiTheme="minorHAnsi" w:eastAsia="Calibri" w:hAnsiTheme="minorHAnsi" w:cstheme="minorHAnsi"/>
          <w:sz w:val="22"/>
          <w:szCs w:val="22"/>
        </w:rPr>
        <w:t>Conformitè Europëenne (</w:t>
      </w:r>
      <w:r w:rsidR="006F67EE">
        <w:rPr>
          <w:rFonts w:asciiTheme="minorHAnsi" w:eastAsia="Calibri" w:hAnsiTheme="minorHAnsi" w:cstheme="minorHAnsi"/>
          <w:sz w:val="22"/>
          <w:szCs w:val="22"/>
        </w:rPr>
        <w:t>“</w:t>
      </w:r>
      <w:r w:rsidR="006F67EE" w:rsidRPr="006F67EE">
        <w:rPr>
          <w:rFonts w:asciiTheme="minorHAnsi" w:eastAsia="Calibri" w:hAnsiTheme="minorHAnsi" w:cstheme="minorHAnsi"/>
          <w:sz w:val="22"/>
          <w:szCs w:val="22"/>
        </w:rPr>
        <w:t>CE</w:t>
      </w:r>
      <w:r w:rsidR="006F67EE">
        <w:rPr>
          <w:rFonts w:asciiTheme="minorHAnsi" w:eastAsia="Calibri" w:hAnsiTheme="minorHAnsi" w:cstheme="minorHAnsi"/>
          <w:sz w:val="22"/>
          <w:szCs w:val="22"/>
        </w:rPr>
        <w:t>”</w:t>
      </w:r>
      <w:r w:rsidR="006F67EE" w:rsidRPr="006F67EE">
        <w:rPr>
          <w:rFonts w:asciiTheme="minorHAnsi" w:eastAsia="Calibri" w:hAnsiTheme="minorHAnsi" w:cstheme="minorHAnsi"/>
          <w:sz w:val="22"/>
          <w:szCs w:val="22"/>
        </w:rPr>
        <w:t xml:space="preserve">) Mark </w:t>
      </w:r>
      <w:r w:rsidR="003A78DD" w:rsidRPr="003A78DD">
        <w:rPr>
          <w:rFonts w:asciiTheme="minorHAnsi" w:eastAsia="Calibri" w:hAnsiTheme="minorHAnsi" w:cstheme="minorHAnsi"/>
          <w:sz w:val="22"/>
          <w:szCs w:val="22"/>
        </w:rPr>
        <w:t xml:space="preserve">status </w:t>
      </w:r>
      <w:r w:rsidR="00DA313C">
        <w:rPr>
          <w:rFonts w:asciiTheme="minorHAnsi" w:eastAsia="Calibri" w:hAnsiTheme="minorHAnsi" w:cstheme="minorHAnsi"/>
          <w:sz w:val="22"/>
          <w:szCs w:val="22"/>
        </w:rPr>
        <w:t xml:space="preserve">and </w:t>
      </w:r>
      <w:r w:rsidR="00DA313C" w:rsidRPr="00DA313C">
        <w:rPr>
          <w:rFonts w:asciiTheme="minorHAnsi" w:eastAsia="Calibri" w:hAnsiTheme="minorHAnsi" w:cstheme="minorHAnsi"/>
          <w:sz w:val="22"/>
          <w:szCs w:val="22"/>
        </w:rPr>
        <w:t>ISO13485 certification</w:t>
      </w:r>
      <w:r w:rsidR="00DA313C">
        <w:rPr>
          <w:rFonts w:asciiTheme="minorHAnsi" w:eastAsia="Calibri" w:hAnsiTheme="minorHAnsi" w:cstheme="minorHAnsi"/>
          <w:sz w:val="22"/>
          <w:szCs w:val="22"/>
        </w:rPr>
        <w:t xml:space="preserve"> for its </w:t>
      </w:r>
      <w:r w:rsidR="00DA313C" w:rsidRPr="00DA313C">
        <w:rPr>
          <w:rFonts w:asciiTheme="minorHAnsi" w:eastAsia="Calibri" w:hAnsiTheme="minorHAnsi" w:cstheme="minorHAnsi"/>
          <w:sz w:val="22"/>
          <w:szCs w:val="22"/>
        </w:rPr>
        <w:t>Safe Entry Station</w:t>
      </w:r>
      <w:r w:rsidR="00DA313C">
        <w:rPr>
          <w:rFonts w:asciiTheme="minorHAnsi" w:eastAsia="Calibri" w:hAnsiTheme="minorHAnsi" w:cstheme="minorHAnsi"/>
          <w:sz w:val="22"/>
          <w:szCs w:val="22"/>
        </w:rPr>
        <w:t xml:space="preserve">, enabling the Company to </w:t>
      </w:r>
      <w:r w:rsidR="00DA313C" w:rsidRPr="003A78DD">
        <w:rPr>
          <w:rFonts w:asciiTheme="minorHAnsi" w:eastAsia="Calibri" w:hAnsiTheme="minorHAnsi" w:cstheme="minorHAnsi"/>
          <w:sz w:val="22"/>
          <w:szCs w:val="22"/>
        </w:rPr>
        <w:t>commercializ</w:t>
      </w:r>
      <w:r w:rsidR="00A34FBB">
        <w:rPr>
          <w:rFonts w:asciiTheme="minorHAnsi" w:eastAsia="Calibri" w:hAnsiTheme="minorHAnsi" w:cstheme="minorHAnsi"/>
          <w:sz w:val="22"/>
          <w:szCs w:val="22"/>
        </w:rPr>
        <w:t>e</w:t>
      </w:r>
      <w:r w:rsidR="00DA313C">
        <w:rPr>
          <w:rFonts w:asciiTheme="minorHAnsi" w:eastAsia="Calibri" w:hAnsiTheme="minorHAnsi" w:cstheme="minorHAnsi"/>
          <w:sz w:val="22"/>
          <w:szCs w:val="22"/>
        </w:rPr>
        <w:t xml:space="preserve"> in the European Union</w:t>
      </w:r>
      <w:r w:rsidR="001D670B">
        <w:rPr>
          <w:rFonts w:asciiTheme="minorHAnsi" w:eastAsia="Calibri" w:hAnsiTheme="minorHAnsi" w:cstheme="minorHAnsi"/>
          <w:sz w:val="22"/>
          <w:szCs w:val="22"/>
        </w:rPr>
        <w:t xml:space="preserve"> (EU)</w:t>
      </w:r>
      <w:r w:rsidR="00DA313C">
        <w:rPr>
          <w:rFonts w:asciiTheme="minorHAnsi" w:eastAsia="Calibri" w:hAnsiTheme="minorHAnsi" w:cstheme="minorHAnsi"/>
          <w:sz w:val="22"/>
          <w:szCs w:val="22"/>
        </w:rPr>
        <w:t xml:space="preserve"> and </w:t>
      </w:r>
      <w:r w:rsidR="006A6D48">
        <w:rPr>
          <w:rFonts w:asciiTheme="minorHAnsi" w:eastAsia="Calibri" w:hAnsiTheme="minorHAnsi" w:cstheme="minorHAnsi"/>
          <w:sz w:val="22"/>
          <w:szCs w:val="22"/>
        </w:rPr>
        <w:t>key global markets</w:t>
      </w:r>
      <w:r w:rsidR="00DA313C">
        <w:rPr>
          <w:rFonts w:asciiTheme="minorHAnsi" w:eastAsia="Calibri" w:hAnsiTheme="minorHAnsi" w:cstheme="minorHAnsi"/>
          <w:sz w:val="22"/>
          <w:szCs w:val="22"/>
        </w:rPr>
        <w:t>.</w:t>
      </w:r>
    </w:p>
    <w:p w14:paraId="0F5E27A0" w14:textId="5B41404F" w:rsidR="00DA313C" w:rsidRDefault="003A78DD" w:rsidP="00233165">
      <w:pPr>
        <w:pStyle w:val="xmsonormal"/>
        <w:jc w:val="both"/>
        <w:rPr>
          <w:rFonts w:asciiTheme="minorHAnsi" w:eastAsia="Calibri" w:hAnsiTheme="minorHAnsi" w:cstheme="minorHAnsi"/>
          <w:sz w:val="22"/>
          <w:szCs w:val="22"/>
        </w:rPr>
      </w:pPr>
      <w:r w:rsidRPr="003A78DD">
        <w:rPr>
          <w:rFonts w:asciiTheme="minorHAnsi" w:eastAsia="Calibri" w:hAnsiTheme="minorHAnsi" w:cstheme="minorHAnsi"/>
          <w:sz w:val="22"/>
          <w:szCs w:val="22"/>
        </w:rPr>
        <w:t xml:space="preserve">The CE </w:t>
      </w:r>
      <w:r w:rsidR="002520CB">
        <w:rPr>
          <w:rFonts w:asciiTheme="minorHAnsi" w:eastAsia="Calibri" w:hAnsiTheme="minorHAnsi" w:cstheme="minorHAnsi"/>
          <w:sz w:val="22"/>
          <w:szCs w:val="22"/>
        </w:rPr>
        <w:t>m</w:t>
      </w:r>
      <w:r w:rsidRPr="003A78DD">
        <w:rPr>
          <w:rFonts w:asciiTheme="minorHAnsi" w:eastAsia="Calibri" w:hAnsiTheme="minorHAnsi" w:cstheme="minorHAnsi"/>
          <w:sz w:val="22"/>
          <w:szCs w:val="22"/>
        </w:rPr>
        <w:t xml:space="preserve">ark declares the conformity of the </w:t>
      </w:r>
      <w:r w:rsidR="00DA313C" w:rsidRPr="00DA313C">
        <w:rPr>
          <w:rFonts w:asciiTheme="minorHAnsi" w:eastAsia="Calibri" w:hAnsiTheme="minorHAnsi" w:cstheme="minorHAnsi"/>
          <w:sz w:val="22"/>
          <w:szCs w:val="22"/>
        </w:rPr>
        <w:t xml:space="preserve">Safe Entry Station </w:t>
      </w:r>
      <w:r w:rsidRPr="003A78DD">
        <w:rPr>
          <w:rFonts w:asciiTheme="minorHAnsi" w:eastAsia="Calibri" w:hAnsiTheme="minorHAnsi" w:cstheme="minorHAnsi"/>
          <w:sz w:val="22"/>
          <w:szCs w:val="22"/>
        </w:rPr>
        <w:t>with EU regulations</w:t>
      </w:r>
      <w:r w:rsidR="00DF2473">
        <w:rPr>
          <w:rFonts w:asciiTheme="minorHAnsi" w:eastAsia="Calibri" w:hAnsiTheme="minorHAnsi" w:cstheme="minorHAnsi"/>
          <w:sz w:val="22"/>
          <w:szCs w:val="22"/>
        </w:rPr>
        <w:t xml:space="preserve"> and i</w:t>
      </w:r>
      <w:r w:rsidR="00DF2473" w:rsidRPr="00DF2473">
        <w:rPr>
          <w:rFonts w:asciiTheme="minorHAnsi" w:eastAsia="Calibri" w:hAnsiTheme="minorHAnsi" w:cstheme="minorHAnsi"/>
          <w:sz w:val="22"/>
          <w:szCs w:val="22"/>
        </w:rPr>
        <w:t>ndicates that a product has been assessed by the manufacturer and deemed to meet EU safety, health and environmental protection requirements.</w:t>
      </w:r>
      <w:r w:rsidR="001D670B">
        <w:rPr>
          <w:rFonts w:asciiTheme="minorHAnsi" w:eastAsia="Calibri" w:hAnsiTheme="minorHAnsi" w:cstheme="minorHAnsi"/>
          <w:sz w:val="22"/>
          <w:szCs w:val="22"/>
        </w:rPr>
        <w:t xml:space="preserve"> </w:t>
      </w:r>
      <w:r w:rsidR="00DF2473" w:rsidRPr="00DF2473">
        <w:rPr>
          <w:rFonts w:asciiTheme="minorHAnsi" w:eastAsia="Calibri" w:hAnsiTheme="minorHAnsi" w:cstheme="minorHAnsi"/>
          <w:sz w:val="22"/>
          <w:szCs w:val="22"/>
        </w:rPr>
        <w:t>ISO 13485 is the medical device industry’s most widely used international standard for quality management.</w:t>
      </w:r>
      <w:r w:rsidR="001D670B" w:rsidRPr="001D670B">
        <w:rPr>
          <w:rFonts w:asciiTheme="minorHAnsi" w:eastAsia="Calibri" w:hAnsiTheme="minorHAnsi" w:cstheme="minorHAnsi"/>
          <w:sz w:val="22"/>
          <w:szCs w:val="22"/>
        </w:rPr>
        <w:t xml:space="preserve"> </w:t>
      </w:r>
      <w:r w:rsidR="00A34FBB">
        <w:rPr>
          <w:rFonts w:asciiTheme="minorHAnsi" w:eastAsia="Calibri" w:hAnsiTheme="minorHAnsi" w:cstheme="minorHAnsi"/>
          <w:sz w:val="22"/>
          <w:szCs w:val="22"/>
        </w:rPr>
        <w:t>All</w:t>
      </w:r>
      <w:r w:rsidR="001D670B">
        <w:rPr>
          <w:rFonts w:asciiTheme="minorHAnsi" w:eastAsia="Calibri" w:hAnsiTheme="minorHAnsi" w:cstheme="minorHAnsi"/>
          <w:sz w:val="22"/>
          <w:szCs w:val="22"/>
        </w:rPr>
        <w:t xml:space="preserve"> </w:t>
      </w:r>
      <w:r w:rsidR="001D670B" w:rsidRPr="001D670B">
        <w:rPr>
          <w:rFonts w:asciiTheme="minorHAnsi" w:eastAsia="Calibri" w:hAnsiTheme="minorHAnsi" w:cstheme="minorHAnsi"/>
          <w:sz w:val="22"/>
          <w:szCs w:val="22"/>
        </w:rPr>
        <w:t>Safe Entry Stations manufactured by</w:t>
      </w:r>
      <w:r w:rsidR="006A6D48">
        <w:rPr>
          <w:rFonts w:asciiTheme="minorHAnsi" w:eastAsia="Calibri" w:hAnsiTheme="minorHAnsi" w:cstheme="minorHAnsi"/>
          <w:sz w:val="22"/>
          <w:szCs w:val="22"/>
        </w:rPr>
        <w:t xml:space="preserve"> the Company’s reseller</w:t>
      </w:r>
      <w:r w:rsidR="006F67EE">
        <w:rPr>
          <w:rFonts w:asciiTheme="minorHAnsi" w:eastAsia="Calibri" w:hAnsiTheme="minorHAnsi" w:cstheme="minorHAnsi"/>
          <w:sz w:val="22"/>
          <w:szCs w:val="22"/>
        </w:rPr>
        <w:t>,</w:t>
      </w:r>
      <w:r w:rsidR="001D670B" w:rsidRPr="001D670B">
        <w:rPr>
          <w:rFonts w:asciiTheme="minorHAnsi" w:eastAsia="Calibri" w:hAnsiTheme="minorHAnsi" w:cstheme="minorHAnsi"/>
          <w:sz w:val="22"/>
          <w:szCs w:val="22"/>
        </w:rPr>
        <w:t xml:space="preserve"> Paras Defence &amp; Space Technologies Ltd. (</w:t>
      </w:r>
      <w:r w:rsidR="006F67EE">
        <w:rPr>
          <w:rFonts w:asciiTheme="minorHAnsi" w:eastAsia="Calibri" w:hAnsiTheme="minorHAnsi" w:cstheme="minorHAnsi"/>
          <w:sz w:val="22"/>
          <w:szCs w:val="22"/>
        </w:rPr>
        <w:t>“</w:t>
      </w:r>
      <w:r w:rsidR="001D670B" w:rsidRPr="001D670B">
        <w:rPr>
          <w:rFonts w:asciiTheme="minorHAnsi" w:eastAsia="Calibri" w:hAnsiTheme="minorHAnsi" w:cstheme="minorHAnsi"/>
          <w:sz w:val="22"/>
          <w:szCs w:val="22"/>
        </w:rPr>
        <w:t>Paras</w:t>
      </w:r>
      <w:r w:rsidR="006F67EE">
        <w:rPr>
          <w:rFonts w:asciiTheme="minorHAnsi" w:eastAsia="Calibri" w:hAnsiTheme="minorHAnsi" w:cstheme="minorHAnsi"/>
          <w:sz w:val="22"/>
          <w:szCs w:val="22"/>
        </w:rPr>
        <w:t>”</w:t>
      </w:r>
      <w:r w:rsidR="001D670B" w:rsidRPr="001D670B">
        <w:rPr>
          <w:rFonts w:asciiTheme="minorHAnsi" w:eastAsia="Calibri" w:hAnsiTheme="minorHAnsi" w:cstheme="minorHAnsi"/>
          <w:sz w:val="22"/>
          <w:szCs w:val="22"/>
        </w:rPr>
        <w:t>)</w:t>
      </w:r>
      <w:r w:rsidR="006F67EE">
        <w:rPr>
          <w:rFonts w:asciiTheme="minorHAnsi" w:eastAsia="Calibri" w:hAnsiTheme="minorHAnsi" w:cstheme="minorHAnsi"/>
          <w:sz w:val="22"/>
          <w:szCs w:val="22"/>
        </w:rPr>
        <w:t>,</w:t>
      </w:r>
      <w:r w:rsidR="006A6D48">
        <w:rPr>
          <w:rFonts w:asciiTheme="minorHAnsi" w:eastAsia="Calibri" w:hAnsiTheme="minorHAnsi" w:cstheme="minorHAnsi"/>
          <w:sz w:val="22"/>
          <w:szCs w:val="22"/>
        </w:rPr>
        <w:t xml:space="preserve"> </w:t>
      </w:r>
      <w:r w:rsidR="001D670B" w:rsidRPr="001D670B">
        <w:rPr>
          <w:rFonts w:asciiTheme="minorHAnsi" w:eastAsia="Calibri" w:hAnsiTheme="minorHAnsi" w:cstheme="minorHAnsi"/>
          <w:sz w:val="22"/>
          <w:szCs w:val="22"/>
        </w:rPr>
        <w:t>will now have the CE mark and ISO certification.</w:t>
      </w:r>
    </w:p>
    <w:p w14:paraId="54F56F6A" w14:textId="625D1F32" w:rsidR="006A6D48" w:rsidRDefault="001D670B" w:rsidP="00A34FBB">
      <w:pPr>
        <w:pStyle w:val="NormalWeb"/>
        <w:jc w:val="both"/>
        <w:rPr>
          <w:rFonts w:asciiTheme="minorHAnsi" w:hAnsiTheme="minorHAnsi" w:cstheme="minorHAnsi"/>
          <w:sz w:val="22"/>
          <w:szCs w:val="22"/>
        </w:rPr>
      </w:pPr>
      <w:r w:rsidRPr="00DF2473">
        <w:rPr>
          <w:rFonts w:asciiTheme="minorHAnsi" w:eastAsia="Calibri" w:hAnsiTheme="minorHAnsi" w:cstheme="minorHAnsi"/>
          <w:sz w:val="22"/>
          <w:szCs w:val="22"/>
        </w:rPr>
        <w:t>“</w:t>
      </w:r>
      <w:r w:rsidR="006A6D48">
        <w:rPr>
          <w:rFonts w:asciiTheme="minorHAnsi" w:hAnsiTheme="minorHAnsi" w:cstheme="minorHAnsi"/>
          <w:sz w:val="22"/>
          <w:szCs w:val="22"/>
        </w:rPr>
        <w:t xml:space="preserve">The CE mark and </w:t>
      </w:r>
      <w:r w:rsidR="006A6D48" w:rsidRPr="00DA313C">
        <w:rPr>
          <w:rFonts w:asciiTheme="minorHAnsi" w:eastAsia="Calibri" w:hAnsiTheme="minorHAnsi" w:cstheme="minorHAnsi"/>
          <w:sz w:val="22"/>
          <w:szCs w:val="22"/>
        </w:rPr>
        <w:t>ISO13485 certification</w:t>
      </w:r>
      <w:r w:rsidR="006A6D48">
        <w:rPr>
          <w:rFonts w:asciiTheme="minorHAnsi" w:hAnsiTheme="minorHAnsi" w:cstheme="minorHAnsi"/>
          <w:sz w:val="22"/>
          <w:szCs w:val="22"/>
        </w:rPr>
        <w:t xml:space="preserve"> </w:t>
      </w:r>
      <w:r w:rsidR="002520CB">
        <w:rPr>
          <w:rFonts w:asciiTheme="minorHAnsi" w:eastAsia="Calibri" w:hAnsiTheme="minorHAnsi" w:cstheme="minorHAnsi"/>
          <w:sz w:val="22"/>
          <w:szCs w:val="22"/>
        </w:rPr>
        <w:t>are essential regulatory milestones for commercialization</w:t>
      </w:r>
      <w:r w:rsidR="000813BD" w:rsidRPr="00DF2473">
        <w:rPr>
          <w:rFonts w:asciiTheme="minorHAnsi" w:eastAsia="Calibri" w:hAnsiTheme="minorHAnsi" w:cstheme="minorHAnsi"/>
          <w:sz w:val="22"/>
          <w:szCs w:val="22"/>
        </w:rPr>
        <w:t xml:space="preserve"> across Europe and the Middle East,” </w:t>
      </w:r>
      <w:r w:rsidR="000813BD" w:rsidRPr="00DF2473">
        <w:rPr>
          <w:rFonts w:asciiTheme="minorHAnsi" w:hAnsiTheme="minorHAnsi" w:cstheme="minorHAnsi"/>
          <w:sz w:val="22"/>
          <w:szCs w:val="22"/>
        </w:rPr>
        <w:t>said Dr. Rahul Kushwah, Chief Operating Officer at Predictmedix. “Th</w:t>
      </w:r>
      <w:r w:rsidR="00A34FBB">
        <w:rPr>
          <w:rFonts w:asciiTheme="minorHAnsi" w:hAnsiTheme="minorHAnsi" w:cstheme="minorHAnsi"/>
          <w:sz w:val="22"/>
          <w:szCs w:val="22"/>
        </w:rPr>
        <w:t>ey</w:t>
      </w:r>
      <w:r w:rsidR="000813BD" w:rsidRPr="00DF2473">
        <w:rPr>
          <w:rFonts w:asciiTheme="minorHAnsi" w:hAnsiTheme="minorHAnsi" w:cstheme="minorHAnsi"/>
          <w:sz w:val="22"/>
          <w:szCs w:val="22"/>
        </w:rPr>
        <w:t xml:space="preserve"> represent</w:t>
      </w:r>
      <w:r w:rsidR="00DF2473" w:rsidRPr="00DF2473">
        <w:rPr>
          <w:rFonts w:asciiTheme="minorHAnsi" w:hAnsiTheme="minorHAnsi" w:cstheme="minorHAnsi"/>
          <w:sz w:val="22"/>
          <w:szCs w:val="22"/>
        </w:rPr>
        <w:t xml:space="preserve"> our</w:t>
      </w:r>
      <w:r w:rsidR="000813BD" w:rsidRPr="00DF2473">
        <w:rPr>
          <w:rFonts w:asciiTheme="minorHAnsi" w:hAnsiTheme="minorHAnsi" w:cstheme="minorHAnsi"/>
          <w:sz w:val="22"/>
          <w:szCs w:val="22"/>
        </w:rPr>
        <w:t xml:space="preserve"> first certifications for our unique product category</w:t>
      </w:r>
      <w:r w:rsidR="002520CB">
        <w:rPr>
          <w:rFonts w:asciiTheme="minorHAnsi" w:hAnsiTheme="minorHAnsi" w:cstheme="minorHAnsi"/>
          <w:sz w:val="22"/>
          <w:szCs w:val="22"/>
        </w:rPr>
        <w:t xml:space="preserve"> and</w:t>
      </w:r>
      <w:r w:rsidR="000813BD" w:rsidRPr="00DF2473">
        <w:rPr>
          <w:rFonts w:asciiTheme="minorHAnsi" w:hAnsiTheme="minorHAnsi" w:cstheme="minorHAnsi"/>
          <w:sz w:val="22"/>
          <w:szCs w:val="22"/>
        </w:rPr>
        <w:t xml:space="preserve"> </w:t>
      </w:r>
      <w:r w:rsidR="002520CB" w:rsidRPr="002520CB">
        <w:rPr>
          <w:rFonts w:asciiTheme="minorHAnsi" w:hAnsiTheme="minorHAnsi" w:cstheme="minorHAnsi"/>
          <w:sz w:val="22"/>
          <w:szCs w:val="22"/>
        </w:rPr>
        <w:t>demonstrate that Predictmedix has the capability to manufacture and develop a</w:t>
      </w:r>
      <w:r w:rsidR="002520CB">
        <w:rPr>
          <w:rFonts w:asciiTheme="minorHAnsi" w:hAnsiTheme="minorHAnsi" w:cstheme="minorHAnsi"/>
          <w:sz w:val="22"/>
          <w:szCs w:val="22"/>
        </w:rPr>
        <w:t xml:space="preserve"> product</w:t>
      </w:r>
      <w:r w:rsidR="002520CB" w:rsidRPr="002520CB">
        <w:rPr>
          <w:rFonts w:asciiTheme="minorHAnsi" w:hAnsiTheme="minorHAnsi" w:cstheme="minorHAnsi"/>
          <w:sz w:val="22"/>
          <w:szCs w:val="22"/>
        </w:rPr>
        <w:t xml:space="preserve"> that meets performance, quality and safety requirements in the EU</w:t>
      </w:r>
      <w:r w:rsidR="002520CB">
        <w:rPr>
          <w:rFonts w:asciiTheme="minorHAnsi" w:hAnsiTheme="minorHAnsi" w:cstheme="minorHAnsi"/>
          <w:sz w:val="22"/>
          <w:szCs w:val="22"/>
        </w:rPr>
        <w:t>.</w:t>
      </w:r>
    </w:p>
    <w:p w14:paraId="4338B847" w14:textId="0DAC82D2" w:rsidR="006A6D48" w:rsidRDefault="006A6D48" w:rsidP="00A34FBB">
      <w:pPr>
        <w:pStyle w:val="NormalWeb"/>
        <w:jc w:val="both"/>
        <w:rPr>
          <w:rFonts w:asciiTheme="minorHAnsi" w:hAnsiTheme="minorHAnsi" w:cstheme="minorHAnsi"/>
          <w:sz w:val="22"/>
          <w:szCs w:val="22"/>
        </w:rPr>
      </w:pPr>
      <w:r>
        <w:rPr>
          <w:rFonts w:asciiTheme="minorHAnsi" w:hAnsiTheme="minorHAnsi" w:cstheme="minorHAnsi"/>
          <w:sz w:val="22"/>
          <w:szCs w:val="22"/>
        </w:rPr>
        <w:t xml:space="preserve">“These exciting new global markets further expand upon our existing markets across North America, India and beyond. Our continued focus is on the aggressive, rapid achievement of profitability through the broad commercialization of our products alongside our tier-1 partners, helping to build sustainable value for our shareholders over the long-term,” concluded Kushwah. </w:t>
      </w:r>
    </w:p>
    <w:p w14:paraId="239F1687" w14:textId="7F67056A" w:rsidR="00ED7417" w:rsidRDefault="00ED7417" w:rsidP="00241C2E">
      <w:pPr>
        <w:pStyle w:val="NormalWeb"/>
        <w:rPr>
          <w:rStyle w:val="Strong"/>
          <w:rFonts w:asciiTheme="minorHAnsi" w:hAnsiTheme="minorHAnsi" w:cstheme="minorHAnsi"/>
          <w:sz w:val="22"/>
          <w:szCs w:val="22"/>
        </w:rPr>
      </w:pPr>
      <w:r w:rsidRPr="00241C2E">
        <w:rPr>
          <w:rStyle w:val="Strong"/>
          <w:rFonts w:asciiTheme="minorHAnsi" w:hAnsiTheme="minorHAnsi" w:cstheme="minorHAnsi"/>
          <w:sz w:val="22"/>
          <w:szCs w:val="22"/>
        </w:rPr>
        <w:t>About Predictmedix Inc.</w:t>
      </w:r>
    </w:p>
    <w:p w14:paraId="524BBDFF" w14:textId="3E128C28" w:rsidR="00ED7417" w:rsidRPr="009A5DAF" w:rsidRDefault="003A78DD" w:rsidP="00585F5F">
      <w:pPr>
        <w:pStyle w:val="Corps"/>
        <w:spacing w:before="100" w:beforeAutospacing="1" w:after="100" w:afterAutospacing="1"/>
        <w:jc w:val="both"/>
        <w:rPr>
          <w:rStyle w:val="Hyperlink"/>
          <w:rFonts w:asciiTheme="minorHAnsi" w:eastAsia="Calibri" w:hAnsiTheme="minorHAnsi" w:cstheme="minorHAnsi"/>
          <w:color w:val="000000"/>
          <w:sz w:val="22"/>
          <w:szCs w:val="22"/>
          <w:u w:val="none"/>
        </w:rPr>
      </w:pPr>
      <w:r w:rsidRPr="003A78DD">
        <w:rPr>
          <w:rStyle w:val="Strong"/>
          <w:rFonts w:asciiTheme="minorHAnsi" w:hAnsiTheme="minorHAnsi" w:cstheme="minorHAnsi"/>
          <w:b w:val="0"/>
          <w:bCs w:val="0"/>
          <w:sz w:val="22"/>
          <w:szCs w:val="22"/>
        </w:rPr>
        <w:t>Predictmedix (CSE:PMED)(OTCQB:PMEDF) is an emerging provider of rapid health screening and remote patient care solutions globally. The Company’s Safe Entry Stations – powered by a proprietary artificial intelligence (AI) – use multispectral cameras to analyze physiological data patterns and predict a variety of health issues. The Company’s current product is able to screen for infectious diseases such as COVID-19, while its technology under development will screen for impairment by drugs or alcohol, or various mental illnesses. Predictmedix’s proprietary remote patient care platform under development will empower medical professionals with a suite of AI-powered tools to improve patient health outcomes</w:t>
      </w:r>
      <w:r w:rsidR="004546C9">
        <w:rPr>
          <w:rFonts w:asciiTheme="minorHAnsi" w:eastAsia="Calibri" w:hAnsiTheme="minorHAnsi" w:cstheme="minorHAnsi"/>
          <w:sz w:val="22"/>
          <w:szCs w:val="22"/>
        </w:rPr>
        <w:t xml:space="preserve">. </w:t>
      </w:r>
      <w:r w:rsidR="00490A46" w:rsidRPr="00FE61FE">
        <w:rPr>
          <w:rFonts w:asciiTheme="minorHAnsi" w:eastAsia="Calibri" w:hAnsiTheme="minorHAnsi" w:cstheme="minorHAnsi"/>
          <w:sz w:val="22"/>
          <w:szCs w:val="22"/>
        </w:rPr>
        <w:t xml:space="preserve">To learn more, please visit our website at </w:t>
      </w:r>
      <w:hyperlink r:id="rId4" w:history="1">
        <w:r w:rsidR="00490A46" w:rsidRPr="00FE61FE">
          <w:rPr>
            <w:rStyle w:val="Hyperlink"/>
            <w:rFonts w:asciiTheme="minorHAnsi" w:eastAsia="Calibri" w:hAnsiTheme="minorHAnsi" w:cstheme="minorHAnsi"/>
            <w:sz w:val="22"/>
            <w:szCs w:val="22"/>
          </w:rPr>
          <w:t>www.Predictmedix.com</w:t>
        </w:r>
      </w:hyperlink>
      <w:r w:rsidR="00D453D8" w:rsidRPr="00FE61FE">
        <w:rPr>
          <w:rFonts w:asciiTheme="minorHAnsi" w:eastAsia="Calibri" w:hAnsiTheme="minorHAnsi" w:cstheme="minorHAnsi"/>
          <w:sz w:val="22"/>
          <w:szCs w:val="22"/>
        </w:rPr>
        <w:t xml:space="preserve"> or follow us o</w:t>
      </w:r>
      <w:r w:rsidR="00D453D8" w:rsidRPr="00FE61FE">
        <w:rPr>
          <w:rFonts w:asciiTheme="minorHAnsi" w:hAnsiTheme="minorHAnsi" w:cstheme="minorHAnsi"/>
          <w:sz w:val="22"/>
          <w:szCs w:val="22"/>
        </w:rPr>
        <w:t xml:space="preserve">n </w:t>
      </w:r>
      <w:hyperlink r:id="rId5" w:history="1">
        <w:r w:rsidR="00ED7417" w:rsidRPr="00FE61FE">
          <w:rPr>
            <w:rStyle w:val="Hyperlink"/>
            <w:rFonts w:asciiTheme="minorHAnsi" w:hAnsiTheme="minorHAnsi" w:cstheme="minorHAnsi"/>
            <w:sz w:val="22"/>
            <w:szCs w:val="22"/>
          </w:rPr>
          <w:t>Twitter</w:t>
        </w:r>
      </w:hyperlink>
      <w:r w:rsidR="00D453D8" w:rsidRPr="00FE61FE">
        <w:rPr>
          <w:rFonts w:asciiTheme="minorHAnsi" w:hAnsiTheme="minorHAnsi" w:cstheme="minorHAnsi"/>
          <w:sz w:val="22"/>
          <w:szCs w:val="22"/>
        </w:rPr>
        <w:t xml:space="preserve">, </w:t>
      </w:r>
      <w:hyperlink r:id="rId6" w:history="1">
        <w:r w:rsidR="00ED7417" w:rsidRPr="00FE61FE">
          <w:rPr>
            <w:rStyle w:val="Hyperlink"/>
            <w:rFonts w:asciiTheme="minorHAnsi" w:hAnsiTheme="minorHAnsi" w:cstheme="minorHAnsi"/>
            <w:sz w:val="22"/>
            <w:szCs w:val="22"/>
          </w:rPr>
          <w:t>Instagram</w:t>
        </w:r>
      </w:hyperlink>
      <w:r w:rsidR="00585F5F">
        <w:rPr>
          <w:rFonts w:asciiTheme="minorHAnsi" w:hAnsiTheme="minorHAnsi" w:cstheme="minorHAnsi"/>
          <w:sz w:val="22"/>
          <w:szCs w:val="22"/>
        </w:rPr>
        <w:t xml:space="preserve"> </w:t>
      </w:r>
      <w:r w:rsidR="00D453D8" w:rsidRPr="00FE61FE">
        <w:t xml:space="preserve">or </w:t>
      </w:r>
      <w:hyperlink r:id="rId7" w:history="1">
        <w:r w:rsidR="00ED7417" w:rsidRPr="00FE61FE">
          <w:rPr>
            <w:rStyle w:val="Hyperlink"/>
            <w:rFonts w:asciiTheme="minorHAnsi" w:hAnsiTheme="minorHAnsi" w:cstheme="minorHAnsi"/>
            <w:sz w:val="22"/>
            <w:szCs w:val="22"/>
          </w:rPr>
          <w:t>LinkedIn</w:t>
        </w:r>
      </w:hyperlink>
      <w:r w:rsidR="00FE61FE" w:rsidRPr="00FE61FE">
        <w:rPr>
          <w:rStyle w:val="Hyperlink"/>
          <w:rFonts w:asciiTheme="minorHAnsi" w:hAnsiTheme="minorHAnsi" w:cstheme="minorHAnsi"/>
          <w:sz w:val="22"/>
          <w:szCs w:val="22"/>
        </w:rPr>
        <w:t>.</w:t>
      </w:r>
      <w:r w:rsidR="00FE61FE">
        <w:rPr>
          <w:rStyle w:val="Hyperlink"/>
          <w:rFonts w:asciiTheme="minorHAnsi" w:hAnsiTheme="minorHAnsi" w:cstheme="minorHAnsi"/>
          <w:sz w:val="22"/>
          <w:szCs w:val="22"/>
        </w:rPr>
        <w:t xml:space="preserve"> </w:t>
      </w:r>
    </w:p>
    <w:p w14:paraId="31FD8647" w14:textId="58DF4BBD" w:rsidR="00ED7417" w:rsidRPr="00241C2E" w:rsidRDefault="00241C2E" w:rsidP="00241C2E">
      <w:pPr>
        <w:spacing w:before="100" w:beforeAutospacing="1" w:after="100" w:afterAutospacing="1" w:line="240" w:lineRule="auto"/>
        <w:rPr>
          <w:rFonts w:eastAsia="Times New Roman" w:cstheme="minorHAnsi"/>
          <w:b/>
          <w:bCs/>
        </w:rPr>
      </w:pPr>
      <w:r w:rsidRPr="00241C2E">
        <w:rPr>
          <w:rFonts w:eastAsia="Times New Roman" w:cstheme="minorHAnsi"/>
          <w:b/>
          <w:bCs/>
        </w:rPr>
        <w:t xml:space="preserve">Investor </w:t>
      </w:r>
      <w:r w:rsidR="006D0ED0">
        <w:rPr>
          <w:rFonts w:eastAsia="Times New Roman" w:cstheme="minorHAnsi"/>
          <w:b/>
          <w:bCs/>
        </w:rPr>
        <w:t xml:space="preserve">Relations </w:t>
      </w:r>
      <w:r w:rsidRPr="00241C2E">
        <w:rPr>
          <w:rFonts w:eastAsia="Times New Roman" w:cstheme="minorHAnsi"/>
          <w:b/>
          <w:bCs/>
        </w:rPr>
        <w:t>Contact</w:t>
      </w:r>
      <w:r w:rsidRPr="00241C2E">
        <w:rPr>
          <w:rFonts w:eastAsia="Times New Roman" w:cstheme="minorHAnsi"/>
          <w:b/>
          <w:bCs/>
        </w:rPr>
        <w:br/>
      </w:r>
      <w:r w:rsidRPr="00241C2E">
        <w:rPr>
          <w:rFonts w:cstheme="minorHAnsi"/>
        </w:rPr>
        <w:t xml:space="preserve">Lucas </w:t>
      </w:r>
      <w:r w:rsidR="006D0ED0">
        <w:rPr>
          <w:rFonts w:cstheme="minorHAnsi"/>
        </w:rPr>
        <w:t xml:space="preserve">A. </w:t>
      </w:r>
      <w:r w:rsidRPr="00241C2E">
        <w:rPr>
          <w:rFonts w:cstheme="minorHAnsi"/>
        </w:rPr>
        <w:t>Zimmerman</w:t>
      </w:r>
      <w:r w:rsidRPr="00241C2E">
        <w:rPr>
          <w:rFonts w:cstheme="minorHAnsi"/>
        </w:rPr>
        <w:br/>
        <w:t>MZ Group - MZ North America</w:t>
      </w:r>
      <w:r w:rsidRPr="00241C2E">
        <w:rPr>
          <w:rFonts w:cstheme="minorHAnsi"/>
        </w:rPr>
        <w:br/>
        <w:t>949-259-4987</w:t>
      </w:r>
      <w:r w:rsidRPr="00241C2E">
        <w:rPr>
          <w:rFonts w:cstheme="minorHAnsi"/>
        </w:rPr>
        <w:br/>
      </w:r>
      <w:hyperlink r:id="rId8" w:history="1">
        <w:r w:rsidR="006D0ED0" w:rsidRPr="00A57673">
          <w:rPr>
            <w:rStyle w:val="Hyperlink"/>
          </w:rPr>
          <w:t>PMEDF@mzgroup.us</w:t>
        </w:r>
      </w:hyperlink>
      <w:r w:rsidR="006D0ED0">
        <w:t xml:space="preserve"> </w:t>
      </w:r>
      <w:r w:rsidRPr="00241C2E">
        <w:rPr>
          <w:rFonts w:cstheme="minorHAnsi"/>
        </w:rPr>
        <w:br/>
      </w:r>
      <w:hyperlink r:id="rId9" w:tgtFrame="_blank" w:tooltip="Original URL: http://www.mzgroup.us/. Click or tap if you trust this link." w:history="1">
        <w:r w:rsidRPr="00241C2E">
          <w:rPr>
            <w:rStyle w:val="Hyperlink"/>
            <w:rFonts w:cstheme="minorHAnsi"/>
          </w:rPr>
          <w:t>www.mzgroup.us</w:t>
        </w:r>
      </w:hyperlink>
    </w:p>
    <w:p w14:paraId="556B7532" w14:textId="66F9C2AD" w:rsidR="00ED7417" w:rsidRPr="00241C2E" w:rsidRDefault="00ED7417" w:rsidP="00241C2E">
      <w:pPr>
        <w:pStyle w:val="NormalWeb"/>
        <w:rPr>
          <w:rFonts w:asciiTheme="minorHAnsi" w:hAnsiTheme="minorHAnsi" w:cstheme="minorHAnsi"/>
          <w:b/>
          <w:bCs/>
          <w:sz w:val="22"/>
          <w:szCs w:val="22"/>
        </w:rPr>
      </w:pPr>
      <w:r w:rsidRPr="00241C2E">
        <w:rPr>
          <w:rFonts w:asciiTheme="minorHAnsi" w:hAnsiTheme="minorHAnsi" w:cstheme="minorHAnsi"/>
          <w:b/>
          <w:bCs/>
          <w:sz w:val="22"/>
          <w:szCs w:val="22"/>
        </w:rPr>
        <w:t>Caution Regarding Forward-Looking Information:</w:t>
      </w:r>
    </w:p>
    <w:p w14:paraId="2891496A" w14:textId="727139C4" w:rsidR="00ED7417" w:rsidRPr="00241C2E" w:rsidRDefault="00ED7417" w:rsidP="00241C2E">
      <w:pPr>
        <w:pStyle w:val="NormalWeb"/>
        <w:jc w:val="both"/>
        <w:rPr>
          <w:rFonts w:asciiTheme="minorHAnsi" w:hAnsiTheme="minorHAnsi" w:cstheme="minorHAnsi"/>
          <w:sz w:val="22"/>
          <w:szCs w:val="22"/>
        </w:rPr>
      </w:pPr>
      <w:r w:rsidRPr="00241C2E">
        <w:rPr>
          <w:rFonts w:asciiTheme="minorHAnsi" w:hAnsiTheme="minorHAnsi" w:cstheme="minorHAnsi"/>
          <w:sz w:val="22"/>
          <w:szCs w:val="22"/>
        </w:rPr>
        <w:t>THE CANADIAN SECURITIES EXCHANGE HAS NOT REVIEWED NOR DOES IT ACCEPT RESPONSIBILITY FOR THE ADEQUACY OR ACCURACY OF THIS RELEASE.</w:t>
      </w:r>
    </w:p>
    <w:p w14:paraId="4C4D064C" w14:textId="1FC5624A" w:rsidR="00ED7417" w:rsidRPr="00241C2E" w:rsidRDefault="00ED7417" w:rsidP="00241C2E">
      <w:pPr>
        <w:pStyle w:val="NormalWeb"/>
        <w:jc w:val="both"/>
        <w:rPr>
          <w:rFonts w:asciiTheme="minorHAnsi" w:hAnsiTheme="minorHAnsi" w:cstheme="minorHAnsi"/>
          <w:sz w:val="22"/>
          <w:szCs w:val="22"/>
        </w:rPr>
      </w:pPr>
      <w:r w:rsidRPr="00241C2E">
        <w:rPr>
          <w:rFonts w:asciiTheme="minorHAnsi" w:hAnsiTheme="minorHAnsi" w:cstheme="minorHAnsi"/>
          <w:sz w:val="22"/>
          <w:szCs w:val="22"/>
        </w:rPr>
        <w:t>This news release may contain forward-looking statements and information based on current expectations. These statements should not be read as guarantees of future performance or results of the Company. Such statements involve known and unknown risks, uncertainties and other factors that may cause actual results, performance or achievements to be materially different from those implied by such statements. Although such statements are based on management’s reasonable assumptions, there can be no assurance that such assumptions will prove to be correct. We assume no responsibility to update or revise them to reflect new events or circumstances. The Company’s securities have not been registered under the U.S. Securities Act of 1933, as amended (the “U.S. Securities Act”), or applicable state securities laws, and may not be offered or sold to, or for the account or benefit of, persons in the United States or “U.S. Persons”, as such term is defined in Regulations under the U.S. Securities Act, absent registration or an applicable exemption from such registration requirements. This press release shall not constitute an offer to sell or the solicitation of an offer to buy nor shall there be any sale of the securities in the United States or any jurisdiction in which such offer, solicitation or sale would be unlawful. Additionally, there are known and unknown risk factors which could cause the Company’s actual results, performance or achievements to be materially different from any future results, performance or achievements expressed or implied by the forward-looking information contained herein, such as, but not limited to dependence on obtaining regulatory approvals; the ability to obtain intellectual property rights related to its technology; limited operating history; general business, economic, competitive, political, regulatory and social uncertainties, and in particular, uncertainties related to COVID-19; risks related to factors beyond the control of the company, including risks related to COVID-19; risks related to the Company’s shares, including price volatility due to events that may or may not be within such party’s control; reliance on management; and the emergency of additional competitors in the industry.</w:t>
      </w:r>
    </w:p>
    <w:p w14:paraId="12F757B0" w14:textId="7C3642B6" w:rsidR="00042AD8" w:rsidRDefault="00ED7417" w:rsidP="00241C2E">
      <w:pPr>
        <w:pStyle w:val="NormalWeb"/>
        <w:jc w:val="both"/>
        <w:rPr>
          <w:rFonts w:asciiTheme="minorHAnsi" w:hAnsiTheme="minorHAnsi" w:cstheme="minorHAnsi"/>
          <w:sz w:val="22"/>
          <w:szCs w:val="22"/>
        </w:rPr>
      </w:pPr>
      <w:r w:rsidRPr="00241C2E">
        <w:rPr>
          <w:rFonts w:asciiTheme="minorHAnsi" w:hAnsiTheme="minorHAnsi" w:cstheme="minorHAnsi"/>
          <w:sz w:val="22"/>
          <w:szCs w:val="22"/>
        </w:rPr>
        <w:t>All forward-looking information herein is qualified in its entirety by this cautionary statement, and the Company disclaims any obligation to revise or update any such forward-looking information or to publicly announce the result of any revisions to any of the forward-looking information contained herein to reflect future results, events or developments, except required by law.</w:t>
      </w:r>
    </w:p>
    <w:p w14:paraId="1E2E24DE" w14:textId="77777777" w:rsidR="00937A8A" w:rsidRPr="00937A8A" w:rsidRDefault="00937A8A" w:rsidP="002B6539">
      <w:pPr>
        <w:pStyle w:val="NormalWeb"/>
        <w:jc w:val="both"/>
        <w:rPr>
          <w:rFonts w:asciiTheme="minorHAnsi" w:hAnsiTheme="minorHAnsi" w:cstheme="minorHAnsi"/>
          <w:sz w:val="22"/>
          <w:szCs w:val="22"/>
        </w:rPr>
      </w:pPr>
      <w:r w:rsidRPr="00937A8A">
        <w:rPr>
          <w:rFonts w:asciiTheme="minorHAnsi" w:hAnsiTheme="minorHAnsi" w:cstheme="minorHAnsi"/>
          <w:sz w:val="22"/>
          <w:szCs w:val="22"/>
        </w:rPr>
        <w:t>Disclaimer: “The Company is not making any express or implied claims that its product has the ability to diagnose, eliminate, cure or contain the COVID-19 (or SARS-2 Coronavirus) at this time.”</w:t>
      </w:r>
    </w:p>
    <w:p w14:paraId="48AA2D5D" w14:textId="77777777" w:rsidR="00937A8A" w:rsidRPr="00241C2E" w:rsidRDefault="00937A8A" w:rsidP="00241C2E">
      <w:pPr>
        <w:pStyle w:val="NormalWeb"/>
        <w:jc w:val="both"/>
        <w:rPr>
          <w:rFonts w:asciiTheme="minorHAnsi" w:hAnsiTheme="minorHAnsi" w:cstheme="minorHAnsi"/>
          <w:sz w:val="22"/>
          <w:szCs w:val="22"/>
        </w:rPr>
      </w:pPr>
    </w:p>
    <w:sectPr w:rsidR="00937A8A" w:rsidRPr="0024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2145F"/>
    <w:rsid w:val="00001AE8"/>
    <w:rsid w:val="00005B26"/>
    <w:rsid w:val="000073C8"/>
    <w:rsid w:val="00024F30"/>
    <w:rsid w:val="00026906"/>
    <w:rsid w:val="00037488"/>
    <w:rsid w:val="00042AD8"/>
    <w:rsid w:val="000430FF"/>
    <w:rsid w:val="000439B1"/>
    <w:rsid w:val="0005502E"/>
    <w:rsid w:val="0005631F"/>
    <w:rsid w:val="00067CF1"/>
    <w:rsid w:val="000813BD"/>
    <w:rsid w:val="0009332A"/>
    <w:rsid w:val="000A470C"/>
    <w:rsid w:val="000A60F4"/>
    <w:rsid w:val="000C2454"/>
    <w:rsid w:val="000E0ABC"/>
    <w:rsid w:val="000F0B0F"/>
    <w:rsid w:val="000F1726"/>
    <w:rsid w:val="00102307"/>
    <w:rsid w:val="00104786"/>
    <w:rsid w:val="00126598"/>
    <w:rsid w:val="00142DD2"/>
    <w:rsid w:val="00143389"/>
    <w:rsid w:val="0015581E"/>
    <w:rsid w:val="001565D2"/>
    <w:rsid w:val="00163236"/>
    <w:rsid w:val="00164E8F"/>
    <w:rsid w:val="00173691"/>
    <w:rsid w:val="00177CE8"/>
    <w:rsid w:val="001B1AF0"/>
    <w:rsid w:val="001D670B"/>
    <w:rsid w:val="001F3D10"/>
    <w:rsid w:val="001F543E"/>
    <w:rsid w:val="0020288F"/>
    <w:rsid w:val="00226319"/>
    <w:rsid w:val="00230979"/>
    <w:rsid w:val="00233165"/>
    <w:rsid w:val="002366BE"/>
    <w:rsid w:val="00241C2E"/>
    <w:rsid w:val="002520CB"/>
    <w:rsid w:val="00252ED1"/>
    <w:rsid w:val="002823FA"/>
    <w:rsid w:val="00283740"/>
    <w:rsid w:val="00286158"/>
    <w:rsid w:val="00295086"/>
    <w:rsid w:val="002B3D52"/>
    <w:rsid w:val="002E7A6B"/>
    <w:rsid w:val="002F6B5E"/>
    <w:rsid w:val="003221E9"/>
    <w:rsid w:val="003230D0"/>
    <w:rsid w:val="003271BB"/>
    <w:rsid w:val="0034111D"/>
    <w:rsid w:val="003545CB"/>
    <w:rsid w:val="00382E17"/>
    <w:rsid w:val="00383D64"/>
    <w:rsid w:val="003A78DD"/>
    <w:rsid w:val="003D3C4C"/>
    <w:rsid w:val="003D4A63"/>
    <w:rsid w:val="003E1029"/>
    <w:rsid w:val="0040443E"/>
    <w:rsid w:val="004152C6"/>
    <w:rsid w:val="00417D5E"/>
    <w:rsid w:val="0042145F"/>
    <w:rsid w:val="00430F1D"/>
    <w:rsid w:val="00433C95"/>
    <w:rsid w:val="00441EA1"/>
    <w:rsid w:val="00443DA5"/>
    <w:rsid w:val="004546C9"/>
    <w:rsid w:val="00467644"/>
    <w:rsid w:val="00490A46"/>
    <w:rsid w:val="00496E66"/>
    <w:rsid w:val="004A15B5"/>
    <w:rsid w:val="004C7B73"/>
    <w:rsid w:val="004D61C3"/>
    <w:rsid w:val="00501E24"/>
    <w:rsid w:val="00512FE6"/>
    <w:rsid w:val="00513C7D"/>
    <w:rsid w:val="00524461"/>
    <w:rsid w:val="0052654D"/>
    <w:rsid w:val="005309B9"/>
    <w:rsid w:val="00546B1D"/>
    <w:rsid w:val="00560223"/>
    <w:rsid w:val="0056122D"/>
    <w:rsid w:val="005679C9"/>
    <w:rsid w:val="00576070"/>
    <w:rsid w:val="00583702"/>
    <w:rsid w:val="00585F5F"/>
    <w:rsid w:val="005A0A86"/>
    <w:rsid w:val="005B6F23"/>
    <w:rsid w:val="005C2CCC"/>
    <w:rsid w:val="005D0364"/>
    <w:rsid w:val="00613030"/>
    <w:rsid w:val="0063662B"/>
    <w:rsid w:val="006525A1"/>
    <w:rsid w:val="00652CDB"/>
    <w:rsid w:val="006923B6"/>
    <w:rsid w:val="006950D7"/>
    <w:rsid w:val="006A6D48"/>
    <w:rsid w:val="006B562A"/>
    <w:rsid w:val="006B5E67"/>
    <w:rsid w:val="006C57AA"/>
    <w:rsid w:val="006D0ED0"/>
    <w:rsid w:val="006E1E4B"/>
    <w:rsid w:val="006F67EE"/>
    <w:rsid w:val="00703C27"/>
    <w:rsid w:val="00742AB1"/>
    <w:rsid w:val="00747686"/>
    <w:rsid w:val="00751682"/>
    <w:rsid w:val="00753FD1"/>
    <w:rsid w:val="00756765"/>
    <w:rsid w:val="00762E0C"/>
    <w:rsid w:val="00787DFC"/>
    <w:rsid w:val="007949E3"/>
    <w:rsid w:val="007951AC"/>
    <w:rsid w:val="00795758"/>
    <w:rsid w:val="007A0A49"/>
    <w:rsid w:val="007B2FC7"/>
    <w:rsid w:val="007C044F"/>
    <w:rsid w:val="007C3986"/>
    <w:rsid w:val="007D420D"/>
    <w:rsid w:val="007F3B46"/>
    <w:rsid w:val="00807C03"/>
    <w:rsid w:val="00821213"/>
    <w:rsid w:val="008570BC"/>
    <w:rsid w:val="0086057B"/>
    <w:rsid w:val="00861CF6"/>
    <w:rsid w:val="00865F93"/>
    <w:rsid w:val="00883436"/>
    <w:rsid w:val="008A283B"/>
    <w:rsid w:val="008A6994"/>
    <w:rsid w:val="008B24B2"/>
    <w:rsid w:val="008B6C92"/>
    <w:rsid w:val="008C2B21"/>
    <w:rsid w:val="008D0537"/>
    <w:rsid w:val="008D7DA7"/>
    <w:rsid w:val="008E25C6"/>
    <w:rsid w:val="008E2B1B"/>
    <w:rsid w:val="008E3850"/>
    <w:rsid w:val="008E4DB8"/>
    <w:rsid w:val="008E749E"/>
    <w:rsid w:val="008F5C7B"/>
    <w:rsid w:val="009029B6"/>
    <w:rsid w:val="00907024"/>
    <w:rsid w:val="00923591"/>
    <w:rsid w:val="00937A8A"/>
    <w:rsid w:val="00945949"/>
    <w:rsid w:val="009847E8"/>
    <w:rsid w:val="00987F0C"/>
    <w:rsid w:val="00997092"/>
    <w:rsid w:val="009A1509"/>
    <w:rsid w:val="009A4F86"/>
    <w:rsid w:val="009A5DAF"/>
    <w:rsid w:val="009E3489"/>
    <w:rsid w:val="009F10F2"/>
    <w:rsid w:val="00A113E0"/>
    <w:rsid w:val="00A334A8"/>
    <w:rsid w:val="00A34FBB"/>
    <w:rsid w:val="00A37F52"/>
    <w:rsid w:val="00A70961"/>
    <w:rsid w:val="00A70985"/>
    <w:rsid w:val="00A86E29"/>
    <w:rsid w:val="00AA34E1"/>
    <w:rsid w:val="00AC509B"/>
    <w:rsid w:val="00AD66AD"/>
    <w:rsid w:val="00AE5005"/>
    <w:rsid w:val="00AF5A12"/>
    <w:rsid w:val="00B0181E"/>
    <w:rsid w:val="00B036A4"/>
    <w:rsid w:val="00B10C9E"/>
    <w:rsid w:val="00B27DA0"/>
    <w:rsid w:val="00B301DF"/>
    <w:rsid w:val="00B306FF"/>
    <w:rsid w:val="00B33840"/>
    <w:rsid w:val="00B90392"/>
    <w:rsid w:val="00B927CE"/>
    <w:rsid w:val="00BA4DCF"/>
    <w:rsid w:val="00BE079A"/>
    <w:rsid w:val="00BE6B31"/>
    <w:rsid w:val="00BF3048"/>
    <w:rsid w:val="00C17D21"/>
    <w:rsid w:val="00C23676"/>
    <w:rsid w:val="00C27607"/>
    <w:rsid w:val="00C404FB"/>
    <w:rsid w:val="00C65B22"/>
    <w:rsid w:val="00C909D2"/>
    <w:rsid w:val="00C97470"/>
    <w:rsid w:val="00CA29E3"/>
    <w:rsid w:val="00CB3DAF"/>
    <w:rsid w:val="00CD10C0"/>
    <w:rsid w:val="00CD57D6"/>
    <w:rsid w:val="00CE645F"/>
    <w:rsid w:val="00CE70DD"/>
    <w:rsid w:val="00CF6160"/>
    <w:rsid w:val="00CF6A9D"/>
    <w:rsid w:val="00D24773"/>
    <w:rsid w:val="00D30F07"/>
    <w:rsid w:val="00D33D37"/>
    <w:rsid w:val="00D422F7"/>
    <w:rsid w:val="00D43A8D"/>
    <w:rsid w:val="00D453D8"/>
    <w:rsid w:val="00D5685E"/>
    <w:rsid w:val="00D601CE"/>
    <w:rsid w:val="00D6606F"/>
    <w:rsid w:val="00D70167"/>
    <w:rsid w:val="00D7111B"/>
    <w:rsid w:val="00D87D58"/>
    <w:rsid w:val="00D953E5"/>
    <w:rsid w:val="00D965E6"/>
    <w:rsid w:val="00DA28F2"/>
    <w:rsid w:val="00DA313C"/>
    <w:rsid w:val="00DB1FC7"/>
    <w:rsid w:val="00DB372C"/>
    <w:rsid w:val="00DF2473"/>
    <w:rsid w:val="00E119F5"/>
    <w:rsid w:val="00E30F37"/>
    <w:rsid w:val="00E33F0A"/>
    <w:rsid w:val="00E3449A"/>
    <w:rsid w:val="00E444F6"/>
    <w:rsid w:val="00E6035F"/>
    <w:rsid w:val="00E6191E"/>
    <w:rsid w:val="00E63716"/>
    <w:rsid w:val="00E72FE4"/>
    <w:rsid w:val="00EC29A2"/>
    <w:rsid w:val="00ED163C"/>
    <w:rsid w:val="00ED7417"/>
    <w:rsid w:val="00EE32AA"/>
    <w:rsid w:val="00EF1D84"/>
    <w:rsid w:val="00EF796C"/>
    <w:rsid w:val="00F05DFB"/>
    <w:rsid w:val="00F34E1F"/>
    <w:rsid w:val="00F4124F"/>
    <w:rsid w:val="00F511D2"/>
    <w:rsid w:val="00F51257"/>
    <w:rsid w:val="00F523EF"/>
    <w:rsid w:val="00F639E8"/>
    <w:rsid w:val="00F72E5D"/>
    <w:rsid w:val="00F84B1B"/>
    <w:rsid w:val="00FB3F1E"/>
    <w:rsid w:val="00FD10AC"/>
    <w:rsid w:val="00FE0714"/>
    <w:rsid w:val="00FE0CDC"/>
    <w:rsid w:val="00FE1339"/>
    <w:rsid w:val="00FE61FE"/>
    <w:rsid w:val="00FF2585"/>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C4EF"/>
  <w15:docId w15:val="{EBB7308D-F5AB-437A-84C4-0185CD01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214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145F"/>
    <w:rPr>
      <w:color w:val="0000FF"/>
      <w:u w:val="single"/>
    </w:rPr>
  </w:style>
  <w:style w:type="character" w:customStyle="1" w:styleId="article-body">
    <w:name w:val="article-body"/>
    <w:basedOn w:val="DefaultParagraphFont"/>
    <w:rsid w:val="007951AC"/>
  </w:style>
  <w:style w:type="paragraph" w:styleId="NormalWeb">
    <w:name w:val="Normal (Web)"/>
    <w:basedOn w:val="Normal"/>
    <w:uiPriority w:val="99"/>
    <w:unhideWhenUsed/>
    <w:rsid w:val="00E33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F0A"/>
    <w:rPr>
      <w:b/>
      <w:bCs/>
    </w:rPr>
  </w:style>
  <w:style w:type="paragraph" w:styleId="HTMLPreformatted">
    <w:name w:val="HTML Preformatted"/>
    <w:basedOn w:val="Normal"/>
    <w:link w:val="HTMLPreformattedChar"/>
    <w:uiPriority w:val="99"/>
    <w:semiHidden/>
    <w:unhideWhenUsed/>
    <w:rsid w:val="00E33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3F0A"/>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E33F0A"/>
    <w:rPr>
      <w:color w:val="605E5C"/>
      <w:shd w:val="clear" w:color="auto" w:fill="E1DFDD"/>
    </w:rPr>
  </w:style>
  <w:style w:type="paragraph" w:styleId="BalloonText">
    <w:name w:val="Balloon Text"/>
    <w:basedOn w:val="Normal"/>
    <w:link w:val="BalloonTextChar"/>
    <w:uiPriority w:val="99"/>
    <w:semiHidden/>
    <w:unhideWhenUsed/>
    <w:rsid w:val="00005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26"/>
    <w:rPr>
      <w:rFonts w:ascii="Tahoma" w:hAnsi="Tahoma" w:cs="Tahoma"/>
      <w:sz w:val="16"/>
      <w:szCs w:val="16"/>
    </w:rPr>
  </w:style>
  <w:style w:type="character" w:customStyle="1" w:styleId="Aucun">
    <w:name w:val="Aucun"/>
    <w:rsid w:val="00987F0C"/>
    <w:rPr>
      <w:lang w:val="en-US"/>
    </w:rPr>
  </w:style>
  <w:style w:type="paragraph" w:customStyle="1" w:styleId="Corps">
    <w:name w:val="Corps"/>
    <w:rsid w:val="00987F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styleId="UnresolvedMention">
    <w:name w:val="Unresolved Mention"/>
    <w:basedOn w:val="DefaultParagraphFont"/>
    <w:uiPriority w:val="99"/>
    <w:semiHidden/>
    <w:unhideWhenUsed/>
    <w:rsid w:val="00987F0C"/>
    <w:rPr>
      <w:color w:val="605E5C"/>
      <w:shd w:val="clear" w:color="auto" w:fill="E1DFDD"/>
    </w:rPr>
  </w:style>
  <w:style w:type="character" w:styleId="Emphasis">
    <w:name w:val="Emphasis"/>
    <w:basedOn w:val="DefaultParagraphFont"/>
    <w:uiPriority w:val="20"/>
    <w:qFormat/>
    <w:rsid w:val="000430FF"/>
    <w:rPr>
      <w:i/>
      <w:iCs/>
    </w:rPr>
  </w:style>
  <w:style w:type="character" w:styleId="CommentReference">
    <w:name w:val="annotation reference"/>
    <w:basedOn w:val="DefaultParagraphFont"/>
    <w:uiPriority w:val="99"/>
    <w:semiHidden/>
    <w:unhideWhenUsed/>
    <w:rsid w:val="009847E8"/>
    <w:rPr>
      <w:sz w:val="16"/>
      <w:szCs w:val="16"/>
    </w:rPr>
  </w:style>
  <w:style w:type="paragraph" w:styleId="CommentText">
    <w:name w:val="annotation text"/>
    <w:basedOn w:val="Normal"/>
    <w:link w:val="CommentTextChar"/>
    <w:uiPriority w:val="99"/>
    <w:unhideWhenUsed/>
    <w:rsid w:val="009847E8"/>
    <w:pPr>
      <w:spacing w:line="240" w:lineRule="auto"/>
    </w:pPr>
    <w:rPr>
      <w:sz w:val="20"/>
      <w:szCs w:val="20"/>
    </w:rPr>
  </w:style>
  <w:style w:type="character" w:customStyle="1" w:styleId="CommentTextChar">
    <w:name w:val="Comment Text Char"/>
    <w:basedOn w:val="DefaultParagraphFont"/>
    <w:link w:val="CommentText"/>
    <w:uiPriority w:val="99"/>
    <w:rsid w:val="009847E8"/>
    <w:rPr>
      <w:sz w:val="20"/>
      <w:szCs w:val="20"/>
    </w:rPr>
  </w:style>
  <w:style w:type="paragraph" w:styleId="CommentSubject">
    <w:name w:val="annotation subject"/>
    <w:basedOn w:val="CommentText"/>
    <w:next w:val="CommentText"/>
    <w:link w:val="CommentSubjectChar"/>
    <w:uiPriority w:val="99"/>
    <w:semiHidden/>
    <w:unhideWhenUsed/>
    <w:rsid w:val="009847E8"/>
    <w:rPr>
      <w:b/>
      <w:bCs/>
    </w:rPr>
  </w:style>
  <w:style w:type="character" w:customStyle="1" w:styleId="CommentSubjectChar">
    <w:name w:val="Comment Subject Char"/>
    <w:basedOn w:val="CommentTextChar"/>
    <w:link w:val="CommentSubject"/>
    <w:uiPriority w:val="99"/>
    <w:semiHidden/>
    <w:rsid w:val="009847E8"/>
    <w:rPr>
      <w:b/>
      <w:bCs/>
      <w:sz w:val="20"/>
      <w:szCs w:val="20"/>
    </w:rPr>
  </w:style>
  <w:style w:type="character" w:styleId="FollowedHyperlink">
    <w:name w:val="FollowedHyperlink"/>
    <w:basedOn w:val="DefaultParagraphFont"/>
    <w:uiPriority w:val="99"/>
    <w:semiHidden/>
    <w:unhideWhenUsed/>
    <w:rsid w:val="00AF5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735869">
      <w:bodyDiv w:val="1"/>
      <w:marLeft w:val="0"/>
      <w:marRight w:val="0"/>
      <w:marTop w:val="0"/>
      <w:marBottom w:val="0"/>
      <w:divBdr>
        <w:top w:val="none" w:sz="0" w:space="0" w:color="auto"/>
        <w:left w:val="none" w:sz="0" w:space="0" w:color="auto"/>
        <w:bottom w:val="none" w:sz="0" w:space="0" w:color="auto"/>
        <w:right w:val="none" w:sz="0" w:space="0" w:color="auto"/>
      </w:divBdr>
    </w:div>
    <w:div w:id="972828945">
      <w:bodyDiv w:val="1"/>
      <w:marLeft w:val="0"/>
      <w:marRight w:val="0"/>
      <w:marTop w:val="0"/>
      <w:marBottom w:val="0"/>
      <w:divBdr>
        <w:top w:val="none" w:sz="0" w:space="0" w:color="auto"/>
        <w:left w:val="none" w:sz="0" w:space="0" w:color="auto"/>
        <w:bottom w:val="none" w:sz="0" w:space="0" w:color="auto"/>
        <w:right w:val="none" w:sz="0" w:space="0" w:color="auto"/>
      </w:divBdr>
      <w:divsChild>
        <w:div w:id="2089224304">
          <w:marLeft w:val="0"/>
          <w:marRight w:val="0"/>
          <w:marTop w:val="0"/>
          <w:marBottom w:val="0"/>
          <w:divBdr>
            <w:top w:val="none" w:sz="0" w:space="0" w:color="auto"/>
            <w:left w:val="none" w:sz="0" w:space="0" w:color="auto"/>
            <w:bottom w:val="none" w:sz="0" w:space="0" w:color="auto"/>
            <w:right w:val="none" w:sz="0" w:space="0" w:color="auto"/>
          </w:divBdr>
        </w:div>
        <w:div w:id="922642452">
          <w:marLeft w:val="0"/>
          <w:marRight w:val="0"/>
          <w:marTop w:val="0"/>
          <w:marBottom w:val="0"/>
          <w:divBdr>
            <w:top w:val="none" w:sz="0" w:space="0" w:color="auto"/>
            <w:left w:val="none" w:sz="0" w:space="0" w:color="auto"/>
            <w:bottom w:val="none" w:sz="0" w:space="0" w:color="auto"/>
            <w:right w:val="none" w:sz="0" w:space="0" w:color="auto"/>
          </w:divBdr>
        </w:div>
        <w:div w:id="1964993711">
          <w:marLeft w:val="0"/>
          <w:marRight w:val="0"/>
          <w:marTop w:val="0"/>
          <w:marBottom w:val="0"/>
          <w:divBdr>
            <w:top w:val="none" w:sz="0" w:space="0" w:color="auto"/>
            <w:left w:val="none" w:sz="0" w:space="0" w:color="auto"/>
            <w:bottom w:val="none" w:sz="0" w:space="0" w:color="auto"/>
            <w:right w:val="none" w:sz="0" w:space="0" w:color="auto"/>
          </w:divBdr>
        </w:div>
        <w:div w:id="259683731">
          <w:marLeft w:val="0"/>
          <w:marRight w:val="0"/>
          <w:marTop w:val="0"/>
          <w:marBottom w:val="0"/>
          <w:divBdr>
            <w:top w:val="none" w:sz="0" w:space="0" w:color="auto"/>
            <w:left w:val="none" w:sz="0" w:space="0" w:color="auto"/>
            <w:bottom w:val="none" w:sz="0" w:space="0" w:color="auto"/>
            <w:right w:val="none" w:sz="0" w:space="0" w:color="auto"/>
          </w:divBdr>
        </w:div>
        <w:div w:id="1014303703">
          <w:marLeft w:val="0"/>
          <w:marRight w:val="0"/>
          <w:marTop w:val="0"/>
          <w:marBottom w:val="0"/>
          <w:divBdr>
            <w:top w:val="none" w:sz="0" w:space="0" w:color="auto"/>
            <w:left w:val="none" w:sz="0" w:space="0" w:color="auto"/>
            <w:bottom w:val="none" w:sz="0" w:space="0" w:color="auto"/>
            <w:right w:val="none" w:sz="0" w:space="0" w:color="auto"/>
          </w:divBdr>
        </w:div>
      </w:divsChild>
    </w:div>
    <w:div w:id="1048526419">
      <w:bodyDiv w:val="1"/>
      <w:marLeft w:val="0"/>
      <w:marRight w:val="0"/>
      <w:marTop w:val="0"/>
      <w:marBottom w:val="0"/>
      <w:divBdr>
        <w:top w:val="none" w:sz="0" w:space="0" w:color="auto"/>
        <w:left w:val="none" w:sz="0" w:space="0" w:color="auto"/>
        <w:bottom w:val="none" w:sz="0" w:space="0" w:color="auto"/>
        <w:right w:val="none" w:sz="0" w:space="0" w:color="auto"/>
      </w:divBdr>
    </w:div>
    <w:div w:id="1607272271">
      <w:bodyDiv w:val="1"/>
      <w:marLeft w:val="0"/>
      <w:marRight w:val="0"/>
      <w:marTop w:val="0"/>
      <w:marBottom w:val="0"/>
      <w:divBdr>
        <w:top w:val="none" w:sz="0" w:space="0" w:color="auto"/>
        <w:left w:val="none" w:sz="0" w:space="0" w:color="auto"/>
        <w:bottom w:val="none" w:sz="0" w:space="0" w:color="auto"/>
        <w:right w:val="none" w:sz="0" w:space="0" w:color="auto"/>
      </w:divBdr>
    </w:div>
    <w:div w:id="1884562922">
      <w:bodyDiv w:val="1"/>
      <w:marLeft w:val="0"/>
      <w:marRight w:val="0"/>
      <w:marTop w:val="0"/>
      <w:marBottom w:val="0"/>
      <w:divBdr>
        <w:top w:val="none" w:sz="0" w:space="0" w:color="auto"/>
        <w:left w:val="none" w:sz="0" w:space="0" w:color="auto"/>
        <w:bottom w:val="none" w:sz="0" w:space="0" w:color="auto"/>
        <w:right w:val="none" w:sz="0" w:space="0" w:color="auto"/>
      </w:divBdr>
    </w:div>
    <w:div w:id="1978873575">
      <w:bodyDiv w:val="1"/>
      <w:marLeft w:val="0"/>
      <w:marRight w:val="0"/>
      <w:marTop w:val="0"/>
      <w:marBottom w:val="0"/>
      <w:divBdr>
        <w:top w:val="none" w:sz="0" w:space="0" w:color="auto"/>
        <w:left w:val="none" w:sz="0" w:space="0" w:color="auto"/>
        <w:bottom w:val="none" w:sz="0" w:space="0" w:color="auto"/>
        <w:right w:val="none" w:sz="0" w:space="0" w:color="auto"/>
      </w:divBdr>
    </w:div>
    <w:div w:id="2046365698">
      <w:bodyDiv w:val="1"/>
      <w:marLeft w:val="0"/>
      <w:marRight w:val="0"/>
      <w:marTop w:val="0"/>
      <w:marBottom w:val="0"/>
      <w:divBdr>
        <w:top w:val="none" w:sz="0" w:space="0" w:color="auto"/>
        <w:left w:val="none" w:sz="0" w:space="0" w:color="auto"/>
        <w:bottom w:val="none" w:sz="0" w:space="0" w:color="auto"/>
        <w:right w:val="none" w:sz="0" w:space="0" w:color="auto"/>
      </w:divBdr>
    </w:div>
    <w:div w:id="213393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DF@mzgroup.us" TargetMode="External"/><Relationship Id="rId3" Type="http://schemas.openxmlformats.org/officeDocument/2006/relationships/webSettings" Target="webSettings.xml"/><Relationship Id="rId7" Type="http://schemas.openxmlformats.org/officeDocument/2006/relationships/hyperlink" Target="https://www.linkedin.com/company/predictmed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redictmedix/" TargetMode="External"/><Relationship Id="rId11" Type="http://schemas.openxmlformats.org/officeDocument/2006/relationships/theme" Target="theme/theme1.xml"/><Relationship Id="rId5" Type="http://schemas.openxmlformats.org/officeDocument/2006/relationships/hyperlink" Target="https://twitter.com/Predictmedix" TargetMode="External"/><Relationship Id="rId10" Type="http://schemas.openxmlformats.org/officeDocument/2006/relationships/fontTable" Target="fontTable.xml"/><Relationship Id="rId4" Type="http://schemas.openxmlformats.org/officeDocument/2006/relationships/hyperlink" Target="http://www.Predictmedix.com" TargetMode="External"/><Relationship Id="rId9" Type="http://schemas.openxmlformats.org/officeDocument/2006/relationships/hyperlink" Target="https://nam04.safelinks.protection.outlook.com/?url=http%3A%2F%2Fwww.mzgroup.us%2F&amp;data=01%7C01%7Cmhenshaw%40mzgroup.us%7C47b036713c97485abe6b08d824050daf%7C14aaeb7b437a4302bd7b0ab1671f5062%7C0&amp;sdata=FritmGMyfp7LAvujjEbGAYS1LIa7cIAb%2F4SilRbN45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1062</Words>
  <Characters>5492</Characters>
  <Application>Microsoft Office Word</Application>
  <DocSecurity>0</DocSecurity>
  <Lines>171</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Henshaw</dc:creator>
  <cp:lastModifiedBy>Microsoft Office User</cp:lastModifiedBy>
  <cp:revision>7</cp:revision>
  <dcterms:created xsi:type="dcterms:W3CDTF">2021-10-18T18:03:00Z</dcterms:created>
  <dcterms:modified xsi:type="dcterms:W3CDTF">2021-10-21T18:14:00Z</dcterms:modified>
</cp:coreProperties>
</file>