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A759" w14:textId="63F4B600" w:rsidR="00F84DCE" w:rsidRPr="00F84DCE" w:rsidRDefault="00F84DCE" w:rsidP="00F84DCE">
      <w:pPr>
        <w:pStyle w:val="Ttulo1"/>
        <w:spacing w:line="276" w:lineRule="auto"/>
        <w:rPr>
          <w:rFonts w:ascii="Verdana" w:eastAsia="Times New Roman" w:hAnsi="Verdana"/>
          <w:color w:val="auto"/>
          <w:sz w:val="22"/>
          <w:szCs w:val="22"/>
        </w:rPr>
      </w:pPr>
      <w:bookmarkStart w:id="0" w:name="_Hlk87292378"/>
      <w:r w:rsidRPr="00F84DCE">
        <w:rPr>
          <w:rFonts w:ascii="Verdana" w:eastAsia="Times New Roman" w:hAnsi="Verdana"/>
          <w:color w:val="auto"/>
          <w:sz w:val="22"/>
          <w:szCs w:val="22"/>
        </w:rPr>
        <w:t xml:space="preserve">NEXA RESOURCES ANNOUNCES INTENTION TO </w:t>
      </w:r>
    </w:p>
    <w:p w14:paraId="5D385416" w14:textId="71FAE8E1" w:rsidR="002E352D" w:rsidRPr="00CF5646" w:rsidRDefault="00F84DCE" w:rsidP="00F84DCE">
      <w:pPr>
        <w:pStyle w:val="Ttulo1"/>
        <w:spacing w:line="276" w:lineRule="auto"/>
        <w:ind w:left="0" w:right="0"/>
        <w:rPr>
          <w:rFonts w:eastAsia="Times New Roman"/>
          <w:sz w:val="22"/>
          <w:szCs w:val="22"/>
          <w:lang w:val="en-CA"/>
        </w:rPr>
      </w:pPr>
      <w:r w:rsidRPr="00F84DCE">
        <w:rPr>
          <w:rFonts w:ascii="Verdana" w:eastAsia="Times New Roman" w:hAnsi="Verdana"/>
          <w:color w:val="auto"/>
          <w:sz w:val="22"/>
          <w:szCs w:val="22"/>
        </w:rPr>
        <w:t>VOLUNTARILY DELIST FROM THE TORONTO STOCK EXCHANGE</w:t>
      </w:r>
    </w:p>
    <w:bookmarkEnd w:id="0"/>
    <w:p w14:paraId="35D9042A" w14:textId="4D55A1EE" w:rsidR="00FB7B34" w:rsidRDefault="002E352D" w:rsidP="00FB7B34">
      <w:pPr>
        <w:spacing w:before="480" w:after="120"/>
        <w:jc w:val="both"/>
        <w:rPr>
          <w:rFonts w:ascii="Verdana" w:hAnsi="Verdana"/>
          <w:sz w:val="20"/>
          <w:szCs w:val="20"/>
        </w:rPr>
      </w:pPr>
      <w:r w:rsidRPr="00A86279">
        <w:rPr>
          <w:rFonts w:ascii="Verdana" w:hAnsi="Verdana"/>
          <w:b/>
          <w:bCs/>
          <w:sz w:val="20"/>
          <w:szCs w:val="20"/>
        </w:rPr>
        <w:t xml:space="preserve">Luxembourg, </w:t>
      </w:r>
      <w:r w:rsidR="00F84DCE">
        <w:rPr>
          <w:rFonts w:ascii="Verdana" w:hAnsi="Verdana"/>
          <w:b/>
          <w:bCs/>
          <w:sz w:val="20"/>
          <w:szCs w:val="20"/>
        </w:rPr>
        <w:t>November</w:t>
      </w:r>
      <w:r w:rsidR="000B37C6">
        <w:rPr>
          <w:rFonts w:ascii="Verdana" w:hAnsi="Verdana"/>
          <w:b/>
          <w:bCs/>
          <w:sz w:val="20"/>
          <w:szCs w:val="20"/>
        </w:rPr>
        <w:t xml:space="preserve"> 9</w:t>
      </w:r>
      <w:r w:rsidR="00062E80" w:rsidRPr="00DA520A">
        <w:rPr>
          <w:rFonts w:ascii="Verdana" w:hAnsi="Verdana"/>
          <w:b/>
          <w:bCs/>
          <w:sz w:val="20"/>
          <w:szCs w:val="20"/>
        </w:rPr>
        <w:t>,</w:t>
      </w:r>
      <w:r w:rsidR="00062E80" w:rsidRPr="00A86279">
        <w:rPr>
          <w:rFonts w:ascii="Verdana" w:hAnsi="Verdana"/>
          <w:b/>
          <w:bCs/>
          <w:sz w:val="20"/>
          <w:szCs w:val="20"/>
        </w:rPr>
        <w:t xml:space="preserve"> </w:t>
      </w:r>
      <w:r w:rsidRPr="00A86279">
        <w:rPr>
          <w:rFonts w:ascii="Verdana" w:hAnsi="Verdana"/>
          <w:b/>
          <w:bCs/>
          <w:sz w:val="20"/>
          <w:szCs w:val="20"/>
        </w:rPr>
        <w:t>20</w:t>
      </w:r>
      <w:r w:rsidR="00312164">
        <w:rPr>
          <w:rFonts w:ascii="Verdana" w:hAnsi="Verdana"/>
          <w:b/>
          <w:bCs/>
          <w:sz w:val="20"/>
          <w:szCs w:val="20"/>
        </w:rPr>
        <w:t>2</w:t>
      </w:r>
      <w:r w:rsidR="00A221D6">
        <w:rPr>
          <w:rFonts w:ascii="Verdana" w:hAnsi="Verdana"/>
          <w:b/>
          <w:bCs/>
          <w:sz w:val="20"/>
          <w:szCs w:val="20"/>
        </w:rPr>
        <w:t>1</w:t>
      </w:r>
      <w:r w:rsidRPr="00A86279">
        <w:rPr>
          <w:rFonts w:ascii="Verdana" w:hAnsi="Verdana"/>
          <w:b/>
          <w:bCs/>
          <w:sz w:val="20"/>
          <w:szCs w:val="20"/>
        </w:rPr>
        <w:t xml:space="preserve"> </w:t>
      </w:r>
      <w:r w:rsidRPr="00A86279">
        <w:rPr>
          <w:rFonts w:ascii="Verdana" w:hAnsi="Verdana"/>
          <w:bCs/>
          <w:sz w:val="20"/>
          <w:szCs w:val="20"/>
        </w:rPr>
        <w:t xml:space="preserve">- </w:t>
      </w:r>
      <w:r w:rsidR="005977C6" w:rsidRPr="00AD1B9A">
        <w:rPr>
          <w:rFonts w:ascii="Verdana" w:hAnsi="Verdana"/>
          <w:sz w:val="20"/>
          <w:szCs w:val="20"/>
        </w:rPr>
        <w:t xml:space="preserve">Nexa Resources S.A. (“Nexa Resources” or “Nexa” or the “Company”) (NYSE and TSX Symbol: “NEXA”) </w:t>
      </w:r>
      <w:r w:rsidR="00F84DCE" w:rsidRPr="00AD1B9A">
        <w:rPr>
          <w:rFonts w:ascii="Verdana" w:hAnsi="Verdana"/>
          <w:sz w:val="20"/>
          <w:szCs w:val="20"/>
        </w:rPr>
        <w:t xml:space="preserve">announces that it has applied for a voluntarily delisting of its common shares (“Common Shares”) from the Toronto Stock Exchange (“TSX”) in Canada. Subject to such application being accepted by the TSX, it is expected that the Common Shares will be delisted from the TSX effective as of the close of trading on or about November </w:t>
      </w:r>
      <w:r w:rsidR="00AD1B9A">
        <w:rPr>
          <w:rFonts w:ascii="Verdana" w:hAnsi="Verdana"/>
          <w:sz w:val="20"/>
          <w:szCs w:val="20"/>
        </w:rPr>
        <w:t>30</w:t>
      </w:r>
      <w:r w:rsidR="00F84DCE" w:rsidRPr="00AD1B9A">
        <w:rPr>
          <w:rFonts w:ascii="Verdana" w:hAnsi="Verdana"/>
          <w:sz w:val="20"/>
          <w:szCs w:val="20"/>
        </w:rPr>
        <w:t>, 2021</w:t>
      </w:r>
      <w:r w:rsidR="00D8254B">
        <w:rPr>
          <w:rFonts w:ascii="Verdana" w:hAnsi="Verdana"/>
          <w:sz w:val="20"/>
          <w:szCs w:val="20"/>
        </w:rPr>
        <w:t>.</w:t>
      </w:r>
    </w:p>
    <w:p w14:paraId="3A6D79D5" w14:textId="0BC13C24" w:rsidR="00F84DCE" w:rsidRPr="00F84DCE" w:rsidRDefault="00F84DCE" w:rsidP="00F84DCE">
      <w:pPr>
        <w:spacing w:after="120"/>
        <w:jc w:val="both"/>
        <w:rPr>
          <w:rFonts w:ascii="Verdana" w:hAnsi="Verdana"/>
          <w:sz w:val="20"/>
          <w:szCs w:val="20"/>
        </w:rPr>
      </w:pPr>
      <w:r w:rsidRPr="00F84DCE">
        <w:rPr>
          <w:rFonts w:ascii="Verdana" w:hAnsi="Verdana"/>
          <w:sz w:val="20"/>
          <w:szCs w:val="20"/>
        </w:rPr>
        <w:t xml:space="preserve">The Company has decided to pursue the voluntary delisting of the Common Shares following an internal assessment of the relative advantages and disadvantages associated with the continued listing on the TSX. In arriving at the determination to delist, the Company considered, among other things, the burdens associated with the listing, the minimal trading volumes on the TSX and the availability of an alternative market for the Common Shares on the New York Stock Exchange (“NYSE”). </w:t>
      </w:r>
    </w:p>
    <w:p w14:paraId="71FE7E66" w14:textId="2B858EC5" w:rsidR="000B37C6" w:rsidRDefault="00F84DCE" w:rsidP="00F84DCE">
      <w:pPr>
        <w:spacing w:after="120"/>
        <w:jc w:val="both"/>
        <w:rPr>
          <w:rFonts w:ascii="Verdana" w:hAnsi="Verdana"/>
          <w:sz w:val="20"/>
          <w:szCs w:val="20"/>
        </w:rPr>
      </w:pPr>
      <w:r w:rsidRPr="00F84DCE">
        <w:rPr>
          <w:rFonts w:ascii="Verdana" w:hAnsi="Verdana"/>
          <w:sz w:val="20"/>
          <w:szCs w:val="20"/>
        </w:rPr>
        <w:t xml:space="preserve">The Company’s Common Shares will continue to be listed and trade on the NYSE under the symbol “NEXA”. </w:t>
      </w:r>
      <w:r w:rsidR="000B37C6" w:rsidRPr="000B37C6">
        <w:rPr>
          <w:rFonts w:ascii="Verdana" w:hAnsi="Verdana"/>
          <w:sz w:val="20"/>
          <w:szCs w:val="20"/>
        </w:rPr>
        <w:t>In accordance with the TSX Company Manual, the TSX does not require shareholder approval of the voluntary delisting of the Common Shares from the TSX as an acceptable alternative market will exist for the Common Shares on the date of delisting.</w:t>
      </w:r>
    </w:p>
    <w:p w14:paraId="0D66996C" w14:textId="4B43F0B0" w:rsidR="008E13CE" w:rsidRDefault="00F84DCE" w:rsidP="00F84DCE">
      <w:pPr>
        <w:spacing w:after="120"/>
        <w:jc w:val="both"/>
        <w:rPr>
          <w:rFonts w:ascii="Verdana" w:hAnsi="Verdana"/>
          <w:sz w:val="20"/>
          <w:szCs w:val="20"/>
        </w:rPr>
      </w:pPr>
      <w:r w:rsidRPr="00F84DCE">
        <w:rPr>
          <w:rFonts w:ascii="Verdana" w:hAnsi="Verdana"/>
          <w:sz w:val="20"/>
          <w:szCs w:val="20"/>
        </w:rPr>
        <w:t xml:space="preserve">The delisting from the TSX is not expected to have any impact on the Company’s ongoing operations. </w:t>
      </w:r>
    </w:p>
    <w:p w14:paraId="156D4FB9" w14:textId="0C088D39" w:rsidR="00F84DCE" w:rsidRPr="00F84DCE" w:rsidRDefault="00F84DCE" w:rsidP="00F84DCE">
      <w:pPr>
        <w:spacing w:after="120"/>
        <w:jc w:val="both"/>
        <w:rPr>
          <w:rFonts w:ascii="Verdana" w:hAnsi="Verdana"/>
          <w:sz w:val="20"/>
          <w:szCs w:val="20"/>
        </w:rPr>
      </w:pPr>
      <w:r w:rsidRPr="00F84DCE">
        <w:rPr>
          <w:rFonts w:ascii="Verdana" w:hAnsi="Verdana"/>
          <w:sz w:val="20"/>
          <w:szCs w:val="20"/>
        </w:rPr>
        <w:t xml:space="preserve">The Company will remain a reporting issuer in </w:t>
      </w:r>
      <w:r w:rsidR="008E13CE">
        <w:rPr>
          <w:rFonts w:ascii="Verdana" w:hAnsi="Verdana"/>
          <w:sz w:val="20"/>
          <w:szCs w:val="20"/>
        </w:rPr>
        <w:t>each</w:t>
      </w:r>
      <w:r w:rsidR="008E13CE" w:rsidRPr="00F84DCE">
        <w:rPr>
          <w:rFonts w:ascii="Verdana" w:hAnsi="Verdana"/>
          <w:sz w:val="20"/>
          <w:szCs w:val="20"/>
        </w:rPr>
        <w:t xml:space="preserve"> </w:t>
      </w:r>
      <w:r w:rsidRPr="00F84DCE">
        <w:rPr>
          <w:rFonts w:ascii="Verdana" w:hAnsi="Verdana"/>
          <w:sz w:val="20"/>
          <w:szCs w:val="20"/>
        </w:rPr>
        <w:t xml:space="preserve">of the provinces and territories of Canada following the delisting and continue to file in Canada and disseminate to Canadian resident holders of the Common Shares its continuous and periodic disclosure documents until such time as it ceases to be obligated to do so. The Company intends to apply under Canadian securities laws for an order that it cease to be a reporting issuer </w:t>
      </w:r>
      <w:r w:rsidR="00AD1B9A">
        <w:rPr>
          <w:rFonts w:ascii="Verdana" w:hAnsi="Verdana"/>
          <w:sz w:val="20"/>
          <w:szCs w:val="20"/>
        </w:rPr>
        <w:t>as soon as is practicable</w:t>
      </w:r>
      <w:r w:rsidR="008E13CE">
        <w:rPr>
          <w:rFonts w:ascii="Verdana" w:hAnsi="Verdana"/>
          <w:sz w:val="20"/>
          <w:szCs w:val="20"/>
        </w:rPr>
        <w:t xml:space="preserve"> following the delisting from the TSX</w:t>
      </w:r>
      <w:r w:rsidRPr="00F84DCE">
        <w:rPr>
          <w:rFonts w:ascii="Verdana" w:hAnsi="Verdana"/>
          <w:sz w:val="20"/>
          <w:szCs w:val="20"/>
        </w:rPr>
        <w:t xml:space="preserve">. </w:t>
      </w:r>
    </w:p>
    <w:p w14:paraId="6F7835AF" w14:textId="1D981E69" w:rsidR="009468D2" w:rsidRPr="009468D2" w:rsidRDefault="00F84DCE" w:rsidP="00F84DCE">
      <w:pPr>
        <w:spacing w:after="120"/>
        <w:jc w:val="both"/>
        <w:rPr>
          <w:rFonts w:ascii="Verdana" w:hAnsi="Verdana"/>
          <w:sz w:val="20"/>
          <w:szCs w:val="20"/>
        </w:rPr>
      </w:pPr>
      <w:r w:rsidRPr="00F84DCE">
        <w:rPr>
          <w:rFonts w:ascii="Verdana" w:hAnsi="Verdana"/>
          <w:sz w:val="20"/>
          <w:szCs w:val="20"/>
        </w:rPr>
        <w:t>Holders of the Common Shares in Canadian brokerage accounts are encouraged to contact their brokers to verify how to trade their Common Shares on the NYSE in the future</w:t>
      </w:r>
      <w:r w:rsidR="009468D2" w:rsidRPr="009468D2">
        <w:rPr>
          <w:rFonts w:ascii="Verdana" w:hAnsi="Verdana"/>
          <w:sz w:val="20"/>
          <w:szCs w:val="20"/>
        </w:rPr>
        <w:t>.</w:t>
      </w:r>
    </w:p>
    <w:p w14:paraId="2E083B0D" w14:textId="3605BDFD" w:rsidR="009C3791" w:rsidRPr="00A17411" w:rsidRDefault="009C3791" w:rsidP="00D52D4C">
      <w:pPr>
        <w:spacing w:after="0"/>
        <w:jc w:val="both"/>
        <w:rPr>
          <w:rFonts w:ascii="Verdana" w:hAnsi="Verdana"/>
          <w:sz w:val="20"/>
          <w:szCs w:val="20"/>
        </w:rPr>
      </w:pPr>
    </w:p>
    <w:p w14:paraId="4CB8638B" w14:textId="77777777" w:rsidR="00A24A4C" w:rsidRPr="00857112" w:rsidRDefault="00A24A4C" w:rsidP="00D52D4C">
      <w:pPr>
        <w:spacing w:before="120" w:after="120"/>
        <w:rPr>
          <w:rFonts w:ascii="Verdana" w:hAnsi="Verdana" w:cs="Arial"/>
          <w:b/>
          <w:color w:val="ED7D31" w:themeColor="accent2"/>
          <w:sz w:val="18"/>
          <w:szCs w:val="18"/>
        </w:rPr>
      </w:pPr>
      <w:r w:rsidRPr="00857112">
        <w:rPr>
          <w:rFonts w:ascii="Verdana" w:hAnsi="Verdana" w:cs="Arial"/>
          <w:b/>
          <w:color w:val="ED7D31" w:themeColor="accent2"/>
          <w:sz w:val="18"/>
          <w:szCs w:val="18"/>
        </w:rPr>
        <w:t>About Nexa</w:t>
      </w:r>
    </w:p>
    <w:p w14:paraId="411744A4" w14:textId="77777777" w:rsidR="00857112" w:rsidRDefault="00857112" w:rsidP="00857112">
      <w:pPr>
        <w:jc w:val="both"/>
        <w:rPr>
          <w:rFonts w:ascii="Verdana" w:hAnsi="Verdana"/>
          <w:sz w:val="20"/>
          <w:szCs w:val="20"/>
        </w:rPr>
      </w:pPr>
      <w:r w:rsidRPr="00490C0A">
        <w:rPr>
          <w:rFonts w:ascii="Verdana" w:hAnsi="Verdana"/>
          <w:sz w:val="20"/>
          <w:szCs w:val="20"/>
        </w:rPr>
        <w:t xml:space="preserve">Nexa is a large-scale, low-cost integrated zinc producer with over 60 years of experience developing and operating mining and smelting assets in Latin America. Nexa currently owns and operates five long-life underground mines - three located in the Central Andes of Peru and two located in the state of Minas Gerais in Brazil - and is developing the Aripuanã Project as its sixth underground mine in Mato Grosso, Brazil. </w:t>
      </w:r>
      <w:r w:rsidRPr="00233A22">
        <w:rPr>
          <w:rFonts w:ascii="Verdana" w:hAnsi="Verdana"/>
          <w:sz w:val="20"/>
          <w:szCs w:val="20"/>
        </w:rPr>
        <w:t>Nexa also currently owns and operates three smelters</w:t>
      </w:r>
      <w:r>
        <w:rPr>
          <w:rFonts w:ascii="Verdana" w:hAnsi="Verdana"/>
          <w:sz w:val="20"/>
          <w:szCs w:val="20"/>
        </w:rPr>
        <w:t xml:space="preserve">, two located in Brazil and one in Peru, Cajamarquilla, which is the largest smelter in the Americas. </w:t>
      </w:r>
      <w:r w:rsidRPr="00490C0A">
        <w:rPr>
          <w:rFonts w:ascii="Verdana" w:hAnsi="Verdana"/>
          <w:sz w:val="20"/>
          <w:szCs w:val="20"/>
        </w:rPr>
        <w:t>Nexa was among the top five producers of mined zinc globally in 20</w:t>
      </w:r>
      <w:r>
        <w:rPr>
          <w:rFonts w:ascii="Verdana" w:hAnsi="Verdana"/>
          <w:sz w:val="20"/>
          <w:szCs w:val="20"/>
        </w:rPr>
        <w:t>20</w:t>
      </w:r>
      <w:r w:rsidRPr="00490C0A">
        <w:rPr>
          <w:rFonts w:ascii="Verdana" w:hAnsi="Verdana"/>
          <w:sz w:val="20"/>
          <w:szCs w:val="20"/>
        </w:rPr>
        <w:t xml:space="preserve"> </w:t>
      </w:r>
      <w:proofErr w:type="gramStart"/>
      <w:r w:rsidRPr="00490C0A">
        <w:rPr>
          <w:rFonts w:ascii="Verdana" w:hAnsi="Verdana"/>
          <w:sz w:val="20"/>
          <w:szCs w:val="20"/>
        </w:rPr>
        <w:t>and also</w:t>
      </w:r>
      <w:proofErr w:type="gramEnd"/>
      <w:r w:rsidRPr="00490C0A">
        <w:rPr>
          <w:rFonts w:ascii="Verdana" w:hAnsi="Verdana"/>
          <w:sz w:val="20"/>
          <w:szCs w:val="20"/>
        </w:rPr>
        <w:t xml:space="preserve"> one of the top five metallic zinc producers worldwide in 20</w:t>
      </w:r>
      <w:r>
        <w:rPr>
          <w:rFonts w:ascii="Verdana" w:hAnsi="Verdana"/>
          <w:sz w:val="20"/>
          <w:szCs w:val="20"/>
        </w:rPr>
        <w:t>20</w:t>
      </w:r>
      <w:r w:rsidRPr="00490C0A">
        <w:rPr>
          <w:rFonts w:ascii="Verdana" w:hAnsi="Verdana"/>
          <w:sz w:val="20"/>
          <w:szCs w:val="20"/>
        </w:rPr>
        <w:t>, according to Wood Mackenzie</w:t>
      </w:r>
      <w:r w:rsidRPr="001C738D">
        <w:rPr>
          <w:rFonts w:ascii="Verdana" w:hAnsi="Verdana"/>
          <w:sz w:val="20"/>
          <w:szCs w:val="20"/>
        </w:rPr>
        <w:t>.</w:t>
      </w:r>
    </w:p>
    <w:p w14:paraId="34B113EE" w14:textId="77777777" w:rsidR="00857112" w:rsidRPr="001C738D" w:rsidRDefault="00857112" w:rsidP="00857112">
      <w:pPr>
        <w:spacing w:before="240" w:after="120"/>
        <w:rPr>
          <w:rFonts w:ascii="Verdana" w:hAnsi="Verdana" w:cs="Arial"/>
          <w:b/>
          <w:color w:val="ED7D31" w:themeColor="accent2"/>
          <w:sz w:val="20"/>
          <w:szCs w:val="20"/>
        </w:rPr>
      </w:pPr>
      <w:r w:rsidRPr="001C738D">
        <w:rPr>
          <w:rFonts w:ascii="Verdana" w:hAnsi="Verdana" w:cs="Arial"/>
          <w:b/>
          <w:color w:val="ED7D31" w:themeColor="accent2"/>
          <w:sz w:val="20"/>
          <w:szCs w:val="20"/>
        </w:rPr>
        <w:t>Cautionary Statement on Forward-Looking Statements</w:t>
      </w:r>
    </w:p>
    <w:p w14:paraId="08566ED3" w14:textId="40C7F2B9" w:rsidR="00857112" w:rsidRPr="004B18D6" w:rsidRDefault="00857112" w:rsidP="00857112">
      <w:pPr>
        <w:spacing w:after="120"/>
        <w:jc w:val="both"/>
        <w:rPr>
          <w:rFonts w:ascii="Verdana" w:hAnsi="Verdana"/>
          <w:sz w:val="20"/>
          <w:szCs w:val="20"/>
        </w:rPr>
      </w:pPr>
      <w:r w:rsidRPr="004B18D6">
        <w:rPr>
          <w:rFonts w:ascii="Verdana" w:hAnsi="Verdana"/>
          <w:sz w:val="20"/>
          <w:szCs w:val="20"/>
        </w:rPr>
        <w:t xml:space="preserve">This news release contains certain forward-looking information and forward-looking statements as defined in applicable securities laws (collectively referred to in this news </w:t>
      </w:r>
      <w:r w:rsidRPr="004B18D6">
        <w:rPr>
          <w:rFonts w:ascii="Verdana" w:hAnsi="Verdana"/>
          <w:sz w:val="20"/>
          <w:szCs w:val="20"/>
        </w:rPr>
        <w:lastRenderedPageBreak/>
        <w:t>release as “forward-looking statements”). Forward-looking statements contained in this news release</w:t>
      </w:r>
      <w:r>
        <w:rPr>
          <w:rFonts w:ascii="Verdana" w:hAnsi="Verdana"/>
          <w:sz w:val="20"/>
          <w:szCs w:val="20"/>
        </w:rPr>
        <w:t xml:space="preserve"> may</w:t>
      </w:r>
      <w:r w:rsidRPr="004B18D6">
        <w:rPr>
          <w:rFonts w:ascii="Verdana" w:hAnsi="Verdana"/>
          <w:sz w:val="20"/>
          <w:szCs w:val="20"/>
        </w:rPr>
        <w:t xml:space="preserve"> include, but are not limited to, zinc and other metal prices and exchange rate assumptions, projected operating and capital costs, metal or mineral recoveries, head grades, mine life, production rates, and returns; the Company’s potential plans; the estimation of the tonnage, grade and content of deposits and the extent of the Mineral Resource and Mineral Reserve estimates; timing of commencement of production; exploration potential and results; the timing and receipt of necessary permits for future operations;</w:t>
      </w:r>
      <w:r>
        <w:rPr>
          <w:rFonts w:ascii="Verdana" w:hAnsi="Verdana"/>
          <w:sz w:val="20"/>
          <w:szCs w:val="20"/>
        </w:rPr>
        <w:t xml:space="preserve"> the impacts of COVID-19 in our operations</w:t>
      </w:r>
      <w:r w:rsidRPr="004B18D6">
        <w:rPr>
          <w:rFonts w:ascii="Verdana" w:hAnsi="Verdana"/>
          <w:sz w:val="20"/>
          <w:szCs w:val="20"/>
        </w:rPr>
        <w:t>.</w:t>
      </w:r>
    </w:p>
    <w:p w14:paraId="76E65490" w14:textId="3E86F75D" w:rsidR="00857112" w:rsidRPr="004B18D6" w:rsidRDefault="00857112" w:rsidP="00857112">
      <w:pPr>
        <w:spacing w:after="120"/>
        <w:jc w:val="both"/>
        <w:rPr>
          <w:rFonts w:ascii="Verdana" w:hAnsi="Verdana"/>
          <w:sz w:val="20"/>
          <w:szCs w:val="20"/>
        </w:rPr>
      </w:pPr>
      <w:r w:rsidRPr="004B18D6">
        <w:rPr>
          <w:rFonts w:ascii="Verdana" w:hAnsi="Verdana"/>
          <w:sz w:val="20"/>
          <w:szCs w:val="20"/>
        </w:rPr>
        <w:t>These statements are based on information currently available to the Company and the Company provides no assurance that actual results and future performance and achievements will meet or not differ from the expectations of management or qualified persons. All statements other than statements of historical fact are forward-looking statements. The words “believe,” “will,” “may,” “may have,” “would,” “estimate,” “continues,” “anticipates,” “intends,” “plans,” “expects,” “budget,” “scheduled,” “forecasts” and similar words are intended to identify estimates and forward</w:t>
      </w:r>
      <w:r w:rsidR="00ED5DE4">
        <w:rPr>
          <w:rFonts w:ascii="Verdana" w:hAnsi="Verdana"/>
          <w:sz w:val="20"/>
          <w:szCs w:val="20"/>
        </w:rPr>
        <w:t>-</w:t>
      </w:r>
      <w:r w:rsidRPr="004B18D6">
        <w:rPr>
          <w:rFonts w:ascii="Verdana" w:hAnsi="Verdana"/>
          <w:sz w:val="20"/>
          <w:szCs w:val="20"/>
        </w:rPr>
        <w:t xml:space="preserve">looking statements. Forward-looking statements are not guarantees and involve known and unknown risks, uncertainties and other factors which may cause the actual results, </w:t>
      </w:r>
      <w:proofErr w:type="gramStart"/>
      <w:r w:rsidRPr="004B18D6">
        <w:rPr>
          <w:rFonts w:ascii="Verdana" w:hAnsi="Verdana"/>
          <w:sz w:val="20"/>
          <w:szCs w:val="20"/>
        </w:rPr>
        <w:t>performance</w:t>
      </w:r>
      <w:proofErr w:type="gramEnd"/>
      <w:r w:rsidRPr="004B18D6">
        <w:rPr>
          <w:rFonts w:ascii="Verdana" w:hAnsi="Verdana"/>
          <w:sz w:val="20"/>
          <w:szCs w:val="20"/>
        </w:rPr>
        <w:t xml:space="preserve"> or achievements of the Company to be materially different from any future results, performance or achievements expressed or implied by the forward-looking statements. Actual results and developments may be substantially different from the expectations described in the forward-looking statements for </w:t>
      </w:r>
      <w:proofErr w:type="gramStart"/>
      <w:r w:rsidRPr="004B18D6">
        <w:rPr>
          <w:rFonts w:ascii="Verdana" w:hAnsi="Verdana"/>
          <w:sz w:val="20"/>
          <w:szCs w:val="20"/>
        </w:rPr>
        <w:t>a number of</w:t>
      </w:r>
      <w:proofErr w:type="gramEnd"/>
      <w:r w:rsidRPr="004B18D6">
        <w:rPr>
          <w:rFonts w:ascii="Verdana" w:hAnsi="Verdana"/>
          <w:sz w:val="20"/>
          <w:szCs w:val="20"/>
        </w:rPr>
        <w:t xml:space="preserve"> reasons, many of which are not under our control, among them, the activities of our competition, the future global economic situation, weather conditions, market prices and conditions, exchange rates, and operational and financial risks. The unexpected occurrence of one or more of the abovementioned events may significantly change the results of our operations on which we have based our estimates and forward</w:t>
      </w:r>
      <w:r w:rsidR="00ED5DE4">
        <w:rPr>
          <w:rFonts w:ascii="Verdana" w:hAnsi="Verdana"/>
          <w:sz w:val="20"/>
          <w:szCs w:val="20"/>
        </w:rPr>
        <w:t>-</w:t>
      </w:r>
      <w:r w:rsidRPr="004B18D6">
        <w:rPr>
          <w:rFonts w:ascii="Verdana" w:hAnsi="Verdana"/>
          <w:sz w:val="20"/>
          <w:szCs w:val="20"/>
        </w:rPr>
        <w:t>looking statements. Our estimates and forward</w:t>
      </w:r>
      <w:r w:rsidR="00ED5DE4">
        <w:rPr>
          <w:rFonts w:ascii="Verdana" w:hAnsi="Verdana"/>
          <w:sz w:val="20"/>
          <w:szCs w:val="20"/>
        </w:rPr>
        <w:t>-</w:t>
      </w:r>
      <w:r w:rsidRPr="004B18D6">
        <w:rPr>
          <w:rFonts w:ascii="Verdana" w:hAnsi="Verdana"/>
          <w:sz w:val="20"/>
          <w:szCs w:val="20"/>
        </w:rPr>
        <w:t>looking statements may also be influenced by, among others, legal, political, environmental</w:t>
      </w:r>
      <w:r w:rsidR="00ED5DE4">
        <w:rPr>
          <w:rFonts w:ascii="Verdana" w:hAnsi="Verdana"/>
          <w:sz w:val="20"/>
          <w:szCs w:val="20"/>
        </w:rPr>
        <w:t>,</w:t>
      </w:r>
      <w:r w:rsidRPr="004B18D6">
        <w:rPr>
          <w:rFonts w:ascii="Verdana" w:hAnsi="Verdana"/>
          <w:sz w:val="20"/>
          <w:szCs w:val="20"/>
        </w:rPr>
        <w:t xml:space="preserve"> or other risks that could materially affect the potential development of the Project, including risks related to outbreaks of contagious diseases or health crises impacting overall economic activity regionally or globally.</w:t>
      </w:r>
    </w:p>
    <w:p w14:paraId="7D471630" w14:textId="5517EB46" w:rsidR="00857112" w:rsidRPr="004B18D6" w:rsidRDefault="00857112" w:rsidP="00857112">
      <w:pPr>
        <w:spacing w:after="120"/>
        <w:jc w:val="both"/>
        <w:rPr>
          <w:rFonts w:ascii="Verdana" w:hAnsi="Verdana"/>
          <w:sz w:val="20"/>
          <w:szCs w:val="20"/>
        </w:rPr>
      </w:pPr>
      <w:r w:rsidRPr="004B18D6">
        <w:rPr>
          <w:rFonts w:ascii="Verdana" w:hAnsi="Verdana"/>
          <w:sz w:val="20"/>
          <w:szCs w:val="20"/>
        </w:rPr>
        <w:t xml:space="preserve">These forward-looking statements related to future events or future performance and include current estimates, predictions, forecasts, beliefs and statements as to management’s expectations with respect to, but not limited to, the business and operations of the Company and mining production, our growth strategy, the impact of applicable laws and regulations, future zinc and other metal prices, smelting sales, capex, expenses related to exploration and project </w:t>
      </w:r>
      <w:r w:rsidR="00E538DE">
        <w:rPr>
          <w:rFonts w:ascii="Verdana" w:hAnsi="Verdana"/>
          <w:sz w:val="20"/>
          <w:szCs w:val="20"/>
        </w:rPr>
        <w:t>evaluation</w:t>
      </w:r>
      <w:r w:rsidRPr="004B18D6">
        <w:rPr>
          <w:rFonts w:ascii="Verdana" w:hAnsi="Verdana"/>
          <w:sz w:val="20"/>
          <w:szCs w:val="20"/>
        </w:rPr>
        <w:t>, estimation of Mineral Reserves and/or Mineral Resources, mine life and our financial liquidity.</w:t>
      </w:r>
    </w:p>
    <w:p w14:paraId="2B2B35A3" w14:textId="0927F14F" w:rsidR="00857112" w:rsidRPr="00490C0A" w:rsidRDefault="00857112" w:rsidP="00857112">
      <w:pPr>
        <w:spacing w:after="120"/>
        <w:jc w:val="both"/>
        <w:rPr>
          <w:rFonts w:ascii="Verdana" w:hAnsi="Verdana"/>
          <w:sz w:val="20"/>
          <w:szCs w:val="20"/>
        </w:rPr>
      </w:pPr>
      <w:r w:rsidRPr="004B18D6">
        <w:rPr>
          <w:rFonts w:ascii="Verdana" w:hAnsi="Verdana"/>
          <w:sz w:val="20"/>
          <w:szCs w:val="20"/>
        </w:rPr>
        <w:t xml:space="preserve">Forward-looking statements are necessarily based upon </w:t>
      </w:r>
      <w:proofErr w:type="gramStart"/>
      <w:r w:rsidRPr="004B18D6">
        <w:rPr>
          <w:rFonts w:ascii="Verdana" w:hAnsi="Verdana"/>
          <w:sz w:val="20"/>
          <w:szCs w:val="20"/>
        </w:rPr>
        <w:t>a number of</w:t>
      </w:r>
      <w:proofErr w:type="gramEnd"/>
      <w:r w:rsidRPr="004B18D6">
        <w:rPr>
          <w:rFonts w:ascii="Verdana" w:hAnsi="Verdana"/>
          <w:sz w:val="20"/>
          <w:szCs w:val="20"/>
        </w:rPr>
        <w:t xml:space="preserve"> factors and assumptions that, while considered reasonable and appropriate by management and qualified persons </w:t>
      </w:r>
      <w:r>
        <w:rPr>
          <w:rFonts w:ascii="Verdana" w:hAnsi="Verdana"/>
          <w:sz w:val="20"/>
          <w:szCs w:val="20"/>
        </w:rPr>
        <w:t>considering</w:t>
      </w:r>
      <w:r w:rsidRPr="004B18D6">
        <w:rPr>
          <w:rFonts w:ascii="Verdana" w:hAnsi="Verdana"/>
          <w:sz w:val="20"/>
          <w:szCs w:val="20"/>
        </w:rPr>
        <w:t xml:space="preserve"> their experience are inherently subject to significant uncertainties and contingencies and may prove to be incorrect. Statements concerning future production costs or volumes are based on numerous assumptions of management regarding operating matters and on assumptions that demand for products develops as anticipated, that customers and other counterparties perform their contractual obligations, full integration of mining and smelting operations, that operating and capital plans will not be disrupted by issues such as mechanical failure, unavailability of parts and supplies, labor disturbances, interruption in transportation or utilities, adverse weather conditions, and that there are no material unanticipated variations in metal prices, exchange rates, or the cost of energy, supplies or transportation, among other assumptions</w:t>
      </w:r>
      <w:r w:rsidRPr="00490C0A">
        <w:rPr>
          <w:rFonts w:ascii="Verdana" w:hAnsi="Verdana"/>
          <w:sz w:val="20"/>
          <w:szCs w:val="20"/>
        </w:rPr>
        <w:t>.</w:t>
      </w:r>
    </w:p>
    <w:p w14:paraId="1B131D7C" w14:textId="33682CAF" w:rsidR="00B444EA" w:rsidRPr="00D52D4C" w:rsidRDefault="00857112" w:rsidP="00857112">
      <w:pPr>
        <w:spacing w:after="120"/>
        <w:jc w:val="both"/>
        <w:rPr>
          <w:rFonts w:ascii="Verdana" w:hAnsi="Verdana"/>
          <w:sz w:val="18"/>
          <w:szCs w:val="18"/>
        </w:rPr>
      </w:pPr>
      <w:r w:rsidRPr="00490C0A">
        <w:rPr>
          <w:rFonts w:ascii="Verdana" w:hAnsi="Verdana"/>
          <w:sz w:val="20"/>
          <w:szCs w:val="20"/>
        </w:rPr>
        <w:lastRenderedPageBreak/>
        <w:t>Estimates and forward-looking statements refer only to the date when they were made, and we do not undertake any obligation to update or revise any estimate or forward</w:t>
      </w:r>
      <w:r w:rsidR="00ED5DE4">
        <w:rPr>
          <w:rFonts w:ascii="Verdana" w:hAnsi="Verdana"/>
          <w:sz w:val="20"/>
          <w:szCs w:val="20"/>
        </w:rPr>
        <w:t>-</w:t>
      </w:r>
      <w:r w:rsidRPr="00490C0A">
        <w:rPr>
          <w:rFonts w:ascii="Verdana" w:hAnsi="Verdana"/>
          <w:sz w:val="20"/>
          <w:szCs w:val="20"/>
        </w:rPr>
        <w:t>looking statement due to new information, future events or otherwise, except as required by law. Estimates and forward-looking statements involve risks and uncertainties and do not guarantee future performance, as actual results or developments may be substantially different from the expectations described in the forward</w:t>
      </w:r>
      <w:r w:rsidR="00ED5DE4">
        <w:rPr>
          <w:rFonts w:ascii="Verdana" w:hAnsi="Verdana"/>
          <w:sz w:val="20"/>
          <w:szCs w:val="20"/>
        </w:rPr>
        <w:t>-</w:t>
      </w:r>
      <w:r w:rsidRPr="00490C0A">
        <w:rPr>
          <w:rFonts w:ascii="Verdana" w:hAnsi="Verdana"/>
          <w:sz w:val="20"/>
          <w:szCs w:val="20"/>
        </w:rPr>
        <w:t>looking statements. Further information concerning risks and uncertainties associated with these forward-looking statements and our business can be found in our public disclosures filed under our profile on SEDAR (www.sedar.com) and on EDGAR (www.sec.gov)</w:t>
      </w:r>
      <w:r w:rsidR="00B444EA" w:rsidRPr="00857112">
        <w:rPr>
          <w:rFonts w:ascii="Verdana" w:hAnsi="Verdana"/>
          <w:sz w:val="18"/>
          <w:szCs w:val="18"/>
        </w:rPr>
        <w:t>.</w:t>
      </w:r>
    </w:p>
    <w:p w14:paraId="64D545CC" w14:textId="77777777" w:rsidR="009B103A" w:rsidRPr="00D52D4C" w:rsidRDefault="009B103A" w:rsidP="00A24A4C">
      <w:pPr>
        <w:jc w:val="both"/>
        <w:rPr>
          <w:rFonts w:ascii="Verdana" w:hAnsi="Verdana" w:cs="Arial"/>
          <w:sz w:val="18"/>
          <w:szCs w:val="18"/>
        </w:rPr>
      </w:pPr>
    </w:p>
    <w:p w14:paraId="1F4D68AD" w14:textId="77777777" w:rsidR="00B444E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For further information, please contact:</w:t>
      </w:r>
    </w:p>
    <w:p w14:paraId="77B57D00" w14:textId="77777777" w:rsidR="00B444E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Roberta Varella – Head of Investor Relations</w:t>
      </w:r>
    </w:p>
    <w:p w14:paraId="0A4259A7" w14:textId="6AF108DE" w:rsidR="009B103A" w:rsidRPr="00D52D4C" w:rsidRDefault="00B12922" w:rsidP="00D52D4C">
      <w:pPr>
        <w:pStyle w:val="SemEspaamento"/>
        <w:spacing w:line="276" w:lineRule="auto"/>
        <w:rPr>
          <w:rFonts w:ascii="Verdana" w:hAnsi="Verdana"/>
          <w:sz w:val="18"/>
          <w:szCs w:val="18"/>
        </w:rPr>
      </w:pPr>
      <w:hyperlink r:id="rId8" w:history="1">
        <w:r w:rsidR="009B103A" w:rsidRPr="00D52D4C">
          <w:rPr>
            <w:rStyle w:val="Hyperlink"/>
            <w:rFonts w:ascii="Verdana" w:hAnsi="Verdana" w:cs="Arial"/>
            <w:sz w:val="18"/>
            <w:szCs w:val="18"/>
          </w:rPr>
          <w:t>ir@nexaresouces.com</w:t>
        </w:r>
      </w:hyperlink>
    </w:p>
    <w:p w14:paraId="792D406D" w14:textId="062EF7C5" w:rsidR="00CA410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+55 11 3405-5601</w:t>
      </w:r>
    </w:p>
    <w:sectPr w:rsidR="00CA410A" w:rsidRPr="00D52D4C" w:rsidSect="00B444EA">
      <w:headerReference w:type="default" r:id="rId9"/>
      <w:footerReference w:type="even" r:id="rId10"/>
      <w:footerReference w:type="default" r:id="rId11"/>
      <w:headerReference w:type="first" r:id="rId12"/>
      <w:footerReference w:type="first" r:id="rId13"/>
      <w:pgSz w:w="12240" w:h="15840"/>
      <w:pgMar w:top="1194" w:right="1710" w:bottom="720" w:left="135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44BC" w14:textId="77777777" w:rsidR="00975106" w:rsidRDefault="00975106" w:rsidP="00CA410A">
      <w:pPr>
        <w:spacing w:after="0" w:line="240" w:lineRule="auto"/>
      </w:pPr>
      <w:r>
        <w:separator/>
      </w:r>
    </w:p>
  </w:endnote>
  <w:endnote w:type="continuationSeparator" w:id="0">
    <w:p w14:paraId="71CC9C5D" w14:textId="77777777" w:rsidR="00975106" w:rsidRDefault="00975106" w:rsidP="00CA410A">
      <w:pPr>
        <w:spacing w:after="0" w:line="240" w:lineRule="auto"/>
      </w:pPr>
      <w:r>
        <w:continuationSeparator/>
      </w:r>
    </w:p>
  </w:endnote>
  <w:endnote w:type="continuationNotice" w:id="1">
    <w:p w14:paraId="3FFA6E13" w14:textId="77777777" w:rsidR="00975106" w:rsidRDefault="0097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99F3" w14:textId="77777777" w:rsidR="00967343" w:rsidRDefault="00D67250">
    <w:pPr>
      <w:pStyle w:val="Rodap"/>
    </w:pPr>
    <w:fldSimple w:instr=" DOCPROPERTY DOCXDOCID DMS=InterwovenIManage Format=[&lt;&lt;LIB&gt;&gt; &lt;&lt;NUM&gt;&gt;_&lt;&lt;VER&gt;&gt;] PRESERVELOCATION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142" w14:textId="41B0F0BD" w:rsidR="00967343" w:rsidRDefault="00B12922" w:rsidP="00B12922">
    <w:pPr>
      <w:pStyle w:val="Rodap"/>
      <w:jc w:val="right"/>
    </w:pPr>
    <w:sdt>
      <w:sdtPr>
        <w:id w:val="1087124480"/>
        <w:docPartObj>
          <w:docPartGallery w:val="Page Numbers (Bottom of Page)"/>
          <w:docPartUnique/>
        </w:docPartObj>
      </w:sdtPr>
      <w:sdtEndPr/>
      <w:sdtContent>
        <w:r w:rsidR="00967343">
          <w:fldChar w:fldCharType="begin"/>
        </w:r>
        <w:r w:rsidR="00967343">
          <w:instrText>PAGE   \* MERGEFORMAT</w:instrText>
        </w:r>
        <w:r w:rsidR="00967343">
          <w:fldChar w:fldCharType="separate"/>
        </w:r>
        <w:r w:rsidR="007D3035">
          <w:rPr>
            <w:noProof/>
          </w:rPr>
          <w:t>2</w:t>
        </w:r>
        <w:r w:rsidR="00967343">
          <w:fldChar w:fldCharType="end"/>
        </w:r>
      </w:sdtContent>
    </w:sdt>
    <w:r w:rsidR="00161966" w:rsidRPr="005946DD">
      <w:rPr>
        <w:noProof/>
      </w:rPr>
      <w:drawing>
        <wp:anchor distT="0" distB="0" distL="114300" distR="114300" simplePos="0" relativeHeight="251666432" behindDoc="1" locked="0" layoutInCell="1" allowOverlap="1" wp14:anchorId="4B0AB8DE" wp14:editId="20702157">
          <wp:simplePos x="0" y="0"/>
          <wp:positionH relativeFrom="column">
            <wp:posOffset>6197600</wp:posOffset>
          </wp:positionH>
          <wp:positionV relativeFrom="page">
            <wp:posOffset>9329420</wp:posOffset>
          </wp:positionV>
          <wp:extent cx="719455" cy="730250"/>
          <wp:effectExtent l="0" t="0" r="0"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l="68290" t="-2" b="42608"/>
                  <a:stretch/>
                </pic:blipFill>
                <pic:spPr bwMode="auto">
                  <a:xfrm flipV="1">
                    <a:off x="0" y="0"/>
                    <a:ext cx="719455" cy="73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D064" w14:textId="0057C1C2" w:rsidR="00967343" w:rsidRPr="003B3693" w:rsidRDefault="0007301A" w:rsidP="003B3693">
    <w:pPr>
      <w:jc w:val="both"/>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6C2C" w14:textId="77777777" w:rsidR="00975106" w:rsidRDefault="00975106" w:rsidP="00CA410A">
      <w:pPr>
        <w:spacing w:after="0" w:line="240" w:lineRule="auto"/>
      </w:pPr>
      <w:r>
        <w:separator/>
      </w:r>
    </w:p>
  </w:footnote>
  <w:footnote w:type="continuationSeparator" w:id="0">
    <w:p w14:paraId="735A990B" w14:textId="77777777" w:rsidR="00975106" w:rsidRDefault="00975106" w:rsidP="00CA410A">
      <w:pPr>
        <w:spacing w:after="0" w:line="240" w:lineRule="auto"/>
      </w:pPr>
      <w:r>
        <w:continuationSeparator/>
      </w:r>
    </w:p>
  </w:footnote>
  <w:footnote w:type="continuationNotice" w:id="1">
    <w:p w14:paraId="35FCDDE7" w14:textId="77777777" w:rsidR="00975106" w:rsidRDefault="00975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8187" w14:textId="2AD1EADA" w:rsidR="00967343" w:rsidRDefault="000C4904" w:rsidP="00CA410A">
    <w:pPr>
      <w:pStyle w:val="Cabealho"/>
      <w:jc w:val="center"/>
    </w:pPr>
    <w:r>
      <w:rPr>
        <w:rFonts w:eastAsia="Calibri"/>
        <w:noProof/>
        <w:color w:val="606060"/>
      </w:rPr>
      <w:drawing>
        <wp:anchor distT="0" distB="0" distL="114300" distR="114300" simplePos="0" relativeHeight="251662336" behindDoc="0" locked="0" layoutInCell="1" allowOverlap="1" wp14:anchorId="5F6F2C86" wp14:editId="7F98265F">
          <wp:simplePos x="0" y="0"/>
          <wp:positionH relativeFrom="margin">
            <wp:posOffset>4639774</wp:posOffset>
          </wp:positionH>
          <wp:positionV relativeFrom="paragraph">
            <wp:posOffset>-238760</wp:posOffset>
          </wp:positionV>
          <wp:extent cx="1188000" cy="447247"/>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000" cy="447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343">
      <w:tab/>
    </w:r>
    <w:r w:rsidR="00967343">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539C" w14:textId="1281E6F5" w:rsidR="00967343" w:rsidRDefault="00161966" w:rsidP="00B96076">
    <w:pPr>
      <w:pStyle w:val="Cabealho"/>
      <w:tabs>
        <w:tab w:val="clear" w:pos="4419"/>
        <w:tab w:val="clear" w:pos="8838"/>
        <w:tab w:val="left" w:pos="3465"/>
      </w:tabs>
      <w:jc w:val="center"/>
    </w:pPr>
    <w:r w:rsidRPr="00632A6C">
      <w:rPr>
        <w:noProof/>
      </w:rPr>
      <w:drawing>
        <wp:anchor distT="0" distB="0" distL="114300" distR="114300" simplePos="0" relativeHeight="251664384" behindDoc="1" locked="0" layoutInCell="1" allowOverlap="1" wp14:anchorId="1C85F110" wp14:editId="720BA51B">
          <wp:simplePos x="0" y="0"/>
          <wp:positionH relativeFrom="margin">
            <wp:posOffset>-855345</wp:posOffset>
          </wp:positionH>
          <wp:positionV relativeFrom="paragraph">
            <wp:posOffset>-446405</wp:posOffset>
          </wp:positionV>
          <wp:extent cx="1079500" cy="1100455"/>
          <wp:effectExtent l="0" t="0" r="0" b="0"/>
          <wp:wrapTight wrapText="bothSides">
            <wp:wrapPolygon edited="0">
              <wp:start x="8767" y="0"/>
              <wp:lineTo x="6480" y="5983"/>
              <wp:lineTo x="0" y="8600"/>
              <wp:lineTo x="0" y="16826"/>
              <wp:lineTo x="3431" y="16826"/>
              <wp:lineTo x="12198" y="12713"/>
              <wp:lineTo x="16391" y="5983"/>
              <wp:lineTo x="17534" y="0"/>
              <wp:lineTo x="8767"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l="70909" b="46892"/>
                  <a:stretch/>
                </pic:blipFill>
                <pic:spPr bwMode="auto">
                  <a:xfrm flipH="1">
                    <a:off x="0" y="0"/>
                    <a:ext cx="1079500" cy="1100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51F">
      <w:rPr>
        <w:rFonts w:eastAsia="Calibri"/>
        <w:noProof/>
        <w:color w:val="606060"/>
      </w:rPr>
      <w:drawing>
        <wp:anchor distT="0" distB="0" distL="114300" distR="114300" simplePos="0" relativeHeight="251660288" behindDoc="0" locked="0" layoutInCell="1" allowOverlap="1" wp14:anchorId="438E98E1" wp14:editId="335E1E24">
          <wp:simplePos x="0" y="0"/>
          <wp:positionH relativeFrom="margin">
            <wp:align>center</wp:align>
          </wp:positionH>
          <wp:positionV relativeFrom="paragraph">
            <wp:posOffset>-187799</wp:posOffset>
          </wp:positionV>
          <wp:extent cx="1440000" cy="542118"/>
          <wp:effectExtent l="0" t="0" r="0" b="0"/>
          <wp:wrapTopAndBottom/>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000" cy="5421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5A2"/>
    <w:multiLevelType w:val="hybridMultilevel"/>
    <w:tmpl w:val="438E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E14"/>
    <w:multiLevelType w:val="hybridMultilevel"/>
    <w:tmpl w:val="1632DE4E"/>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32175661"/>
    <w:multiLevelType w:val="hybridMultilevel"/>
    <w:tmpl w:val="03448A22"/>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32E9404C"/>
    <w:multiLevelType w:val="hybridMultilevel"/>
    <w:tmpl w:val="6B74C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555AA6"/>
    <w:multiLevelType w:val="hybridMultilevel"/>
    <w:tmpl w:val="6AD4D8F0"/>
    <w:lvl w:ilvl="0" w:tplc="CFCA0DDE">
      <w:numFmt w:val="bullet"/>
      <w:lvlText w:val="•"/>
      <w:lvlJc w:val="left"/>
      <w:pPr>
        <w:ind w:left="1080" w:hanging="720"/>
      </w:pPr>
      <w:rPr>
        <w:rFonts w:ascii="Verdana" w:eastAsiaTheme="minorHAnsi" w:hAnsi="Verdan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5265F9"/>
    <w:multiLevelType w:val="hybridMultilevel"/>
    <w:tmpl w:val="96C0C9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EA90221"/>
    <w:multiLevelType w:val="hybridMultilevel"/>
    <w:tmpl w:val="A970A1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65B0262"/>
    <w:multiLevelType w:val="hybridMultilevel"/>
    <w:tmpl w:val="287A5E46"/>
    <w:lvl w:ilvl="0" w:tplc="FC26DB5E">
      <w:start w:val="1"/>
      <w:numFmt w:val="lowerRoman"/>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D3F6253"/>
    <w:multiLevelType w:val="hybridMultilevel"/>
    <w:tmpl w:val="B23E8B5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A10876"/>
    <w:multiLevelType w:val="hybridMultilevel"/>
    <w:tmpl w:val="0810A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4"/>
  </w:num>
  <w:num w:numId="6">
    <w:abstractNumId w:val="9"/>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39"/>
    <w:rsid w:val="00001899"/>
    <w:rsid w:val="00001A16"/>
    <w:rsid w:val="00003AD0"/>
    <w:rsid w:val="0000496D"/>
    <w:rsid w:val="000058B1"/>
    <w:rsid w:val="00005D49"/>
    <w:rsid w:val="00006965"/>
    <w:rsid w:val="00011D4A"/>
    <w:rsid w:val="00012574"/>
    <w:rsid w:val="00013125"/>
    <w:rsid w:val="0001331A"/>
    <w:rsid w:val="0001485D"/>
    <w:rsid w:val="00016952"/>
    <w:rsid w:val="000200A3"/>
    <w:rsid w:val="000208B3"/>
    <w:rsid w:val="000224B6"/>
    <w:rsid w:val="000256D6"/>
    <w:rsid w:val="000262B2"/>
    <w:rsid w:val="00027AB8"/>
    <w:rsid w:val="00030A88"/>
    <w:rsid w:val="00032BA8"/>
    <w:rsid w:val="00035EDF"/>
    <w:rsid w:val="0003629C"/>
    <w:rsid w:val="000374D8"/>
    <w:rsid w:val="000409A9"/>
    <w:rsid w:val="00042329"/>
    <w:rsid w:val="00042BD4"/>
    <w:rsid w:val="00042C65"/>
    <w:rsid w:val="00044BBC"/>
    <w:rsid w:val="00054E2B"/>
    <w:rsid w:val="0005505F"/>
    <w:rsid w:val="000574EB"/>
    <w:rsid w:val="00062D5D"/>
    <w:rsid w:val="00062E80"/>
    <w:rsid w:val="000653AA"/>
    <w:rsid w:val="000658FA"/>
    <w:rsid w:val="0007301A"/>
    <w:rsid w:val="00074B05"/>
    <w:rsid w:val="00075B16"/>
    <w:rsid w:val="00076E5E"/>
    <w:rsid w:val="00082060"/>
    <w:rsid w:val="00082284"/>
    <w:rsid w:val="000902F3"/>
    <w:rsid w:val="00091DAC"/>
    <w:rsid w:val="000931E3"/>
    <w:rsid w:val="00093450"/>
    <w:rsid w:val="000966BA"/>
    <w:rsid w:val="000A005A"/>
    <w:rsid w:val="000A026D"/>
    <w:rsid w:val="000A0D50"/>
    <w:rsid w:val="000A5C2E"/>
    <w:rsid w:val="000A77AA"/>
    <w:rsid w:val="000A7932"/>
    <w:rsid w:val="000B01A0"/>
    <w:rsid w:val="000B14CA"/>
    <w:rsid w:val="000B37C6"/>
    <w:rsid w:val="000B4F4D"/>
    <w:rsid w:val="000C4904"/>
    <w:rsid w:val="000C5829"/>
    <w:rsid w:val="000C6E57"/>
    <w:rsid w:val="000C792A"/>
    <w:rsid w:val="000D1B42"/>
    <w:rsid w:val="000D468B"/>
    <w:rsid w:val="000D6DF3"/>
    <w:rsid w:val="000E0F0F"/>
    <w:rsid w:val="000E313F"/>
    <w:rsid w:val="000E4ECF"/>
    <w:rsid w:val="000F06DE"/>
    <w:rsid w:val="000F539D"/>
    <w:rsid w:val="000F6F18"/>
    <w:rsid w:val="000F77EB"/>
    <w:rsid w:val="000F7842"/>
    <w:rsid w:val="00102FF3"/>
    <w:rsid w:val="00106D3B"/>
    <w:rsid w:val="00107019"/>
    <w:rsid w:val="00107118"/>
    <w:rsid w:val="00107221"/>
    <w:rsid w:val="0010755B"/>
    <w:rsid w:val="00110649"/>
    <w:rsid w:val="001125D9"/>
    <w:rsid w:val="001161CD"/>
    <w:rsid w:val="0012048C"/>
    <w:rsid w:val="00120EF5"/>
    <w:rsid w:val="0012385C"/>
    <w:rsid w:val="00124D4C"/>
    <w:rsid w:val="001250B0"/>
    <w:rsid w:val="001253D6"/>
    <w:rsid w:val="0012616A"/>
    <w:rsid w:val="00130EC7"/>
    <w:rsid w:val="00131E55"/>
    <w:rsid w:val="001359BE"/>
    <w:rsid w:val="00136516"/>
    <w:rsid w:val="001412EF"/>
    <w:rsid w:val="00143BE8"/>
    <w:rsid w:val="00153997"/>
    <w:rsid w:val="0015498A"/>
    <w:rsid w:val="00155D7D"/>
    <w:rsid w:val="0015645B"/>
    <w:rsid w:val="001569E5"/>
    <w:rsid w:val="00156B76"/>
    <w:rsid w:val="00161966"/>
    <w:rsid w:val="00172713"/>
    <w:rsid w:val="00173D78"/>
    <w:rsid w:val="00177ABC"/>
    <w:rsid w:val="00185756"/>
    <w:rsid w:val="00186F39"/>
    <w:rsid w:val="0018754D"/>
    <w:rsid w:val="001905AD"/>
    <w:rsid w:val="001920D5"/>
    <w:rsid w:val="0019527C"/>
    <w:rsid w:val="001A00BD"/>
    <w:rsid w:val="001A0795"/>
    <w:rsid w:val="001A21A3"/>
    <w:rsid w:val="001B2642"/>
    <w:rsid w:val="001B3734"/>
    <w:rsid w:val="001B46CB"/>
    <w:rsid w:val="001C27FA"/>
    <w:rsid w:val="001C38F6"/>
    <w:rsid w:val="001D3C6C"/>
    <w:rsid w:val="001D3E17"/>
    <w:rsid w:val="001D6550"/>
    <w:rsid w:val="001D6E88"/>
    <w:rsid w:val="001D7363"/>
    <w:rsid w:val="001E55B6"/>
    <w:rsid w:val="001E6D58"/>
    <w:rsid w:val="001E7A8D"/>
    <w:rsid w:val="00200368"/>
    <w:rsid w:val="002030E5"/>
    <w:rsid w:val="00205E9E"/>
    <w:rsid w:val="002113C8"/>
    <w:rsid w:val="002148FA"/>
    <w:rsid w:val="002162F0"/>
    <w:rsid w:val="00221173"/>
    <w:rsid w:val="00224345"/>
    <w:rsid w:val="00234CFE"/>
    <w:rsid w:val="002358F6"/>
    <w:rsid w:val="002431EA"/>
    <w:rsid w:val="0024772B"/>
    <w:rsid w:val="00252DF2"/>
    <w:rsid w:val="0025327E"/>
    <w:rsid w:val="00256A42"/>
    <w:rsid w:val="002620E7"/>
    <w:rsid w:val="00266383"/>
    <w:rsid w:val="002704C0"/>
    <w:rsid w:val="002725D6"/>
    <w:rsid w:val="002755B4"/>
    <w:rsid w:val="002763EA"/>
    <w:rsid w:val="00276F1E"/>
    <w:rsid w:val="00277288"/>
    <w:rsid w:val="0027773C"/>
    <w:rsid w:val="00282EF0"/>
    <w:rsid w:val="002855B8"/>
    <w:rsid w:val="00290808"/>
    <w:rsid w:val="0029257B"/>
    <w:rsid w:val="002940B7"/>
    <w:rsid w:val="0029645B"/>
    <w:rsid w:val="002966E5"/>
    <w:rsid w:val="002A2096"/>
    <w:rsid w:val="002A3652"/>
    <w:rsid w:val="002A5FE3"/>
    <w:rsid w:val="002B0D62"/>
    <w:rsid w:val="002B54D4"/>
    <w:rsid w:val="002B7341"/>
    <w:rsid w:val="002B75A9"/>
    <w:rsid w:val="002C13EF"/>
    <w:rsid w:val="002C3FDD"/>
    <w:rsid w:val="002C5DBC"/>
    <w:rsid w:val="002D188A"/>
    <w:rsid w:val="002D3122"/>
    <w:rsid w:val="002D389A"/>
    <w:rsid w:val="002D5C78"/>
    <w:rsid w:val="002E0B83"/>
    <w:rsid w:val="002E1D45"/>
    <w:rsid w:val="002E2620"/>
    <w:rsid w:val="002E352D"/>
    <w:rsid w:val="002E4AFC"/>
    <w:rsid w:val="002E4C62"/>
    <w:rsid w:val="002E6FBA"/>
    <w:rsid w:val="002F3EC3"/>
    <w:rsid w:val="00301282"/>
    <w:rsid w:val="003012EC"/>
    <w:rsid w:val="003036CC"/>
    <w:rsid w:val="00303FFE"/>
    <w:rsid w:val="00304731"/>
    <w:rsid w:val="00305277"/>
    <w:rsid w:val="003055EB"/>
    <w:rsid w:val="00307219"/>
    <w:rsid w:val="00311248"/>
    <w:rsid w:val="00312164"/>
    <w:rsid w:val="00316180"/>
    <w:rsid w:val="0032097F"/>
    <w:rsid w:val="00323F38"/>
    <w:rsid w:val="00325525"/>
    <w:rsid w:val="00327350"/>
    <w:rsid w:val="00330E55"/>
    <w:rsid w:val="0033140A"/>
    <w:rsid w:val="0033160C"/>
    <w:rsid w:val="00332973"/>
    <w:rsid w:val="00332F65"/>
    <w:rsid w:val="00337A79"/>
    <w:rsid w:val="0034115C"/>
    <w:rsid w:val="00342CA4"/>
    <w:rsid w:val="00343877"/>
    <w:rsid w:val="00343C41"/>
    <w:rsid w:val="003469BE"/>
    <w:rsid w:val="00347E6C"/>
    <w:rsid w:val="00350E58"/>
    <w:rsid w:val="00352179"/>
    <w:rsid w:val="0035370D"/>
    <w:rsid w:val="00357229"/>
    <w:rsid w:val="00357C76"/>
    <w:rsid w:val="00357EF9"/>
    <w:rsid w:val="0036081E"/>
    <w:rsid w:val="00360852"/>
    <w:rsid w:val="003613E1"/>
    <w:rsid w:val="00361BDB"/>
    <w:rsid w:val="00363BDE"/>
    <w:rsid w:val="003663B3"/>
    <w:rsid w:val="003704D9"/>
    <w:rsid w:val="00374819"/>
    <w:rsid w:val="003769CD"/>
    <w:rsid w:val="00381665"/>
    <w:rsid w:val="00383FC9"/>
    <w:rsid w:val="0038439A"/>
    <w:rsid w:val="00387C13"/>
    <w:rsid w:val="0039188C"/>
    <w:rsid w:val="00391E98"/>
    <w:rsid w:val="00397A60"/>
    <w:rsid w:val="003A33DE"/>
    <w:rsid w:val="003A534C"/>
    <w:rsid w:val="003A67D9"/>
    <w:rsid w:val="003A72EA"/>
    <w:rsid w:val="003B23BA"/>
    <w:rsid w:val="003B30B7"/>
    <w:rsid w:val="003B3693"/>
    <w:rsid w:val="003B450E"/>
    <w:rsid w:val="003B66F5"/>
    <w:rsid w:val="003B7BC3"/>
    <w:rsid w:val="003C3A5B"/>
    <w:rsid w:val="003C5122"/>
    <w:rsid w:val="003C51E1"/>
    <w:rsid w:val="003D0346"/>
    <w:rsid w:val="003D2184"/>
    <w:rsid w:val="003D30A1"/>
    <w:rsid w:val="003D42B8"/>
    <w:rsid w:val="003E1792"/>
    <w:rsid w:val="003E61F9"/>
    <w:rsid w:val="003F23A8"/>
    <w:rsid w:val="003F3328"/>
    <w:rsid w:val="003F6B10"/>
    <w:rsid w:val="003F6E07"/>
    <w:rsid w:val="0040046C"/>
    <w:rsid w:val="00402075"/>
    <w:rsid w:val="00402D55"/>
    <w:rsid w:val="0040331A"/>
    <w:rsid w:val="004035CA"/>
    <w:rsid w:val="004071CB"/>
    <w:rsid w:val="00410180"/>
    <w:rsid w:val="00410185"/>
    <w:rsid w:val="00416DE9"/>
    <w:rsid w:val="00417C31"/>
    <w:rsid w:val="004203A5"/>
    <w:rsid w:val="00424905"/>
    <w:rsid w:val="00424913"/>
    <w:rsid w:val="00425297"/>
    <w:rsid w:val="00426ECF"/>
    <w:rsid w:val="0042749B"/>
    <w:rsid w:val="00430749"/>
    <w:rsid w:val="00432FB5"/>
    <w:rsid w:val="00434C5D"/>
    <w:rsid w:val="00437B53"/>
    <w:rsid w:val="00437C8E"/>
    <w:rsid w:val="00445389"/>
    <w:rsid w:val="00446D75"/>
    <w:rsid w:val="00450028"/>
    <w:rsid w:val="00453F29"/>
    <w:rsid w:val="00456924"/>
    <w:rsid w:val="00457038"/>
    <w:rsid w:val="00457CE6"/>
    <w:rsid w:val="00460782"/>
    <w:rsid w:val="00464462"/>
    <w:rsid w:val="0047109B"/>
    <w:rsid w:val="004723DC"/>
    <w:rsid w:val="00472A09"/>
    <w:rsid w:val="004731A4"/>
    <w:rsid w:val="00474416"/>
    <w:rsid w:val="00480F95"/>
    <w:rsid w:val="00483263"/>
    <w:rsid w:val="00485CA3"/>
    <w:rsid w:val="00487C9F"/>
    <w:rsid w:val="00491C61"/>
    <w:rsid w:val="00495879"/>
    <w:rsid w:val="00497376"/>
    <w:rsid w:val="004A23D3"/>
    <w:rsid w:val="004A51EC"/>
    <w:rsid w:val="004A7EEA"/>
    <w:rsid w:val="004B2DCB"/>
    <w:rsid w:val="004B413A"/>
    <w:rsid w:val="004B6266"/>
    <w:rsid w:val="004C0E8E"/>
    <w:rsid w:val="004C4037"/>
    <w:rsid w:val="004C4882"/>
    <w:rsid w:val="004C4F30"/>
    <w:rsid w:val="004C73DA"/>
    <w:rsid w:val="004D37B3"/>
    <w:rsid w:val="004D4579"/>
    <w:rsid w:val="004D6F39"/>
    <w:rsid w:val="004E2B46"/>
    <w:rsid w:val="004E34C2"/>
    <w:rsid w:val="004E5DE1"/>
    <w:rsid w:val="004E7706"/>
    <w:rsid w:val="004F41E5"/>
    <w:rsid w:val="004F46E1"/>
    <w:rsid w:val="0050155C"/>
    <w:rsid w:val="00503134"/>
    <w:rsid w:val="00503480"/>
    <w:rsid w:val="005068FB"/>
    <w:rsid w:val="00506AC8"/>
    <w:rsid w:val="00515D48"/>
    <w:rsid w:val="00516216"/>
    <w:rsid w:val="0051709F"/>
    <w:rsid w:val="00524CE5"/>
    <w:rsid w:val="005256B7"/>
    <w:rsid w:val="00526828"/>
    <w:rsid w:val="00526D66"/>
    <w:rsid w:val="00526EB9"/>
    <w:rsid w:val="00531E4F"/>
    <w:rsid w:val="00532AB1"/>
    <w:rsid w:val="005341C7"/>
    <w:rsid w:val="005402C9"/>
    <w:rsid w:val="005408D5"/>
    <w:rsid w:val="005429F6"/>
    <w:rsid w:val="00544480"/>
    <w:rsid w:val="00551C0E"/>
    <w:rsid w:val="00552152"/>
    <w:rsid w:val="005576B6"/>
    <w:rsid w:val="005602E9"/>
    <w:rsid w:val="00564220"/>
    <w:rsid w:val="00566E70"/>
    <w:rsid w:val="005763F0"/>
    <w:rsid w:val="00576E1D"/>
    <w:rsid w:val="00577E20"/>
    <w:rsid w:val="00582144"/>
    <w:rsid w:val="005839E2"/>
    <w:rsid w:val="00583AC9"/>
    <w:rsid w:val="00585182"/>
    <w:rsid w:val="005857C6"/>
    <w:rsid w:val="00586568"/>
    <w:rsid w:val="005977C6"/>
    <w:rsid w:val="005A212B"/>
    <w:rsid w:val="005B0073"/>
    <w:rsid w:val="005B2DD0"/>
    <w:rsid w:val="005B4909"/>
    <w:rsid w:val="005B4E31"/>
    <w:rsid w:val="005B6683"/>
    <w:rsid w:val="005C3309"/>
    <w:rsid w:val="005C5A38"/>
    <w:rsid w:val="005D07C1"/>
    <w:rsid w:val="005D1045"/>
    <w:rsid w:val="005D53D1"/>
    <w:rsid w:val="005E1044"/>
    <w:rsid w:val="005E2EFA"/>
    <w:rsid w:val="005E3760"/>
    <w:rsid w:val="005E7665"/>
    <w:rsid w:val="005F1C55"/>
    <w:rsid w:val="005F395D"/>
    <w:rsid w:val="005F39EB"/>
    <w:rsid w:val="005F3CD3"/>
    <w:rsid w:val="00603184"/>
    <w:rsid w:val="006042C8"/>
    <w:rsid w:val="00610D09"/>
    <w:rsid w:val="00612057"/>
    <w:rsid w:val="006129B6"/>
    <w:rsid w:val="00612C70"/>
    <w:rsid w:val="006153B5"/>
    <w:rsid w:val="006169EE"/>
    <w:rsid w:val="00620498"/>
    <w:rsid w:val="00621C32"/>
    <w:rsid w:val="006236B5"/>
    <w:rsid w:val="00627C3B"/>
    <w:rsid w:val="00630529"/>
    <w:rsid w:val="00630BC5"/>
    <w:rsid w:val="00631307"/>
    <w:rsid w:val="00633DC3"/>
    <w:rsid w:val="00636175"/>
    <w:rsid w:val="00641EC1"/>
    <w:rsid w:val="00655D36"/>
    <w:rsid w:val="006575BC"/>
    <w:rsid w:val="006643C3"/>
    <w:rsid w:val="00664C44"/>
    <w:rsid w:val="00666A0D"/>
    <w:rsid w:val="00666C8B"/>
    <w:rsid w:val="00667A32"/>
    <w:rsid w:val="00670EBA"/>
    <w:rsid w:val="0067219B"/>
    <w:rsid w:val="00675227"/>
    <w:rsid w:val="006837D9"/>
    <w:rsid w:val="00684527"/>
    <w:rsid w:val="00685620"/>
    <w:rsid w:val="00685AFC"/>
    <w:rsid w:val="00695297"/>
    <w:rsid w:val="006A591D"/>
    <w:rsid w:val="006A6895"/>
    <w:rsid w:val="006A715A"/>
    <w:rsid w:val="006A78CB"/>
    <w:rsid w:val="006B3BBB"/>
    <w:rsid w:val="006B4918"/>
    <w:rsid w:val="006B4B5C"/>
    <w:rsid w:val="006B58CC"/>
    <w:rsid w:val="006B60FF"/>
    <w:rsid w:val="006C10BD"/>
    <w:rsid w:val="006C4401"/>
    <w:rsid w:val="006C71C4"/>
    <w:rsid w:val="006D69FA"/>
    <w:rsid w:val="006E1CF7"/>
    <w:rsid w:val="006E434A"/>
    <w:rsid w:val="006F3947"/>
    <w:rsid w:val="006F4939"/>
    <w:rsid w:val="006F6992"/>
    <w:rsid w:val="007000DC"/>
    <w:rsid w:val="007012CA"/>
    <w:rsid w:val="00701CDB"/>
    <w:rsid w:val="00706C9D"/>
    <w:rsid w:val="00706E63"/>
    <w:rsid w:val="00711552"/>
    <w:rsid w:val="00711C88"/>
    <w:rsid w:val="00713BA0"/>
    <w:rsid w:val="00715096"/>
    <w:rsid w:val="0071645C"/>
    <w:rsid w:val="0072210D"/>
    <w:rsid w:val="007243BB"/>
    <w:rsid w:val="00726EBB"/>
    <w:rsid w:val="00730501"/>
    <w:rsid w:val="00731AD5"/>
    <w:rsid w:val="00733664"/>
    <w:rsid w:val="0073400D"/>
    <w:rsid w:val="00735E5B"/>
    <w:rsid w:val="00736F61"/>
    <w:rsid w:val="0074082D"/>
    <w:rsid w:val="00745B6F"/>
    <w:rsid w:val="00747942"/>
    <w:rsid w:val="0075080A"/>
    <w:rsid w:val="00762EC7"/>
    <w:rsid w:val="007643D7"/>
    <w:rsid w:val="00764A63"/>
    <w:rsid w:val="00770A44"/>
    <w:rsid w:val="00771779"/>
    <w:rsid w:val="00775D8C"/>
    <w:rsid w:val="00777361"/>
    <w:rsid w:val="00780061"/>
    <w:rsid w:val="0078077C"/>
    <w:rsid w:val="007808B9"/>
    <w:rsid w:val="00780B42"/>
    <w:rsid w:val="007841A9"/>
    <w:rsid w:val="007852AC"/>
    <w:rsid w:val="0079051D"/>
    <w:rsid w:val="00792545"/>
    <w:rsid w:val="00794686"/>
    <w:rsid w:val="00796C65"/>
    <w:rsid w:val="007A12BD"/>
    <w:rsid w:val="007A247B"/>
    <w:rsid w:val="007A40C8"/>
    <w:rsid w:val="007A50A3"/>
    <w:rsid w:val="007A7CB3"/>
    <w:rsid w:val="007B1F0C"/>
    <w:rsid w:val="007B50E0"/>
    <w:rsid w:val="007B69EA"/>
    <w:rsid w:val="007C19DA"/>
    <w:rsid w:val="007C308F"/>
    <w:rsid w:val="007C382A"/>
    <w:rsid w:val="007C4A4F"/>
    <w:rsid w:val="007C58F9"/>
    <w:rsid w:val="007D3035"/>
    <w:rsid w:val="007D377F"/>
    <w:rsid w:val="007D53DF"/>
    <w:rsid w:val="007D6AD5"/>
    <w:rsid w:val="007E067D"/>
    <w:rsid w:val="007E1F9B"/>
    <w:rsid w:val="007E351B"/>
    <w:rsid w:val="007E408F"/>
    <w:rsid w:val="007F6031"/>
    <w:rsid w:val="007F654E"/>
    <w:rsid w:val="007F77DF"/>
    <w:rsid w:val="00800A10"/>
    <w:rsid w:val="00800C49"/>
    <w:rsid w:val="00800E75"/>
    <w:rsid w:val="008011DF"/>
    <w:rsid w:val="008061B9"/>
    <w:rsid w:val="00806B1C"/>
    <w:rsid w:val="00806B70"/>
    <w:rsid w:val="00810654"/>
    <w:rsid w:val="008116B8"/>
    <w:rsid w:val="00815A34"/>
    <w:rsid w:val="00816887"/>
    <w:rsid w:val="00816FA2"/>
    <w:rsid w:val="008211BC"/>
    <w:rsid w:val="00825E96"/>
    <w:rsid w:val="008273DB"/>
    <w:rsid w:val="00827FCD"/>
    <w:rsid w:val="00830B1D"/>
    <w:rsid w:val="00833835"/>
    <w:rsid w:val="00836C8B"/>
    <w:rsid w:val="00837FB0"/>
    <w:rsid w:val="00840BFE"/>
    <w:rsid w:val="00841A36"/>
    <w:rsid w:val="00841B30"/>
    <w:rsid w:val="00847FC1"/>
    <w:rsid w:val="00852AD1"/>
    <w:rsid w:val="00853442"/>
    <w:rsid w:val="0085649F"/>
    <w:rsid w:val="00857112"/>
    <w:rsid w:val="00865944"/>
    <w:rsid w:val="008665E9"/>
    <w:rsid w:val="00867AA6"/>
    <w:rsid w:val="008719B3"/>
    <w:rsid w:val="008747C8"/>
    <w:rsid w:val="00876A62"/>
    <w:rsid w:val="00881133"/>
    <w:rsid w:val="00885D7C"/>
    <w:rsid w:val="008906D8"/>
    <w:rsid w:val="00891979"/>
    <w:rsid w:val="00891CFA"/>
    <w:rsid w:val="008926C6"/>
    <w:rsid w:val="00893D19"/>
    <w:rsid w:val="00895A2E"/>
    <w:rsid w:val="008A182A"/>
    <w:rsid w:val="008A3B9D"/>
    <w:rsid w:val="008A3F5B"/>
    <w:rsid w:val="008A5368"/>
    <w:rsid w:val="008A79F8"/>
    <w:rsid w:val="008B0097"/>
    <w:rsid w:val="008B343D"/>
    <w:rsid w:val="008B6CD7"/>
    <w:rsid w:val="008C0958"/>
    <w:rsid w:val="008C0A94"/>
    <w:rsid w:val="008C0C5C"/>
    <w:rsid w:val="008C6353"/>
    <w:rsid w:val="008C6D52"/>
    <w:rsid w:val="008D30ED"/>
    <w:rsid w:val="008D441A"/>
    <w:rsid w:val="008D48CF"/>
    <w:rsid w:val="008D7560"/>
    <w:rsid w:val="008E13CE"/>
    <w:rsid w:val="008E2EBE"/>
    <w:rsid w:val="008E67C9"/>
    <w:rsid w:val="008E734B"/>
    <w:rsid w:val="008F053A"/>
    <w:rsid w:val="008F27B1"/>
    <w:rsid w:val="008F5DB8"/>
    <w:rsid w:val="008F63C9"/>
    <w:rsid w:val="008F7E3E"/>
    <w:rsid w:val="00902D4A"/>
    <w:rsid w:val="00911CA8"/>
    <w:rsid w:val="00912E76"/>
    <w:rsid w:val="00916E39"/>
    <w:rsid w:val="00921543"/>
    <w:rsid w:val="009224D5"/>
    <w:rsid w:val="00923C0B"/>
    <w:rsid w:val="009259B3"/>
    <w:rsid w:val="0092608A"/>
    <w:rsid w:val="00926C69"/>
    <w:rsid w:val="00932246"/>
    <w:rsid w:val="00932538"/>
    <w:rsid w:val="009334D2"/>
    <w:rsid w:val="009379D8"/>
    <w:rsid w:val="00944634"/>
    <w:rsid w:val="00945573"/>
    <w:rsid w:val="009468D2"/>
    <w:rsid w:val="009510F5"/>
    <w:rsid w:val="00951D0F"/>
    <w:rsid w:val="00955D79"/>
    <w:rsid w:val="0096007A"/>
    <w:rsid w:val="00962B8F"/>
    <w:rsid w:val="0096357D"/>
    <w:rsid w:val="00967343"/>
    <w:rsid w:val="0097037B"/>
    <w:rsid w:val="00970C4B"/>
    <w:rsid w:val="00974EAF"/>
    <w:rsid w:val="00975106"/>
    <w:rsid w:val="009758B2"/>
    <w:rsid w:val="00977468"/>
    <w:rsid w:val="0098008E"/>
    <w:rsid w:val="00984C0D"/>
    <w:rsid w:val="009850AB"/>
    <w:rsid w:val="009916D3"/>
    <w:rsid w:val="00991A7F"/>
    <w:rsid w:val="00995AD8"/>
    <w:rsid w:val="009964F0"/>
    <w:rsid w:val="00996A1B"/>
    <w:rsid w:val="009A0A7C"/>
    <w:rsid w:val="009A5A70"/>
    <w:rsid w:val="009B0B84"/>
    <w:rsid w:val="009B103A"/>
    <w:rsid w:val="009B4AFF"/>
    <w:rsid w:val="009B5016"/>
    <w:rsid w:val="009B7AE6"/>
    <w:rsid w:val="009C3791"/>
    <w:rsid w:val="009C5501"/>
    <w:rsid w:val="009D0F82"/>
    <w:rsid w:val="009D33E0"/>
    <w:rsid w:val="009D46FC"/>
    <w:rsid w:val="009D51A9"/>
    <w:rsid w:val="009D59E7"/>
    <w:rsid w:val="009E5812"/>
    <w:rsid w:val="009F0F8C"/>
    <w:rsid w:val="009F1A19"/>
    <w:rsid w:val="009F1AB1"/>
    <w:rsid w:val="009F227D"/>
    <w:rsid w:val="009F255D"/>
    <w:rsid w:val="009F3457"/>
    <w:rsid w:val="009F48B3"/>
    <w:rsid w:val="009F5622"/>
    <w:rsid w:val="009F5D75"/>
    <w:rsid w:val="009F67A3"/>
    <w:rsid w:val="009F7242"/>
    <w:rsid w:val="00A00BA3"/>
    <w:rsid w:val="00A0139F"/>
    <w:rsid w:val="00A04A34"/>
    <w:rsid w:val="00A04EAA"/>
    <w:rsid w:val="00A05B6D"/>
    <w:rsid w:val="00A1013E"/>
    <w:rsid w:val="00A1019A"/>
    <w:rsid w:val="00A106A6"/>
    <w:rsid w:val="00A126BD"/>
    <w:rsid w:val="00A12BA3"/>
    <w:rsid w:val="00A1440B"/>
    <w:rsid w:val="00A15520"/>
    <w:rsid w:val="00A17411"/>
    <w:rsid w:val="00A17B9B"/>
    <w:rsid w:val="00A221D6"/>
    <w:rsid w:val="00A24A4C"/>
    <w:rsid w:val="00A26137"/>
    <w:rsid w:val="00A272C3"/>
    <w:rsid w:val="00A3410F"/>
    <w:rsid w:val="00A34D89"/>
    <w:rsid w:val="00A36002"/>
    <w:rsid w:val="00A507B3"/>
    <w:rsid w:val="00A55CF8"/>
    <w:rsid w:val="00A571C4"/>
    <w:rsid w:val="00A63CC9"/>
    <w:rsid w:val="00A66BE8"/>
    <w:rsid w:val="00A66DC8"/>
    <w:rsid w:val="00A67E93"/>
    <w:rsid w:val="00A67F20"/>
    <w:rsid w:val="00A70D2E"/>
    <w:rsid w:val="00A7256E"/>
    <w:rsid w:val="00A72B75"/>
    <w:rsid w:val="00A74631"/>
    <w:rsid w:val="00A757E7"/>
    <w:rsid w:val="00A83B63"/>
    <w:rsid w:val="00A84B15"/>
    <w:rsid w:val="00A8567E"/>
    <w:rsid w:val="00A86279"/>
    <w:rsid w:val="00A879E3"/>
    <w:rsid w:val="00A97A25"/>
    <w:rsid w:val="00AA1ED9"/>
    <w:rsid w:val="00AA2610"/>
    <w:rsid w:val="00AA2BD1"/>
    <w:rsid w:val="00AA5ADB"/>
    <w:rsid w:val="00AB07ED"/>
    <w:rsid w:val="00AB33A1"/>
    <w:rsid w:val="00AB50A7"/>
    <w:rsid w:val="00AB7529"/>
    <w:rsid w:val="00AC1C18"/>
    <w:rsid w:val="00AC2A24"/>
    <w:rsid w:val="00AC38A6"/>
    <w:rsid w:val="00AC4F4F"/>
    <w:rsid w:val="00AC58E0"/>
    <w:rsid w:val="00AC6FD8"/>
    <w:rsid w:val="00AD1B9A"/>
    <w:rsid w:val="00AD4CAD"/>
    <w:rsid w:val="00AD62F2"/>
    <w:rsid w:val="00AD79FD"/>
    <w:rsid w:val="00AE3707"/>
    <w:rsid w:val="00AE4481"/>
    <w:rsid w:val="00AF0EAB"/>
    <w:rsid w:val="00AF214B"/>
    <w:rsid w:val="00AF30E0"/>
    <w:rsid w:val="00AF4475"/>
    <w:rsid w:val="00AF512B"/>
    <w:rsid w:val="00B02C2F"/>
    <w:rsid w:val="00B03418"/>
    <w:rsid w:val="00B06767"/>
    <w:rsid w:val="00B1040A"/>
    <w:rsid w:val="00B11719"/>
    <w:rsid w:val="00B117E6"/>
    <w:rsid w:val="00B12922"/>
    <w:rsid w:val="00B12A28"/>
    <w:rsid w:val="00B14780"/>
    <w:rsid w:val="00B14E6F"/>
    <w:rsid w:val="00B16BF7"/>
    <w:rsid w:val="00B22C75"/>
    <w:rsid w:val="00B24DB1"/>
    <w:rsid w:val="00B34527"/>
    <w:rsid w:val="00B35BD1"/>
    <w:rsid w:val="00B40134"/>
    <w:rsid w:val="00B41ECA"/>
    <w:rsid w:val="00B444EA"/>
    <w:rsid w:val="00B47903"/>
    <w:rsid w:val="00B50CEE"/>
    <w:rsid w:val="00B51956"/>
    <w:rsid w:val="00B53756"/>
    <w:rsid w:val="00B53E04"/>
    <w:rsid w:val="00B54CA0"/>
    <w:rsid w:val="00B564CB"/>
    <w:rsid w:val="00B57D23"/>
    <w:rsid w:val="00B614F1"/>
    <w:rsid w:val="00B62D13"/>
    <w:rsid w:val="00B641AC"/>
    <w:rsid w:val="00B6426B"/>
    <w:rsid w:val="00B64C32"/>
    <w:rsid w:val="00B65A88"/>
    <w:rsid w:val="00B65B53"/>
    <w:rsid w:val="00B66D81"/>
    <w:rsid w:val="00B744B5"/>
    <w:rsid w:val="00B76A64"/>
    <w:rsid w:val="00B7785D"/>
    <w:rsid w:val="00B80210"/>
    <w:rsid w:val="00B803B9"/>
    <w:rsid w:val="00B872A5"/>
    <w:rsid w:val="00B875DA"/>
    <w:rsid w:val="00B92476"/>
    <w:rsid w:val="00B93AA6"/>
    <w:rsid w:val="00B94089"/>
    <w:rsid w:val="00B94161"/>
    <w:rsid w:val="00B95C4F"/>
    <w:rsid w:val="00B96076"/>
    <w:rsid w:val="00B9656D"/>
    <w:rsid w:val="00B973D1"/>
    <w:rsid w:val="00BA240E"/>
    <w:rsid w:val="00BA2B2F"/>
    <w:rsid w:val="00BA74F4"/>
    <w:rsid w:val="00BB0C45"/>
    <w:rsid w:val="00BB2A46"/>
    <w:rsid w:val="00BB4525"/>
    <w:rsid w:val="00BB50C6"/>
    <w:rsid w:val="00BB77D3"/>
    <w:rsid w:val="00BC1AF0"/>
    <w:rsid w:val="00BC3C3A"/>
    <w:rsid w:val="00BC3D1B"/>
    <w:rsid w:val="00BC715A"/>
    <w:rsid w:val="00BD035E"/>
    <w:rsid w:val="00BD5610"/>
    <w:rsid w:val="00BD5F7C"/>
    <w:rsid w:val="00BD7259"/>
    <w:rsid w:val="00BE32F0"/>
    <w:rsid w:val="00BE7361"/>
    <w:rsid w:val="00BE786E"/>
    <w:rsid w:val="00BF1D80"/>
    <w:rsid w:val="00BF2915"/>
    <w:rsid w:val="00BF309D"/>
    <w:rsid w:val="00BF3346"/>
    <w:rsid w:val="00BF393A"/>
    <w:rsid w:val="00BF4444"/>
    <w:rsid w:val="00BF68E3"/>
    <w:rsid w:val="00C0094A"/>
    <w:rsid w:val="00C00A45"/>
    <w:rsid w:val="00C06384"/>
    <w:rsid w:val="00C1191C"/>
    <w:rsid w:val="00C23404"/>
    <w:rsid w:val="00C26D80"/>
    <w:rsid w:val="00C320D4"/>
    <w:rsid w:val="00C32651"/>
    <w:rsid w:val="00C329E9"/>
    <w:rsid w:val="00C357DD"/>
    <w:rsid w:val="00C40A41"/>
    <w:rsid w:val="00C52A1A"/>
    <w:rsid w:val="00C5334D"/>
    <w:rsid w:val="00C54520"/>
    <w:rsid w:val="00C54E06"/>
    <w:rsid w:val="00C552FB"/>
    <w:rsid w:val="00C57AC6"/>
    <w:rsid w:val="00C7142F"/>
    <w:rsid w:val="00C81B2B"/>
    <w:rsid w:val="00C830E5"/>
    <w:rsid w:val="00C851F5"/>
    <w:rsid w:val="00C85697"/>
    <w:rsid w:val="00C867FA"/>
    <w:rsid w:val="00C86F63"/>
    <w:rsid w:val="00C90383"/>
    <w:rsid w:val="00C92A01"/>
    <w:rsid w:val="00C9301F"/>
    <w:rsid w:val="00C93270"/>
    <w:rsid w:val="00C9701F"/>
    <w:rsid w:val="00CA1EC1"/>
    <w:rsid w:val="00CA2A77"/>
    <w:rsid w:val="00CA3E20"/>
    <w:rsid w:val="00CA410A"/>
    <w:rsid w:val="00CA52C7"/>
    <w:rsid w:val="00CA6961"/>
    <w:rsid w:val="00CB01CA"/>
    <w:rsid w:val="00CB0712"/>
    <w:rsid w:val="00CB12F9"/>
    <w:rsid w:val="00CB1F7C"/>
    <w:rsid w:val="00CB3135"/>
    <w:rsid w:val="00CB37F6"/>
    <w:rsid w:val="00CB46CC"/>
    <w:rsid w:val="00CC0E1E"/>
    <w:rsid w:val="00CC1138"/>
    <w:rsid w:val="00CC2171"/>
    <w:rsid w:val="00CC321F"/>
    <w:rsid w:val="00CC59ED"/>
    <w:rsid w:val="00CC66DD"/>
    <w:rsid w:val="00CC67A4"/>
    <w:rsid w:val="00CC7576"/>
    <w:rsid w:val="00CD4F9B"/>
    <w:rsid w:val="00CD5F77"/>
    <w:rsid w:val="00CE1E8D"/>
    <w:rsid w:val="00CE51B6"/>
    <w:rsid w:val="00CE6F27"/>
    <w:rsid w:val="00CF2D89"/>
    <w:rsid w:val="00CF5646"/>
    <w:rsid w:val="00CF605D"/>
    <w:rsid w:val="00CF7209"/>
    <w:rsid w:val="00D0066E"/>
    <w:rsid w:val="00D00928"/>
    <w:rsid w:val="00D067BA"/>
    <w:rsid w:val="00D1037E"/>
    <w:rsid w:val="00D17C63"/>
    <w:rsid w:val="00D203D6"/>
    <w:rsid w:val="00D26D50"/>
    <w:rsid w:val="00D32692"/>
    <w:rsid w:val="00D326DD"/>
    <w:rsid w:val="00D32C39"/>
    <w:rsid w:val="00D35124"/>
    <w:rsid w:val="00D37ED0"/>
    <w:rsid w:val="00D45EE9"/>
    <w:rsid w:val="00D46305"/>
    <w:rsid w:val="00D469A3"/>
    <w:rsid w:val="00D4735F"/>
    <w:rsid w:val="00D52D4C"/>
    <w:rsid w:val="00D532C7"/>
    <w:rsid w:val="00D53ED2"/>
    <w:rsid w:val="00D54B3F"/>
    <w:rsid w:val="00D54DEC"/>
    <w:rsid w:val="00D55250"/>
    <w:rsid w:val="00D61FFA"/>
    <w:rsid w:val="00D632AE"/>
    <w:rsid w:val="00D64556"/>
    <w:rsid w:val="00D66309"/>
    <w:rsid w:val="00D67250"/>
    <w:rsid w:val="00D67924"/>
    <w:rsid w:val="00D729BF"/>
    <w:rsid w:val="00D77DCA"/>
    <w:rsid w:val="00D806A4"/>
    <w:rsid w:val="00D8254B"/>
    <w:rsid w:val="00D84FDA"/>
    <w:rsid w:val="00D90551"/>
    <w:rsid w:val="00D93AE9"/>
    <w:rsid w:val="00D96BB0"/>
    <w:rsid w:val="00D97AD5"/>
    <w:rsid w:val="00DA520A"/>
    <w:rsid w:val="00DB03D1"/>
    <w:rsid w:val="00DB095A"/>
    <w:rsid w:val="00DB2770"/>
    <w:rsid w:val="00DB4B3C"/>
    <w:rsid w:val="00DB5E93"/>
    <w:rsid w:val="00DB6823"/>
    <w:rsid w:val="00DD0833"/>
    <w:rsid w:val="00DD22AE"/>
    <w:rsid w:val="00DD23A7"/>
    <w:rsid w:val="00DD5BD3"/>
    <w:rsid w:val="00DD6EF4"/>
    <w:rsid w:val="00DD7ED2"/>
    <w:rsid w:val="00DD7EF3"/>
    <w:rsid w:val="00DD7FCA"/>
    <w:rsid w:val="00DE0CD6"/>
    <w:rsid w:val="00DE381E"/>
    <w:rsid w:val="00DE52B3"/>
    <w:rsid w:val="00DF1690"/>
    <w:rsid w:val="00DF2278"/>
    <w:rsid w:val="00DF50E1"/>
    <w:rsid w:val="00DF6488"/>
    <w:rsid w:val="00E02830"/>
    <w:rsid w:val="00E04758"/>
    <w:rsid w:val="00E04E42"/>
    <w:rsid w:val="00E05431"/>
    <w:rsid w:val="00E136FD"/>
    <w:rsid w:val="00E159C3"/>
    <w:rsid w:val="00E206FB"/>
    <w:rsid w:val="00E2174F"/>
    <w:rsid w:val="00E22771"/>
    <w:rsid w:val="00E34D61"/>
    <w:rsid w:val="00E352AE"/>
    <w:rsid w:val="00E35C14"/>
    <w:rsid w:val="00E365AF"/>
    <w:rsid w:val="00E37ED5"/>
    <w:rsid w:val="00E37F78"/>
    <w:rsid w:val="00E4133D"/>
    <w:rsid w:val="00E4433A"/>
    <w:rsid w:val="00E538DE"/>
    <w:rsid w:val="00E554CB"/>
    <w:rsid w:val="00E5632A"/>
    <w:rsid w:val="00E57E26"/>
    <w:rsid w:val="00E6129F"/>
    <w:rsid w:val="00E62BA1"/>
    <w:rsid w:val="00E664AF"/>
    <w:rsid w:val="00E67025"/>
    <w:rsid w:val="00E72112"/>
    <w:rsid w:val="00E765D1"/>
    <w:rsid w:val="00E8020D"/>
    <w:rsid w:val="00E82A2D"/>
    <w:rsid w:val="00E830BE"/>
    <w:rsid w:val="00E83C19"/>
    <w:rsid w:val="00E83D6B"/>
    <w:rsid w:val="00E9064A"/>
    <w:rsid w:val="00E90D11"/>
    <w:rsid w:val="00E93DED"/>
    <w:rsid w:val="00E955EC"/>
    <w:rsid w:val="00E979F9"/>
    <w:rsid w:val="00EA451F"/>
    <w:rsid w:val="00EA5DD7"/>
    <w:rsid w:val="00EA719E"/>
    <w:rsid w:val="00EB09F3"/>
    <w:rsid w:val="00EB26D5"/>
    <w:rsid w:val="00EB6A8C"/>
    <w:rsid w:val="00EC0D84"/>
    <w:rsid w:val="00EC2742"/>
    <w:rsid w:val="00EC5EDB"/>
    <w:rsid w:val="00ED00B0"/>
    <w:rsid w:val="00ED1E2D"/>
    <w:rsid w:val="00ED4DA6"/>
    <w:rsid w:val="00ED5DE4"/>
    <w:rsid w:val="00ED7BA0"/>
    <w:rsid w:val="00EE72EA"/>
    <w:rsid w:val="00EE758D"/>
    <w:rsid w:val="00EF5474"/>
    <w:rsid w:val="00EF6D56"/>
    <w:rsid w:val="00EF7BAD"/>
    <w:rsid w:val="00EF7FF4"/>
    <w:rsid w:val="00F03916"/>
    <w:rsid w:val="00F04F6C"/>
    <w:rsid w:val="00F07D8C"/>
    <w:rsid w:val="00F10DA3"/>
    <w:rsid w:val="00F1111C"/>
    <w:rsid w:val="00F12EED"/>
    <w:rsid w:val="00F13F07"/>
    <w:rsid w:val="00F14EF7"/>
    <w:rsid w:val="00F20FD7"/>
    <w:rsid w:val="00F212F9"/>
    <w:rsid w:val="00F2546C"/>
    <w:rsid w:val="00F2681A"/>
    <w:rsid w:val="00F365D6"/>
    <w:rsid w:val="00F44211"/>
    <w:rsid w:val="00F4647E"/>
    <w:rsid w:val="00F46791"/>
    <w:rsid w:val="00F47D6E"/>
    <w:rsid w:val="00F5021A"/>
    <w:rsid w:val="00F50494"/>
    <w:rsid w:val="00F51422"/>
    <w:rsid w:val="00F517BD"/>
    <w:rsid w:val="00F54CCD"/>
    <w:rsid w:val="00F56375"/>
    <w:rsid w:val="00F57CB7"/>
    <w:rsid w:val="00F62AF7"/>
    <w:rsid w:val="00F67E2D"/>
    <w:rsid w:val="00F70547"/>
    <w:rsid w:val="00F70E5F"/>
    <w:rsid w:val="00F7154A"/>
    <w:rsid w:val="00F71955"/>
    <w:rsid w:val="00F73630"/>
    <w:rsid w:val="00F82536"/>
    <w:rsid w:val="00F84A1E"/>
    <w:rsid w:val="00F84DCE"/>
    <w:rsid w:val="00F864D0"/>
    <w:rsid w:val="00F87EEF"/>
    <w:rsid w:val="00F87F07"/>
    <w:rsid w:val="00F910F3"/>
    <w:rsid w:val="00F93AAD"/>
    <w:rsid w:val="00F97BA2"/>
    <w:rsid w:val="00F97D45"/>
    <w:rsid w:val="00F97DA0"/>
    <w:rsid w:val="00FA152B"/>
    <w:rsid w:val="00FA6FFA"/>
    <w:rsid w:val="00FB3E5A"/>
    <w:rsid w:val="00FB55AF"/>
    <w:rsid w:val="00FB63A9"/>
    <w:rsid w:val="00FB7B34"/>
    <w:rsid w:val="00FC6DE7"/>
    <w:rsid w:val="00FD0783"/>
    <w:rsid w:val="00FE0DB8"/>
    <w:rsid w:val="00FE10A2"/>
    <w:rsid w:val="00FE1111"/>
    <w:rsid w:val="00FE117B"/>
    <w:rsid w:val="00FE11E7"/>
    <w:rsid w:val="00FE6EC6"/>
    <w:rsid w:val="00FE7106"/>
    <w:rsid w:val="00FE7B89"/>
    <w:rsid w:val="00FF0005"/>
    <w:rsid w:val="00FF6E31"/>
    <w:rsid w:val="00FF7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DFED2B"/>
  <w15:docId w15:val="{D06D5BE0-46B6-4924-B8D0-232F0E8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2E352D"/>
    <w:pPr>
      <w:spacing w:before="69" w:after="0" w:line="240" w:lineRule="auto"/>
      <w:ind w:left="100" w:right="-20"/>
      <w:jc w:val="center"/>
      <w:outlineLvl w:val="0"/>
    </w:pPr>
    <w:rPr>
      <w:rFonts w:ascii="Book Antiqua" w:hAnsi="Book Antiqua" w:cs="Times New Roman"/>
      <w:b/>
      <w:bCs/>
      <w:color w:val="231F20"/>
      <w:kern w:val="3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1CarCarCar">
    <w:name w:val="Car1 Car Car Car"/>
    <w:basedOn w:val="Normal"/>
    <w:rsid w:val="00CA410A"/>
    <w:pPr>
      <w:spacing w:line="240" w:lineRule="exact"/>
      <w:jc w:val="both"/>
    </w:pPr>
    <w:rPr>
      <w:rFonts w:ascii="Verdana" w:eastAsia="MS Mincho" w:hAnsi="Verdana" w:cs="Times New Roman"/>
      <w:sz w:val="20"/>
      <w:szCs w:val="20"/>
    </w:rPr>
  </w:style>
  <w:style w:type="paragraph" w:styleId="Cabealho">
    <w:name w:val="header"/>
    <w:basedOn w:val="Normal"/>
    <w:link w:val="CabealhoChar"/>
    <w:uiPriority w:val="99"/>
    <w:unhideWhenUsed/>
    <w:rsid w:val="00CA410A"/>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CA410A"/>
  </w:style>
  <w:style w:type="paragraph" w:styleId="Rodap">
    <w:name w:val="footer"/>
    <w:basedOn w:val="Normal"/>
    <w:link w:val="RodapChar"/>
    <w:uiPriority w:val="99"/>
    <w:unhideWhenUsed/>
    <w:rsid w:val="00CA410A"/>
    <w:pPr>
      <w:tabs>
        <w:tab w:val="center" w:pos="4419"/>
        <w:tab w:val="right" w:pos="8838"/>
      </w:tabs>
      <w:spacing w:after="0" w:line="240" w:lineRule="auto"/>
    </w:pPr>
  </w:style>
  <w:style w:type="character" w:customStyle="1" w:styleId="RodapChar">
    <w:name w:val="Rodapé Char"/>
    <w:basedOn w:val="Fontepargpadro"/>
    <w:link w:val="Rodap"/>
    <w:uiPriority w:val="99"/>
    <w:rsid w:val="00CA410A"/>
  </w:style>
  <w:style w:type="character" w:styleId="Refdecomentrio">
    <w:name w:val="annotation reference"/>
    <w:basedOn w:val="Fontepargpadro"/>
    <w:uiPriority w:val="99"/>
    <w:semiHidden/>
    <w:unhideWhenUsed/>
    <w:rsid w:val="00003AD0"/>
    <w:rPr>
      <w:sz w:val="16"/>
      <w:szCs w:val="16"/>
    </w:rPr>
  </w:style>
  <w:style w:type="paragraph" w:styleId="Textodecomentrio">
    <w:name w:val="annotation text"/>
    <w:basedOn w:val="Normal"/>
    <w:link w:val="TextodecomentrioChar"/>
    <w:uiPriority w:val="99"/>
    <w:semiHidden/>
    <w:unhideWhenUsed/>
    <w:rsid w:val="00003A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3AD0"/>
    <w:rPr>
      <w:sz w:val="20"/>
      <w:szCs w:val="20"/>
    </w:rPr>
  </w:style>
  <w:style w:type="paragraph" w:styleId="Assuntodocomentrio">
    <w:name w:val="annotation subject"/>
    <w:basedOn w:val="Textodecomentrio"/>
    <w:next w:val="Textodecomentrio"/>
    <w:link w:val="AssuntodocomentrioChar"/>
    <w:uiPriority w:val="99"/>
    <w:semiHidden/>
    <w:unhideWhenUsed/>
    <w:rsid w:val="00003AD0"/>
    <w:rPr>
      <w:b/>
      <w:bCs/>
    </w:rPr>
  </w:style>
  <w:style w:type="character" w:customStyle="1" w:styleId="AssuntodocomentrioChar">
    <w:name w:val="Assunto do comentário Char"/>
    <w:basedOn w:val="TextodecomentrioChar"/>
    <w:link w:val="Assuntodocomentrio"/>
    <w:uiPriority w:val="99"/>
    <w:semiHidden/>
    <w:rsid w:val="00003AD0"/>
    <w:rPr>
      <w:b/>
      <w:bCs/>
      <w:sz w:val="20"/>
      <w:szCs w:val="20"/>
    </w:rPr>
  </w:style>
  <w:style w:type="paragraph" w:styleId="Textodebalo">
    <w:name w:val="Balloon Text"/>
    <w:basedOn w:val="Normal"/>
    <w:link w:val="TextodebaloChar"/>
    <w:uiPriority w:val="99"/>
    <w:semiHidden/>
    <w:unhideWhenUsed/>
    <w:rsid w:val="00003A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AD0"/>
    <w:rPr>
      <w:rFonts w:ascii="Segoe UI" w:hAnsi="Segoe UI" w:cs="Segoe UI"/>
      <w:sz w:val="18"/>
      <w:szCs w:val="18"/>
    </w:rPr>
  </w:style>
  <w:style w:type="character" w:styleId="Hyperlink">
    <w:name w:val="Hyperlink"/>
    <w:basedOn w:val="Fontepargpadro"/>
    <w:uiPriority w:val="99"/>
    <w:unhideWhenUsed/>
    <w:rsid w:val="002C5DBC"/>
    <w:rPr>
      <w:color w:val="0563C1" w:themeColor="hyperlink"/>
      <w:u w:val="single"/>
    </w:rPr>
  </w:style>
  <w:style w:type="paragraph" w:styleId="PargrafodaLista">
    <w:name w:val="List Paragraph"/>
    <w:basedOn w:val="Normal"/>
    <w:uiPriority w:val="34"/>
    <w:qFormat/>
    <w:rsid w:val="009F227D"/>
    <w:pPr>
      <w:ind w:left="720"/>
      <w:contextualSpacing/>
    </w:pPr>
  </w:style>
  <w:style w:type="character" w:customStyle="1" w:styleId="Prompt">
    <w:name w:val="Prompt"/>
    <w:basedOn w:val="Fontepargpadro"/>
    <w:rsid w:val="00AF30E0"/>
    <w:rPr>
      <w:rFonts w:ascii="Verdana" w:hAnsi="Verdana" w:cs="Arial"/>
      <w:color w:val="0000FF"/>
    </w:rPr>
  </w:style>
  <w:style w:type="paragraph" w:styleId="Textodenotaderodap">
    <w:name w:val="footnote text"/>
    <w:basedOn w:val="Normal"/>
    <w:link w:val="TextodenotaderodapChar"/>
    <w:unhideWhenUsed/>
    <w:rsid w:val="00E612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129F"/>
    <w:rPr>
      <w:sz w:val="20"/>
      <w:szCs w:val="20"/>
    </w:rPr>
  </w:style>
  <w:style w:type="character" w:styleId="Refdenotaderodap">
    <w:name w:val="footnote reference"/>
    <w:basedOn w:val="Fontepargpadro"/>
    <w:uiPriority w:val="99"/>
    <w:semiHidden/>
    <w:unhideWhenUsed/>
    <w:rsid w:val="00E6129F"/>
    <w:rPr>
      <w:vertAlign w:val="superscript"/>
    </w:rPr>
  </w:style>
  <w:style w:type="paragraph" w:styleId="Reviso">
    <w:name w:val="Revision"/>
    <w:hidden/>
    <w:uiPriority w:val="99"/>
    <w:semiHidden/>
    <w:rsid w:val="009F5622"/>
    <w:pPr>
      <w:spacing w:after="0" w:line="240" w:lineRule="auto"/>
    </w:pPr>
  </w:style>
  <w:style w:type="character" w:customStyle="1" w:styleId="Ttulo1Char">
    <w:name w:val="Título 1 Char"/>
    <w:basedOn w:val="Fontepargpadro"/>
    <w:link w:val="Ttulo1"/>
    <w:uiPriority w:val="9"/>
    <w:rsid w:val="002E352D"/>
    <w:rPr>
      <w:rFonts w:ascii="Book Antiqua" w:hAnsi="Book Antiqua" w:cs="Times New Roman"/>
      <w:b/>
      <w:bCs/>
      <w:color w:val="231F20"/>
      <w:kern w:val="36"/>
      <w:sz w:val="20"/>
      <w:szCs w:val="20"/>
    </w:rPr>
  </w:style>
  <w:style w:type="paragraph" w:styleId="Corpodetexto">
    <w:name w:val="Body Text"/>
    <w:basedOn w:val="Normal"/>
    <w:link w:val="CorpodetextoChar"/>
    <w:uiPriority w:val="99"/>
    <w:unhideWhenUsed/>
    <w:rsid w:val="002E352D"/>
    <w:pPr>
      <w:spacing w:after="240" w:line="240" w:lineRule="auto"/>
      <w:ind w:firstLine="720"/>
      <w:jc w:val="both"/>
    </w:pPr>
    <w:rPr>
      <w:rFonts w:ascii="Book Antiqua" w:hAnsi="Book Antiqua" w:cs="Times New Roman"/>
      <w:sz w:val="20"/>
      <w:szCs w:val="20"/>
    </w:rPr>
  </w:style>
  <w:style w:type="character" w:customStyle="1" w:styleId="CorpodetextoChar">
    <w:name w:val="Corpo de texto Char"/>
    <w:basedOn w:val="Fontepargpadro"/>
    <w:link w:val="Corpodetexto"/>
    <w:uiPriority w:val="99"/>
    <w:rsid w:val="002E352D"/>
    <w:rPr>
      <w:rFonts w:ascii="Book Antiqua" w:hAnsi="Book Antiqua" w:cs="Times New Roman"/>
      <w:sz w:val="20"/>
      <w:szCs w:val="20"/>
    </w:rPr>
  </w:style>
  <w:style w:type="character" w:styleId="HiperlinkVisitado">
    <w:name w:val="FollowedHyperlink"/>
    <w:basedOn w:val="Fontepargpadro"/>
    <w:uiPriority w:val="99"/>
    <w:semiHidden/>
    <w:unhideWhenUsed/>
    <w:rsid w:val="00F70E5F"/>
    <w:rPr>
      <w:color w:val="954F72" w:themeColor="followedHyperlink"/>
      <w:u w:val="single"/>
    </w:rPr>
  </w:style>
  <w:style w:type="paragraph" w:customStyle="1" w:styleId="Body">
    <w:name w:val="Body"/>
    <w:rsid w:val="00F20FD7"/>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F20FD7"/>
  </w:style>
  <w:style w:type="character" w:customStyle="1" w:styleId="Hyperlink1">
    <w:name w:val="Hyperlink.1"/>
    <w:basedOn w:val="Hyperlink"/>
    <w:rsid w:val="00F20FD7"/>
    <w:rPr>
      <w:color w:val="0563C1"/>
      <w:u w:val="single" w:color="0563C1"/>
    </w:rPr>
  </w:style>
  <w:style w:type="paragraph" w:styleId="SemEspaamento">
    <w:name w:val="No Spacing"/>
    <w:uiPriority w:val="1"/>
    <w:qFormat/>
    <w:rsid w:val="009B103A"/>
    <w:pPr>
      <w:spacing w:after="0" w:line="240" w:lineRule="auto"/>
    </w:pPr>
  </w:style>
  <w:style w:type="paragraph" w:customStyle="1" w:styleId="DocsID">
    <w:name w:val="DocsID"/>
    <w:basedOn w:val="Normal"/>
    <w:qFormat/>
    <w:rsid w:val="0007301A"/>
    <w:pPr>
      <w:spacing w:after="0" w:line="240" w:lineRule="auto"/>
    </w:pPr>
    <w:rPr>
      <w:rFonts w:ascii="Calibri" w:eastAsia="Times New Roman" w:hAnsi="Calibri" w:cs="Calibri"/>
      <w:sz w:val="12"/>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849">
      <w:bodyDiv w:val="1"/>
      <w:marLeft w:val="0"/>
      <w:marRight w:val="0"/>
      <w:marTop w:val="0"/>
      <w:marBottom w:val="0"/>
      <w:divBdr>
        <w:top w:val="none" w:sz="0" w:space="0" w:color="auto"/>
        <w:left w:val="none" w:sz="0" w:space="0" w:color="auto"/>
        <w:bottom w:val="none" w:sz="0" w:space="0" w:color="auto"/>
        <w:right w:val="none" w:sz="0" w:space="0" w:color="auto"/>
      </w:divBdr>
    </w:div>
    <w:div w:id="39477087">
      <w:bodyDiv w:val="1"/>
      <w:marLeft w:val="0"/>
      <w:marRight w:val="0"/>
      <w:marTop w:val="0"/>
      <w:marBottom w:val="0"/>
      <w:divBdr>
        <w:top w:val="none" w:sz="0" w:space="0" w:color="auto"/>
        <w:left w:val="none" w:sz="0" w:space="0" w:color="auto"/>
        <w:bottom w:val="none" w:sz="0" w:space="0" w:color="auto"/>
        <w:right w:val="none" w:sz="0" w:space="0" w:color="auto"/>
      </w:divBdr>
    </w:div>
    <w:div w:id="190151661">
      <w:bodyDiv w:val="1"/>
      <w:marLeft w:val="0"/>
      <w:marRight w:val="0"/>
      <w:marTop w:val="0"/>
      <w:marBottom w:val="0"/>
      <w:divBdr>
        <w:top w:val="none" w:sz="0" w:space="0" w:color="auto"/>
        <w:left w:val="none" w:sz="0" w:space="0" w:color="auto"/>
        <w:bottom w:val="none" w:sz="0" w:space="0" w:color="auto"/>
        <w:right w:val="none" w:sz="0" w:space="0" w:color="auto"/>
      </w:divBdr>
    </w:div>
    <w:div w:id="190995773">
      <w:bodyDiv w:val="1"/>
      <w:marLeft w:val="0"/>
      <w:marRight w:val="0"/>
      <w:marTop w:val="0"/>
      <w:marBottom w:val="0"/>
      <w:divBdr>
        <w:top w:val="none" w:sz="0" w:space="0" w:color="auto"/>
        <w:left w:val="none" w:sz="0" w:space="0" w:color="auto"/>
        <w:bottom w:val="none" w:sz="0" w:space="0" w:color="auto"/>
        <w:right w:val="none" w:sz="0" w:space="0" w:color="auto"/>
      </w:divBdr>
    </w:div>
    <w:div w:id="254631747">
      <w:bodyDiv w:val="1"/>
      <w:marLeft w:val="0"/>
      <w:marRight w:val="0"/>
      <w:marTop w:val="0"/>
      <w:marBottom w:val="0"/>
      <w:divBdr>
        <w:top w:val="none" w:sz="0" w:space="0" w:color="auto"/>
        <w:left w:val="none" w:sz="0" w:space="0" w:color="auto"/>
        <w:bottom w:val="none" w:sz="0" w:space="0" w:color="auto"/>
        <w:right w:val="none" w:sz="0" w:space="0" w:color="auto"/>
      </w:divBdr>
    </w:div>
    <w:div w:id="269053775">
      <w:bodyDiv w:val="1"/>
      <w:marLeft w:val="0"/>
      <w:marRight w:val="0"/>
      <w:marTop w:val="0"/>
      <w:marBottom w:val="0"/>
      <w:divBdr>
        <w:top w:val="none" w:sz="0" w:space="0" w:color="auto"/>
        <w:left w:val="none" w:sz="0" w:space="0" w:color="auto"/>
        <w:bottom w:val="none" w:sz="0" w:space="0" w:color="auto"/>
        <w:right w:val="none" w:sz="0" w:space="0" w:color="auto"/>
      </w:divBdr>
    </w:div>
    <w:div w:id="316224611">
      <w:bodyDiv w:val="1"/>
      <w:marLeft w:val="0"/>
      <w:marRight w:val="0"/>
      <w:marTop w:val="0"/>
      <w:marBottom w:val="0"/>
      <w:divBdr>
        <w:top w:val="none" w:sz="0" w:space="0" w:color="auto"/>
        <w:left w:val="none" w:sz="0" w:space="0" w:color="auto"/>
        <w:bottom w:val="none" w:sz="0" w:space="0" w:color="auto"/>
        <w:right w:val="none" w:sz="0" w:space="0" w:color="auto"/>
      </w:divBdr>
    </w:div>
    <w:div w:id="318507142">
      <w:bodyDiv w:val="1"/>
      <w:marLeft w:val="0"/>
      <w:marRight w:val="0"/>
      <w:marTop w:val="0"/>
      <w:marBottom w:val="0"/>
      <w:divBdr>
        <w:top w:val="none" w:sz="0" w:space="0" w:color="auto"/>
        <w:left w:val="none" w:sz="0" w:space="0" w:color="auto"/>
        <w:bottom w:val="none" w:sz="0" w:space="0" w:color="auto"/>
        <w:right w:val="none" w:sz="0" w:space="0" w:color="auto"/>
      </w:divBdr>
    </w:div>
    <w:div w:id="520700998">
      <w:bodyDiv w:val="1"/>
      <w:marLeft w:val="0"/>
      <w:marRight w:val="0"/>
      <w:marTop w:val="0"/>
      <w:marBottom w:val="0"/>
      <w:divBdr>
        <w:top w:val="none" w:sz="0" w:space="0" w:color="auto"/>
        <w:left w:val="none" w:sz="0" w:space="0" w:color="auto"/>
        <w:bottom w:val="none" w:sz="0" w:space="0" w:color="auto"/>
        <w:right w:val="none" w:sz="0" w:space="0" w:color="auto"/>
      </w:divBdr>
    </w:div>
    <w:div w:id="707413730">
      <w:bodyDiv w:val="1"/>
      <w:marLeft w:val="0"/>
      <w:marRight w:val="0"/>
      <w:marTop w:val="0"/>
      <w:marBottom w:val="0"/>
      <w:divBdr>
        <w:top w:val="none" w:sz="0" w:space="0" w:color="auto"/>
        <w:left w:val="none" w:sz="0" w:space="0" w:color="auto"/>
        <w:bottom w:val="none" w:sz="0" w:space="0" w:color="auto"/>
        <w:right w:val="none" w:sz="0" w:space="0" w:color="auto"/>
      </w:divBdr>
    </w:div>
    <w:div w:id="730422870">
      <w:bodyDiv w:val="1"/>
      <w:marLeft w:val="0"/>
      <w:marRight w:val="0"/>
      <w:marTop w:val="0"/>
      <w:marBottom w:val="0"/>
      <w:divBdr>
        <w:top w:val="none" w:sz="0" w:space="0" w:color="auto"/>
        <w:left w:val="none" w:sz="0" w:space="0" w:color="auto"/>
        <w:bottom w:val="none" w:sz="0" w:space="0" w:color="auto"/>
        <w:right w:val="none" w:sz="0" w:space="0" w:color="auto"/>
      </w:divBdr>
    </w:div>
    <w:div w:id="779178081">
      <w:bodyDiv w:val="1"/>
      <w:marLeft w:val="0"/>
      <w:marRight w:val="0"/>
      <w:marTop w:val="0"/>
      <w:marBottom w:val="0"/>
      <w:divBdr>
        <w:top w:val="none" w:sz="0" w:space="0" w:color="auto"/>
        <w:left w:val="none" w:sz="0" w:space="0" w:color="auto"/>
        <w:bottom w:val="none" w:sz="0" w:space="0" w:color="auto"/>
        <w:right w:val="none" w:sz="0" w:space="0" w:color="auto"/>
      </w:divBdr>
    </w:div>
    <w:div w:id="866524771">
      <w:bodyDiv w:val="1"/>
      <w:marLeft w:val="0"/>
      <w:marRight w:val="0"/>
      <w:marTop w:val="0"/>
      <w:marBottom w:val="0"/>
      <w:divBdr>
        <w:top w:val="none" w:sz="0" w:space="0" w:color="auto"/>
        <w:left w:val="none" w:sz="0" w:space="0" w:color="auto"/>
        <w:bottom w:val="none" w:sz="0" w:space="0" w:color="auto"/>
        <w:right w:val="none" w:sz="0" w:space="0" w:color="auto"/>
      </w:divBdr>
    </w:div>
    <w:div w:id="966012842">
      <w:bodyDiv w:val="1"/>
      <w:marLeft w:val="0"/>
      <w:marRight w:val="0"/>
      <w:marTop w:val="0"/>
      <w:marBottom w:val="0"/>
      <w:divBdr>
        <w:top w:val="none" w:sz="0" w:space="0" w:color="auto"/>
        <w:left w:val="none" w:sz="0" w:space="0" w:color="auto"/>
        <w:bottom w:val="none" w:sz="0" w:space="0" w:color="auto"/>
        <w:right w:val="none" w:sz="0" w:space="0" w:color="auto"/>
      </w:divBdr>
    </w:div>
    <w:div w:id="995768725">
      <w:bodyDiv w:val="1"/>
      <w:marLeft w:val="0"/>
      <w:marRight w:val="0"/>
      <w:marTop w:val="0"/>
      <w:marBottom w:val="0"/>
      <w:divBdr>
        <w:top w:val="none" w:sz="0" w:space="0" w:color="auto"/>
        <w:left w:val="none" w:sz="0" w:space="0" w:color="auto"/>
        <w:bottom w:val="none" w:sz="0" w:space="0" w:color="auto"/>
        <w:right w:val="none" w:sz="0" w:space="0" w:color="auto"/>
      </w:divBdr>
    </w:div>
    <w:div w:id="1044333949">
      <w:bodyDiv w:val="1"/>
      <w:marLeft w:val="0"/>
      <w:marRight w:val="0"/>
      <w:marTop w:val="0"/>
      <w:marBottom w:val="0"/>
      <w:divBdr>
        <w:top w:val="none" w:sz="0" w:space="0" w:color="auto"/>
        <w:left w:val="none" w:sz="0" w:space="0" w:color="auto"/>
        <w:bottom w:val="none" w:sz="0" w:space="0" w:color="auto"/>
        <w:right w:val="none" w:sz="0" w:space="0" w:color="auto"/>
      </w:divBdr>
    </w:div>
    <w:div w:id="1106190073">
      <w:bodyDiv w:val="1"/>
      <w:marLeft w:val="0"/>
      <w:marRight w:val="0"/>
      <w:marTop w:val="0"/>
      <w:marBottom w:val="0"/>
      <w:divBdr>
        <w:top w:val="none" w:sz="0" w:space="0" w:color="auto"/>
        <w:left w:val="none" w:sz="0" w:space="0" w:color="auto"/>
        <w:bottom w:val="none" w:sz="0" w:space="0" w:color="auto"/>
        <w:right w:val="none" w:sz="0" w:space="0" w:color="auto"/>
      </w:divBdr>
    </w:div>
    <w:div w:id="1384254643">
      <w:bodyDiv w:val="1"/>
      <w:marLeft w:val="0"/>
      <w:marRight w:val="0"/>
      <w:marTop w:val="0"/>
      <w:marBottom w:val="0"/>
      <w:divBdr>
        <w:top w:val="none" w:sz="0" w:space="0" w:color="auto"/>
        <w:left w:val="none" w:sz="0" w:space="0" w:color="auto"/>
        <w:bottom w:val="none" w:sz="0" w:space="0" w:color="auto"/>
        <w:right w:val="none" w:sz="0" w:space="0" w:color="auto"/>
      </w:divBdr>
    </w:div>
    <w:div w:id="1509173650">
      <w:bodyDiv w:val="1"/>
      <w:marLeft w:val="0"/>
      <w:marRight w:val="0"/>
      <w:marTop w:val="0"/>
      <w:marBottom w:val="0"/>
      <w:divBdr>
        <w:top w:val="none" w:sz="0" w:space="0" w:color="auto"/>
        <w:left w:val="none" w:sz="0" w:space="0" w:color="auto"/>
        <w:bottom w:val="none" w:sz="0" w:space="0" w:color="auto"/>
        <w:right w:val="none" w:sz="0" w:space="0" w:color="auto"/>
      </w:divBdr>
    </w:div>
    <w:div w:id="1526596689">
      <w:bodyDiv w:val="1"/>
      <w:marLeft w:val="0"/>
      <w:marRight w:val="0"/>
      <w:marTop w:val="0"/>
      <w:marBottom w:val="0"/>
      <w:divBdr>
        <w:top w:val="none" w:sz="0" w:space="0" w:color="auto"/>
        <w:left w:val="none" w:sz="0" w:space="0" w:color="auto"/>
        <w:bottom w:val="none" w:sz="0" w:space="0" w:color="auto"/>
        <w:right w:val="none" w:sz="0" w:space="0" w:color="auto"/>
      </w:divBdr>
    </w:div>
    <w:div w:id="1813715059">
      <w:bodyDiv w:val="1"/>
      <w:marLeft w:val="0"/>
      <w:marRight w:val="0"/>
      <w:marTop w:val="0"/>
      <w:marBottom w:val="0"/>
      <w:divBdr>
        <w:top w:val="none" w:sz="0" w:space="0" w:color="auto"/>
        <w:left w:val="none" w:sz="0" w:space="0" w:color="auto"/>
        <w:bottom w:val="none" w:sz="0" w:space="0" w:color="auto"/>
        <w:right w:val="none" w:sz="0" w:space="0" w:color="auto"/>
      </w:divBdr>
    </w:div>
    <w:div w:id="194314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nexaresouces.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E010DC-8419-489F-8F84-E042D66E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1274</Words>
  <Characters>6883</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Rafael Almeida Diniz</cp:lastModifiedBy>
  <cp:revision>2</cp:revision>
  <dcterms:created xsi:type="dcterms:W3CDTF">2021-11-08T21:04:00Z</dcterms:created>
  <dcterms:modified xsi:type="dcterms:W3CDTF">2021-11-08T22:34:00Z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cID">
    <vt:lpwstr>114148556 v2</vt:lpwstr>
  </property>
</Properties>
</file>