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3D316" w14:textId="77E925F5" w:rsidR="00890A0D" w:rsidRDefault="002C11DB" w:rsidP="002C11DB">
      <w:pPr>
        <w:ind w:left="2880"/>
      </w:pPr>
      <w:r>
        <w:t xml:space="preserve">    </w:t>
      </w:r>
      <w:r w:rsidRPr="002C11DB">
        <w:rPr>
          <w:rFonts w:ascii="Calibri" w:eastAsia="Times New Roman" w:hAnsi="Calibri" w:cs="Calibri"/>
          <w:noProof/>
          <w:lang w:eastAsia="en-CA"/>
        </w:rPr>
        <w:drawing>
          <wp:inline distT="0" distB="0" distL="0" distR="0" wp14:anchorId="3112333B" wp14:editId="224421A5">
            <wp:extent cx="1692998" cy="758214"/>
            <wp:effectExtent l="0" t="0" r="0" b="0"/>
            <wp:docPr id="2" name="Picture 2" descr="A picture containing table, sitt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L-Logo-V4-Draft.png"/>
                    <pic:cNvPicPr/>
                  </pic:nvPicPr>
                  <pic:blipFill>
                    <a:blip r:embed="rId11">
                      <a:extLst>
                        <a:ext uri="{28A0092B-C50C-407E-A947-70E740481C1C}">
                          <a14:useLocalDpi xmlns:a14="http://schemas.microsoft.com/office/drawing/2010/main" val="0"/>
                        </a:ext>
                      </a:extLst>
                    </a:blip>
                    <a:stretch>
                      <a:fillRect/>
                    </a:stretch>
                  </pic:blipFill>
                  <pic:spPr>
                    <a:xfrm>
                      <a:off x="0" y="0"/>
                      <a:ext cx="1716993" cy="768960"/>
                    </a:xfrm>
                    <a:prstGeom prst="rect">
                      <a:avLst/>
                    </a:prstGeom>
                  </pic:spPr>
                </pic:pic>
              </a:graphicData>
            </a:graphic>
          </wp:inline>
        </w:drawing>
      </w:r>
    </w:p>
    <w:p w14:paraId="30528289" w14:textId="77777777" w:rsidR="00800B0E" w:rsidRDefault="00800B0E" w:rsidP="002C11DB">
      <w:pPr>
        <w:autoSpaceDE w:val="0"/>
        <w:autoSpaceDN w:val="0"/>
        <w:adjustRightInd w:val="0"/>
        <w:spacing w:before="240" w:after="0" w:line="240" w:lineRule="auto"/>
        <w:jc w:val="center"/>
        <w:rPr>
          <w:rFonts w:ascii="Calibri" w:eastAsia="Calibri" w:hAnsi="Calibri" w:cs="Calibri"/>
          <w:b/>
          <w:bCs/>
          <w:lang w:eastAsia="en-CA"/>
        </w:rPr>
      </w:pPr>
    </w:p>
    <w:p w14:paraId="572C2181" w14:textId="3D311F38" w:rsidR="002C11DB" w:rsidRDefault="002C11DB" w:rsidP="00541702">
      <w:pPr>
        <w:autoSpaceDE w:val="0"/>
        <w:autoSpaceDN w:val="0"/>
        <w:adjustRightInd w:val="0"/>
        <w:spacing w:after="240" w:line="240" w:lineRule="auto"/>
        <w:jc w:val="center"/>
        <w:rPr>
          <w:rFonts w:ascii="Calibri" w:eastAsia="Calibri" w:hAnsi="Calibri" w:cs="Calibri"/>
          <w:b/>
          <w:bCs/>
          <w:lang w:eastAsia="en-CA"/>
        </w:rPr>
      </w:pPr>
      <w:r w:rsidRPr="002C11DB">
        <w:rPr>
          <w:rFonts w:ascii="Calibri" w:eastAsia="Calibri" w:hAnsi="Calibri" w:cs="Calibri"/>
          <w:b/>
          <w:bCs/>
          <w:lang w:eastAsia="en-CA"/>
        </w:rPr>
        <w:t>ELECTRIC ROYALTIES</w:t>
      </w:r>
      <w:r>
        <w:rPr>
          <w:rFonts w:ascii="Calibri" w:eastAsia="Calibri" w:hAnsi="Calibri" w:cs="Calibri"/>
          <w:b/>
          <w:bCs/>
          <w:lang w:eastAsia="en-CA"/>
        </w:rPr>
        <w:t xml:space="preserve"> PROVIDES </w:t>
      </w:r>
      <w:r w:rsidR="005F6445">
        <w:rPr>
          <w:rFonts w:ascii="Calibri" w:eastAsia="Calibri" w:hAnsi="Calibri" w:cs="Calibri"/>
          <w:b/>
          <w:bCs/>
          <w:lang w:eastAsia="en-CA"/>
        </w:rPr>
        <w:t xml:space="preserve">UPDATE ON </w:t>
      </w:r>
      <w:r w:rsidR="0083569E">
        <w:rPr>
          <w:rFonts w:ascii="Calibri" w:eastAsia="Calibri" w:hAnsi="Calibri" w:cs="Calibri"/>
          <w:b/>
          <w:bCs/>
          <w:lang w:eastAsia="en-CA"/>
        </w:rPr>
        <w:t>6</w:t>
      </w:r>
      <w:r w:rsidR="005F6445">
        <w:rPr>
          <w:rFonts w:ascii="Calibri" w:eastAsia="Calibri" w:hAnsi="Calibri" w:cs="Calibri"/>
          <w:b/>
          <w:bCs/>
          <w:lang w:eastAsia="en-CA"/>
        </w:rPr>
        <w:t xml:space="preserve"> </w:t>
      </w:r>
      <w:r w:rsidR="0083569E">
        <w:rPr>
          <w:rFonts w:ascii="Calibri" w:eastAsia="Calibri" w:hAnsi="Calibri" w:cs="Calibri"/>
          <w:b/>
          <w:bCs/>
          <w:lang w:eastAsia="en-CA"/>
        </w:rPr>
        <w:t xml:space="preserve">CORE </w:t>
      </w:r>
      <w:r>
        <w:rPr>
          <w:rFonts w:ascii="Calibri" w:eastAsia="Calibri" w:hAnsi="Calibri" w:cs="Calibri"/>
          <w:b/>
          <w:bCs/>
          <w:lang w:eastAsia="en-CA"/>
        </w:rPr>
        <w:t>ASSET</w:t>
      </w:r>
      <w:r w:rsidR="005F6445">
        <w:rPr>
          <w:rFonts w:ascii="Calibri" w:eastAsia="Calibri" w:hAnsi="Calibri" w:cs="Calibri"/>
          <w:b/>
          <w:bCs/>
          <w:lang w:eastAsia="en-CA"/>
        </w:rPr>
        <w:t>S WITHIN ROYALTY PORTFOLIO</w:t>
      </w:r>
      <w:r>
        <w:rPr>
          <w:rFonts w:ascii="Calibri" w:eastAsia="Calibri" w:hAnsi="Calibri" w:cs="Calibri"/>
          <w:b/>
          <w:bCs/>
          <w:lang w:eastAsia="en-CA"/>
        </w:rPr>
        <w:t xml:space="preserve"> </w:t>
      </w:r>
    </w:p>
    <w:p w14:paraId="53A07D52" w14:textId="39F799DA" w:rsidR="008C7689" w:rsidRPr="00DE164C" w:rsidRDefault="008C7689" w:rsidP="008201FE">
      <w:pPr>
        <w:widowControl w:val="0"/>
        <w:autoSpaceDE w:val="0"/>
        <w:autoSpaceDN w:val="0"/>
        <w:spacing w:after="120" w:line="240" w:lineRule="auto"/>
        <w:ind w:right="113"/>
        <w:jc w:val="both"/>
        <w:rPr>
          <w:rFonts w:ascii="Calibri" w:eastAsia="Times New Roman" w:hAnsi="Calibri" w:cs="Calibri"/>
          <w:lang w:val="en-US"/>
        </w:rPr>
      </w:pPr>
      <w:r w:rsidRPr="00DE164C">
        <w:rPr>
          <w:rFonts w:ascii="Calibri" w:eastAsia="Times New Roman" w:hAnsi="Calibri" w:cs="Calibri"/>
          <w:lang w:val="en-US"/>
        </w:rPr>
        <w:t xml:space="preserve">VANCOUVER, BRITISH COLUMBIA – </w:t>
      </w:r>
      <w:r w:rsidR="00B376CF">
        <w:rPr>
          <w:rFonts w:ascii="Calibri" w:eastAsia="Times New Roman" w:hAnsi="Calibri" w:cs="Calibri"/>
          <w:lang w:val="en-US"/>
        </w:rPr>
        <w:t>December</w:t>
      </w:r>
      <w:r w:rsidRPr="00DE164C">
        <w:rPr>
          <w:rFonts w:ascii="Calibri" w:eastAsia="Times New Roman" w:hAnsi="Calibri" w:cs="Calibri"/>
          <w:lang w:val="en-US"/>
        </w:rPr>
        <w:t xml:space="preserve"> </w:t>
      </w:r>
      <w:r w:rsidR="001F4967">
        <w:rPr>
          <w:rFonts w:ascii="Calibri" w:eastAsia="Times New Roman" w:hAnsi="Calibri" w:cs="Calibri"/>
          <w:lang w:val="en-US"/>
        </w:rPr>
        <w:t>8</w:t>
      </w:r>
      <w:r w:rsidRPr="00DE164C">
        <w:rPr>
          <w:rFonts w:ascii="Calibri" w:eastAsia="Times New Roman" w:hAnsi="Calibri" w:cs="Calibri"/>
          <w:lang w:val="en-US"/>
        </w:rPr>
        <w:t xml:space="preserve">, 2021 – Electric Royalties Ltd. (TSXV: ELEC) </w:t>
      </w:r>
      <w:r w:rsidR="002E7C79">
        <w:rPr>
          <w:rFonts w:ascii="Calibri" w:eastAsia="Times New Roman" w:hAnsi="Calibri" w:cs="Calibri"/>
          <w:lang w:val="en-US"/>
        </w:rPr>
        <w:t xml:space="preserve">(OTCQB: ELECF) </w:t>
      </w:r>
      <w:r w:rsidRPr="00DE164C">
        <w:rPr>
          <w:rFonts w:ascii="Calibri" w:eastAsia="Times New Roman" w:hAnsi="Calibri" w:cs="Calibri"/>
          <w:lang w:val="en-US"/>
        </w:rPr>
        <w:t xml:space="preserve">(“Electric Royalties” or the “Company”) </w:t>
      </w:r>
      <w:r w:rsidRPr="00A56490">
        <w:rPr>
          <w:rFonts w:ascii="Calibri" w:eastAsia="Times New Roman" w:hAnsi="Calibri" w:cs="Calibri"/>
          <w:lang w:val="en-US"/>
        </w:rPr>
        <w:t>is pleased</w:t>
      </w:r>
      <w:r w:rsidRPr="00DE164C">
        <w:rPr>
          <w:rFonts w:ascii="Calibri" w:eastAsia="Times New Roman" w:hAnsi="Calibri" w:cs="Calibri"/>
          <w:lang w:val="en-US"/>
        </w:rPr>
        <w:t xml:space="preserve"> </w:t>
      </w:r>
      <w:r w:rsidRPr="00A56490">
        <w:rPr>
          <w:rFonts w:ascii="Calibri" w:eastAsia="Times New Roman" w:hAnsi="Calibri" w:cs="Calibri"/>
          <w:lang w:val="en-US"/>
        </w:rPr>
        <w:t>to</w:t>
      </w:r>
      <w:r w:rsidRPr="00DE164C">
        <w:rPr>
          <w:rFonts w:ascii="Calibri" w:eastAsia="Times New Roman" w:hAnsi="Calibri" w:cs="Calibri"/>
          <w:lang w:val="en-US"/>
        </w:rPr>
        <w:t xml:space="preserve"> </w:t>
      </w:r>
      <w:r w:rsidR="00BD1844">
        <w:rPr>
          <w:rFonts w:ascii="Calibri" w:eastAsia="Times New Roman" w:hAnsi="Calibri" w:cs="Calibri"/>
          <w:lang w:val="en-US"/>
        </w:rPr>
        <w:t>provide the following</w:t>
      </w:r>
      <w:r w:rsidRPr="00DE164C">
        <w:rPr>
          <w:rFonts w:ascii="Calibri" w:eastAsia="Times New Roman" w:hAnsi="Calibri" w:cs="Calibri"/>
          <w:lang w:val="en-US"/>
        </w:rPr>
        <w:t xml:space="preserve"> asset update on its </w:t>
      </w:r>
      <w:r w:rsidR="00BD1844">
        <w:rPr>
          <w:rFonts w:ascii="Calibri" w:eastAsia="Times New Roman" w:hAnsi="Calibri" w:cs="Calibri"/>
          <w:lang w:val="en-US"/>
        </w:rPr>
        <w:t>rapidly developing</w:t>
      </w:r>
      <w:r w:rsidRPr="00DE164C">
        <w:rPr>
          <w:rFonts w:ascii="Calibri" w:eastAsia="Times New Roman" w:hAnsi="Calibri" w:cs="Calibri"/>
          <w:lang w:val="en-US"/>
        </w:rPr>
        <w:t xml:space="preserve"> royalty portfolio.</w:t>
      </w:r>
    </w:p>
    <w:p w14:paraId="31DB636D" w14:textId="09A4684C" w:rsidR="008C7689" w:rsidRPr="00DE164C" w:rsidRDefault="008C7689" w:rsidP="00321E17">
      <w:pPr>
        <w:widowControl w:val="0"/>
        <w:autoSpaceDE w:val="0"/>
        <w:autoSpaceDN w:val="0"/>
        <w:spacing w:after="120" w:line="240" w:lineRule="auto"/>
        <w:ind w:right="113"/>
        <w:jc w:val="both"/>
        <w:rPr>
          <w:rFonts w:ascii="Calibri" w:eastAsia="Times New Roman" w:hAnsi="Calibri" w:cstheme="minorHAnsi"/>
          <w:lang w:val="en-US"/>
        </w:rPr>
      </w:pPr>
      <w:r w:rsidRPr="00DE164C">
        <w:rPr>
          <w:rFonts w:ascii="Calibri" w:eastAsia="Times New Roman" w:hAnsi="Calibri" w:cstheme="minorHAnsi"/>
          <w:lang w:val="en-US"/>
        </w:rPr>
        <w:t xml:space="preserve">Brendan Yurik, CEO of Electric Royalties, </w:t>
      </w:r>
      <w:r w:rsidR="00BD1844">
        <w:rPr>
          <w:rFonts w:ascii="Calibri" w:eastAsia="Times New Roman" w:hAnsi="Calibri" w:cstheme="minorHAnsi"/>
          <w:lang w:val="en-US"/>
        </w:rPr>
        <w:t>states</w:t>
      </w:r>
      <w:r w:rsidRPr="00DE164C">
        <w:rPr>
          <w:rFonts w:ascii="Calibri" w:eastAsia="Times New Roman" w:hAnsi="Calibri" w:cstheme="minorHAnsi"/>
          <w:lang w:val="en-US"/>
        </w:rPr>
        <w:t xml:space="preserve">, “It’s been an incredible </w:t>
      </w:r>
      <w:r w:rsidR="00973201">
        <w:rPr>
          <w:rFonts w:ascii="Calibri" w:eastAsia="Times New Roman" w:hAnsi="Calibri" w:cstheme="minorHAnsi"/>
          <w:lang w:val="en-US"/>
        </w:rPr>
        <w:t>period</w:t>
      </w:r>
      <w:r w:rsidRPr="00DE164C">
        <w:rPr>
          <w:rFonts w:ascii="Calibri" w:eastAsia="Times New Roman" w:hAnsi="Calibri" w:cstheme="minorHAnsi"/>
          <w:lang w:val="en-US"/>
        </w:rPr>
        <w:t xml:space="preserve"> of growth </w:t>
      </w:r>
      <w:r w:rsidR="00973201">
        <w:rPr>
          <w:rFonts w:ascii="Calibri" w:eastAsia="Times New Roman" w:hAnsi="Calibri" w:cstheme="minorHAnsi"/>
          <w:lang w:val="en-US"/>
        </w:rPr>
        <w:t xml:space="preserve">since our last asset update </w:t>
      </w:r>
      <w:r w:rsidR="00ED1439">
        <w:rPr>
          <w:rFonts w:ascii="Calibri" w:eastAsia="Times New Roman" w:hAnsi="Calibri" w:cstheme="minorHAnsi"/>
          <w:lang w:val="en-US"/>
        </w:rPr>
        <w:t xml:space="preserve">in </w:t>
      </w:r>
      <w:r w:rsidR="004E5583">
        <w:rPr>
          <w:rFonts w:ascii="Calibri" w:eastAsia="Times New Roman" w:hAnsi="Calibri" w:cstheme="minorHAnsi"/>
          <w:lang w:val="en-US"/>
        </w:rPr>
        <w:t>September</w:t>
      </w:r>
      <w:r w:rsidR="00ED1439">
        <w:rPr>
          <w:rFonts w:ascii="Calibri" w:eastAsia="Times New Roman" w:hAnsi="Calibri" w:cstheme="minorHAnsi"/>
          <w:lang w:val="en-US"/>
        </w:rPr>
        <w:t xml:space="preserve"> </w:t>
      </w:r>
      <w:r w:rsidRPr="00DE164C">
        <w:rPr>
          <w:rFonts w:ascii="Calibri" w:eastAsia="Times New Roman" w:hAnsi="Calibri" w:cstheme="minorHAnsi"/>
          <w:lang w:val="en-US"/>
        </w:rPr>
        <w:t>and</w:t>
      </w:r>
      <w:r w:rsidR="00973201">
        <w:rPr>
          <w:rFonts w:ascii="Calibri" w:eastAsia="Times New Roman" w:hAnsi="Calibri" w:cstheme="minorHAnsi"/>
          <w:lang w:val="en-US"/>
        </w:rPr>
        <w:t xml:space="preserve"> we’ve had several more</w:t>
      </w:r>
      <w:r w:rsidRPr="00DE164C">
        <w:rPr>
          <w:rFonts w:ascii="Calibri" w:eastAsia="Times New Roman" w:hAnsi="Calibri" w:cstheme="minorHAnsi"/>
          <w:lang w:val="en-US"/>
        </w:rPr>
        <w:t xml:space="preserve"> development</w:t>
      </w:r>
      <w:r w:rsidR="00973201">
        <w:rPr>
          <w:rFonts w:ascii="Calibri" w:eastAsia="Times New Roman" w:hAnsi="Calibri" w:cstheme="minorHAnsi"/>
          <w:lang w:val="en-US"/>
        </w:rPr>
        <w:t>s</w:t>
      </w:r>
      <w:r w:rsidRPr="00DE164C">
        <w:rPr>
          <w:rFonts w:ascii="Calibri" w:eastAsia="Times New Roman" w:hAnsi="Calibri" w:cstheme="minorHAnsi"/>
          <w:lang w:val="en-US"/>
        </w:rPr>
        <w:t xml:space="preserve"> across the assets </w:t>
      </w:r>
      <w:r w:rsidR="00061EDC">
        <w:rPr>
          <w:rFonts w:ascii="Calibri" w:eastAsia="Times New Roman" w:hAnsi="Calibri" w:cstheme="minorHAnsi"/>
          <w:lang w:val="en-US"/>
        </w:rPr>
        <w:t>comprising</w:t>
      </w:r>
      <w:r w:rsidR="00061EDC" w:rsidRPr="00DE164C">
        <w:rPr>
          <w:rFonts w:ascii="Calibri" w:eastAsia="Times New Roman" w:hAnsi="Calibri" w:cstheme="minorHAnsi"/>
          <w:lang w:val="en-US"/>
        </w:rPr>
        <w:t xml:space="preserve"> </w:t>
      </w:r>
      <w:r w:rsidRPr="00DE164C">
        <w:rPr>
          <w:rFonts w:ascii="Calibri" w:eastAsia="Times New Roman" w:hAnsi="Calibri" w:cstheme="minorHAnsi"/>
          <w:lang w:val="en-US"/>
        </w:rPr>
        <w:t>our battery metal royalty portfolio</w:t>
      </w:r>
      <w:r w:rsidR="00B376CF">
        <w:rPr>
          <w:rFonts w:ascii="Calibri" w:eastAsia="Times New Roman" w:hAnsi="Calibri" w:cstheme="minorHAnsi"/>
          <w:lang w:val="en-US"/>
        </w:rPr>
        <w:t>.</w:t>
      </w:r>
      <w:r w:rsidR="00CF22EB" w:rsidRPr="00DE164C">
        <w:rPr>
          <w:rFonts w:ascii="Calibri" w:eastAsia="Times New Roman" w:hAnsi="Calibri" w:cstheme="minorHAnsi"/>
          <w:lang w:val="en-US"/>
        </w:rPr>
        <w:t xml:space="preserve">” </w:t>
      </w:r>
      <w:r w:rsidR="00BD1844">
        <w:rPr>
          <w:rFonts w:ascii="Calibri" w:eastAsia="Times New Roman" w:hAnsi="Calibri" w:cstheme="minorHAnsi"/>
          <w:lang w:val="en-US"/>
        </w:rPr>
        <w:t>Highlights</w:t>
      </w:r>
      <w:r w:rsidRPr="00DE164C">
        <w:rPr>
          <w:rFonts w:ascii="Calibri" w:eastAsia="Times New Roman" w:hAnsi="Calibri" w:cstheme="minorHAnsi"/>
          <w:lang w:val="en-US"/>
        </w:rPr>
        <w:t xml:space="preserve"> includ</w:t>
      </w:r>
      <w:r w:rsidR="00CF22EB" w:rsidRPr="00DE164C">
        <w:rPr>
          <w:rFonts w:ascii="Calibri" w:eastAsia="Times New Roman" w:hAnsi="Calibri" w:cstheme="minorHAnsi"/>
          <w:lang w:val="en-US"/>
        </w:rPr>
        <w:t>e</w:t>
      </w:r>
      <w:r w:rsidRPr="00DE164C">
        <w:rPr>
          <w:rFonts w:ascii="Calibri" w:eastAsia="Times New Roman" w:hAnsi="Calibri" w:cstheme="minorHAnsi"/>
          <w:lang w:val="en-US"/>
        </w:rPr>
        <w:t>:</w:t>
      </w:r>
    </w:p>
    <w:p w14:paraId="48820937" w14:textId="1F61917D" w:rsidR="008C7689" w:rsidRPr="00321E17" w:rsidRDefault="008C7689" w:rsidP="00A55303">
      <w:pPr>
        <w:widowControl w:val="0"/>
        <w:numPr>
          <w:ilvl w:val="0"/>
          <w:numId w:val="8"/>
        </w:numPr>
        <w:autoSpaceDE w:val="0"/>
        <w:autoSpaceDN w:val="0"/>
        <w:spacing w:after="0" w:line="240" w:lineRule="auto"/>
        <w:ind w:left="714" w:hanging="357"/>
        <w:jc w:val="both"/>
        <w:rPr>
          <w:rFonts w:ascii="Calibri" w:hAnsi="Calibri"/>
          <w:lang w:val="en-US"/>
        </w:rPr>
      </w:pPr>
      <w:proofErr w:type="spellStart"/>
      <w:r w:rsidRPr="00321E17">
        <w:rPr>
          <w:rFonts w:ascii="Calibri" w:hAnsi="Calibri"/>
          <w:b/>
          <w:lang w:val="en-US"/>
        </w:rPr>
        <w:t>Authier</w:t>
      </w:r>
      <w:proofErr w:type="spellEnd"/>
      <w:r w:rsidRPr="00321E17">
        <w:rPr>
          <w:rFonts w:ascii="Calibri" w:hAnsi="Calibri"/>
          <w:b/>
          <w:lang w:val="en-US"/>
        </w:rPr>
        <w:t xml:space="preserve"> </w:t>
      </w:r>
      <w:r w:rsidR="00316CF2" w:rsidRPr="00321E17">
        <w:rPr>
          <w:rFonts w:ascii="Calibri" w:hAnsi="Calibri"/>
          <w:b/>
          <w:lang w:val="en-US"/>
        </w:rPr>
        <w:t>L</w:t>
      </w:r>
      <w:r w:rsidRPr="00321E17">
        <w:rPr>
          <w:rFonts w:ascii="Calibri" w:hAnsi="Calibri"/>
          <w:b/>
          <w:lang w:val="en-US"/>
        </w:rPr>
        <w:t xml:space="preserve">ithium </w:t>
      </w:r>
      <w:r w:rsidR="00316CF2" w:rsidRPr="00321E17">
        <w:rPr>
          <w:rFonts w:ascii="Calibri" w:hAnsi="Calibri"/>
          <w:b/>
          <w:lang w:val="en-US"/>
        </w:rPr>
        <w:t>R</w:t>
      </w:r>
      <w:r w:rsidRPr="00321E17">
        <w:rPr>
          <w:rFonts w:ascii="Calibri" w:hAnsi="Calibri"/>
          <w:b/>
          <w:lang w:val="en-US"/>
        </w:rPr>
        <w:t>oyalty</w:t>
      </w:r>
      <w:r w:rsidRPr="00321E17">
        <w:rPr>
          <w:rFonts w:ascii="Calibri" w:hAnsi="Calibri"/>
          <w:lang w:val="en-US"/>
        </w:rPr>
        <w:t xml:space="preserve"> </w:t>
      </w:r>
      <w:r w:rsidR="00061EDC" w:rsidRPr="00321E17">
        <w:rPr>
          <w:rFonts w:ascii="Calibri" w:hAnsi="Calibri"/>
          <w:lang w:val="en-US"/>
        </w:rPr>
        <w:t>-</w:t>
      </w:r>
      <w:r w:rsidR="00E15F15" w:rsidRPr="00321E17">
        <w:rPr>
          <w:rFonts w:ascii="Calibri" w:hAnsi="Calibri"/>
          <w:lang w:val="en-US"/>
        </w:rPr>
        <w:t xml:space="preserve"> </w:t>
      </w:r>
      <w:proofErr w:type="spellStart"/>
      <w:r w:rsidR="00E15F15" w:rsidRPr="00321E17">
        <w:rPr>
          <w:rFonts w:ascii="Calibri" w:hAnsi="Calibri"/>
          <w:lang w:val="en-US"/>
        </w:rPr>
        <w:t>Sayona</w:t>
      </w:r>
      <w:proofErr w:type="spellEnd"/>
      <w:r w:rsidR="006E2987" w:rsidRPr="00321E17">
        <w:rPr>
          <w:rFonts w:ascii="Calibri" w:hAnsi="Calibri"/>
          <w:lang w:val="en-US"/>
        </w:rPr>
        <w:t xml:space="preserve"> Mining (ASX: SYA)</w:t>
      </w:r>
      <w:r w:rsidR="00E15F15" w:rsidRPr="00321E17">
        <w:rPr>
          <w:rFonts w:ascii="Calibri" w:hAnsi="Calibri"/>
          <w:lang w:val="en-US"/>
        </w:rPr>
        <w:t xml:space="preserve"> is working on a scoping study to produce </w:t>
      </w:r>
      <w:proofErr w:type="spellStart"/>
      <w:r w:rsidR="00061EDC" w:rsidRPr="00321E17">
        <w:rPr>
          <w:rFonts w:ascii="Calibri" w:hAnsi="Calibri"/>
          <w:lang w:val="en-US"/>
        </w:rPr>
        <w:t>spodumene</w:t>
      </w:r>
      <w:proofErr w:type="spellEnd"/>
      <w:r w:rsidR="00061EDC">
        <w:rPr>
          <w:rFonts w:ascii="Calibri" w:eastAsia="Times New Roman" w:hAnsi="Calibri" w:cstheme="minorHAnsi"/>
          <w:lang w:val="en-US"/>
        </w:rPr>
        <w:t xml:space="preserve"> concentrate</w:t>
      </w:r>
      <w:r w:rsidR="002166CB">
        <w:rPr>
          <w:rFonts w:ascii="Calibri" w:eastAsia="Times New Roman" w:hAnsi="Calibri" w:cstheme="minorHAnsi"/>
          <w:lang w:val="en-US"/>
        </w:rPr>
        <w:t xml:space="preserve">, </w:t>
      </w:r>
      <w:r w:rsidR="00DF06ED">
        <w:rPr>
          <w:rFonts w:ascii="Calibri" w:eastAsia="Times New Roman" w:hAnsi="Calibri" w:cstheme="minorHAnsi"/>
          <w:lang w:val="en-US"/>
        </w:rPr>
        <w:t>stating that they are</w:t>
      </w:r>
      <w:r w:rsidR="00DF06ED" w:rsidRPr="00321E17">
        <w:rPr>
          <w:rFonts w:ascii="Calibri" w:hAnsi="Calibri"/>
          <w:lang w:val="en-US"/>
        </w:rPr>
        <w:t xml:space="preserve"> </w:t>
      </w:r>
      <w:r w:rsidR="002166CB" w:rsidRPr="00321E17">
        <w:rPr>
          <w:rFonts w:ascii="Calibri" w:hAnsi="Calibri"/>
          <w:lang w:val="en-US"/>
        </w:rPr>
        <w:t>targeting a</w:t>
      </w:r>
      <w:r w:rsidR="00061EDC" w:rsidRPr="00321E17">
        <w:rPr>
          <w:rFonts w:ascii="Calibri" w:hAnsi="Calibri"/>
          <w:lang w:val="en-US"/>
        </w:rPr>
        <w:t xml:space="preserve"> </w:t>
      </w:r>
      <w:r w:rsidR="00E15F15" w:rsidRPr="00321E17">
        <w:rPr>
          <w:rFonts w:ascii="Calibri" w:hAnsi="Calibri"/>
          <w:lang w:val="en-US"/>
        </w:rPr>
        <w:t xml:space="preserve">start in 2023 </w:t>
      </w:r>
      <w:r w:rsidR="0046559A">
        <w:rPr>
          <w:rFonts w:ascii="Calibri" w:eastAsia="Times New Roman" w:hAnsi="Calibri" w:cstheme="minorHAnsi"/>
          <w:lang w:val="en-US"/>
        </w:rPr>
        <w:t>by refurbishing</w:t>
      </w:r>
      <w:r w:rsidR="006E2987" w:rsidRPr="00321E17">
        <w:rPr>
          <w:rFonts w:ascii="Calibri" w:hAnsi="Calibri"/>
          <w:lang w:val="en-US"/>
        </w:rPr>
        <w:t xml:space="preserve"> </w:t>
      </w:r>
      <w:r w:rsidR="00B36D17" w:rsidRPr="00321E17">
        <w:rPr>
          <w:rFonts w:ascii="Calibri" w:hAnsi="Calibri"/>
          <w:lang w:val="en-US"/>
        </w:rPr>
        <w:t xml:space="preserve">the North American Lithium (“NAL”) </w:t>
      </w:r>
      <w:r w:rsidR="006E2987" w:rsidRPr="00321E17">
        <w:rPr>
          <w:rFonts w:ascii="Calibri" w:hAnsi="Calibri"/>
          <w:lang w:val="en-US"/>
        </w:rPr>
        <w:t xml:space="preserve">mine </w:t>
      </w:r>
      <w:r w:rsidR="00B36D17" w:rsidRPr="00321E17">
        <w:rPr>
          <w:rFonts w:ascii="Calibri" w:hAnsi="Calibri"/>
          <w:lang w:val="en-US"/>
        </w:rPr>
        <w:t xml:space="preserve">and integrating </w:t>
      </w:r>
      <w:r w:rsidR="0046559A">
        <w:rPr>
          <w:rFonts w:ascii="Calibri" w:eastAsia="Times New Roman" w:hAnsi="Calibri" w:cstheme="minorHAnsi"/>
          <w:lang w:val="en-US"/>
        </w:rPr>
        <w:t>it with</w:t>
      </w:r>
      <w:r w:rsidR="00E15F15" w:rsidRPr="00321E17">
        <w:rPr>
          <w:rFonts w:ascii="Calibri" w:hAnsi="Calibri"/>
          <w:lang w:val="en-US"/>
        </w:rPr>
        <w:t xml:space="preserve"> the </w:t>
      </w:r>
      <w:proofErr w:type="spellStart"/>
      <w:r w:rsidR="00E15F15" w:rsidRPr="00321E17">
        <w:rPr>
          <w:rFonts w:ascii="Calibri" w:hAnsi="Calibri"/>
          <w:lang w:val="en-US"/>
        </w:rPr>
        <w:t>Authier</w:t>
      </w:r>
      <w:proofErr w:type="spellEnd"/>
      <w:r w:rsidR="00E15F15" w:rsidRPr="00321E17">
        <w:rPr>
          <w:rFonts w:ascii="Calibri" w:hAnsi="Calibri"/>
          <w:lang w:val="en-US"/>
        </w:rPr>
        <w:t xml:space="preserve"> project. </w:t>
      </w:r>
      <w:r w:rsidR="0046559A">
        <w:rPr>
          <w:rFonts w:ascii="Calibri" w:eastAsia="Times New Roman" w:hAnsi="Calibri" w:cstheme="minorHAnsi"/>
          <w:lang w:val="en-US"/>
        </w:rPr>
        <w:t xml:space="preserve"> </w:t>
      </w:r>
      <w:proofErr w:type="spellStart"/>
      <w:r w:rsidR="009D39F6" w:rsidRPr="00321E17">
        <w:rPr>
          <w:rFonts w:ascii="Calibri" w:hAnsi="Calibri"/>
          <w:lang w:val="en-US"/>
        </w:rPr>
        <w:t>Sayona</w:t>
      </w:r>
      <w:proofErr w:type="spellEnd"/>
      <w:r w:rsidR="009D39F6" w:rsidRPr="00321E17">
        <w:rPr>
          <w:rFonts w:ascii="Calibri" w:hAnsi="Calibri"/>
          <w:lang w:val="en-US"/>
        </w:rPr>
        <w:t xml:space="preserve"> recently completed a 25</w:t>
      </w:r>
      <w:r w:rsidR="009D39F6" w:rsidRPr="00B36D17">
        <w:rPr>
          <w:rFonts w:ascii="Calibri" w:eastAsia="Times New Roman" w:hAnsi="Calibri" w:cstheme="minorHAnsi"/>
          <w:lang w:val="en-US"/>
        </w:rPr>
        <w:t xml:space="preserve"> </w:t>
      </w:r>
      <w:r w:rsidR="009D39F6" w:rsidRPr="00321E17">
        <w:rPr>
          <w:rFonts w:ascii="Calibri" w:hAnsi="Calibri"/>
          <w:lang w:val="en-US"/>
        </w:rPr>
        <w:t>hole, 3,908</w:t>
      </w:r>
      <w:r w:rsidR="009D39F6" w:rsidRPr="00B36D17">
        <w:rPr>
          <w:rFonts w:ascii="Calibri" w:eastAsia="Times New Roman" w:hAnsi="Calibri" w:cstheme="minorHAnsi"/>
          <w:lang w:val="en-US"/>
        </w:rPr>
        <w:t xml:space="preserve"> </w:t>
      </w:r>
      <w:r w:rsidR="009D39F6" w:rsidRPr="00321E17">
        <w:rPr>
          <w:rFonts w:ascii="Calibri" w:hAnsi="Calibri"/>
          <w:lang w:val="en-US"/>
        </w:rPr>
        <w:t xml:space="preserve">meter drill program to expand resources </w:t>
      </w:r>
      <w:r w:rsidR="0000385B">
        <w:rPr>
          <w:rFonts w:ascii="Calibri" w:eastAsia="Times New Roman" w:hAnsi="Calibri" w:cstheme="minorHAnsi"/>
          <w:lang w:val="en-US"/>
        </w:rPr>
        <w:t>at</w:t>
      </w:r>
      <w:r w:rsidR="0000385B" w:rsidRPr="00321E17">
        <w:rPr>
          <w:rFonts w:ascii="Calibri" w:hAnsi="Calibri"/>
          <w:lang w:val="en-US"/>
        </w:rPr>
        <w:t xml:space="preserve"> </w:t>
      </w:r>
      <w:proofErr w:type="spellStart"/>
      <w:r w:rsidR="009D39F6" w:rsidRPr="00321E17">
        <w:rPr>
          <w:rFonts w:ascii="Calibri" w:hAnsi="Calibri"/>
          <w:lang w:val="en-US"/>
        </w:rPr>
        <w:t>Authier</w:t>
      </w:r>
      <w:proofErr w:type="spellEnd"/>
      <w:r w:rsidR="0046559A" w:rsidRPr="00321E17">
        <w:rPr>
          <w:rFonts w:ascii="Calibri" w:hAnsi="Calibri"/>
          <w:lang w:val="en-US"/>
        </w:rPr>
        <w:t xml:space="preserve">. </w:t>
      </w:r>
      <w:r w:rsidR="0046559A">
        <w:rPr>
          <w:rFonts w:ascii="Calibri" w:eastAsia="Times New Roman" w:hAnsi="Calibri" w:cstheme="minorHAnsi"/>
          <w:lang w:val="en-US"/>
        </w:rPr>
        <w:t xml:space="preserve"> P</w:t>
      </w:r>
      <w:r w:rsidR="009D39F6" w:rsidRPr="00B36D17">
        <w:rPr>
          <w:rFonts w:ascii="Calibri" w:eastAsia="Times New Roman" w:hAnsi="Calibri" w:cstheme="minorHAnsi"/>
          <w:lang w:val="en-US"/>
        </w:rPr>
        <w:t xml:space="preserve">romising results </w:t>
      </w:r>
      <w:r w:rsidR="0046559A">
        <w:rPr>
          <w:rFonts w:ascii="Calibri" w:eastAsia="Times New Roman" w:hAnsi="Calibri" w:cstheme="minorHAnsi"/>
          <w:lang w:val="en-US"/>
        </w:rPr>
        <w:t>from this program include</w:t>
      </w:r>
      <w:r w:rsidR="009D39F6" w:rsidRPr="00B36D17">
        <w:rPr>
          <w:rFonts w:ascii="Calibri" w:eastAsia="Times New Roman" w:hAnsi="Calibri" w:cstheme="minorHAnsi"/>
          <w:lang w:val="en-US"/>
        </w:rPr>
        <w:t xml:space="preserve"> drill</w:t>
      </w:r>
      <w:r w:rsidR="0087739C" w:rsidRPr="00321E17">
        <w:rPr>
          <w:rFonts w:ascii="Calibri" w:hAnsi="Calibri"/>
          <w:lang w:val="en-US"/>
        </w:rPr>
        <w:t xml:space="preserve"> </w:t>
      </w:r>
      <w:r w:rsidR="009D39F6" w:rsidRPr="00321E17">
        <w:rPr>
          <w:rFonts w:ascii="Calibri" w:hAnsi="Calibri"/>
          <w:lang w:val="en-US"/>
        </w:rPr>
        <w:t>hole</w:t>
      </w:r>
      <w:r w:rsidR="009D39F6" w:rsidRPr="00B36D17">
        <w:rPr>
          <w:rFonts w:ascii="Calibri" w:eastAsia="Times New Roman" w:hAnsi="Calibri" w:cstheme="minorHAnsi"/>
          <w:lang w:val="en-US"/>
        </w:rPr>
        <w:t xml:space="preserve"> AL‐21‐14</w:t>
      </w:r>
      <w:r w:rsidR="009D39F6" w:rsidRPr="00321E17">
        <w:rPr>
          <w:rFonts w:ascii="Calibri" w:hAnsi="Calibri"/>
          <w:lang w:val="en-US"/>
        </w:rPr>
        <w:t xml:space="preserve">, located </w:t>
      </w:r>
      <w:r w:rsidR="0046559A">
        <w:rPr>
          <w:rFonts w:ascii="Calibri" w:eastAsia="Times New Roman" w:hAnsi="Calibri" w:cstheme="minorHAnsi"/>
          <w:lang w:val="en-US"/>
        </w:rPr>
        <w:t xml:space="preserve">some </w:t>
      </w:r>
      <w:r w:rsidR="009D39F6" w:rsidRPr="00321E17">
        <w:rPr>
          <w:rFonts w:ascii="Calibri" w:hAnsi="Calibri"/>
          <w:lang w:val="en-US"/>
        </w:rPr>
        <w:t>250</w:t>
      </w:r>
      <w:r w:rsidR="002166CB" w:rsidRPr="00321E17">
        <w:rPr>
          <w:rFonts w:ascii="Calibri" w:hAnsi="Calibri"/>
          <w:lang w:val="en-US"/>
        </w:rPr>
        <w:t xml:space="preserve"> </w:t>
      </w:r>
      <w:r w:rsidR="009D39F6" w:rsidRPr="00321E17">
        <w:rPr>
          <w:rFonts w:ascii="Calibri" w:hAnsi="Calibri"/>
          <w:lang w:val="en-US"/>
        </w:rPr>
        <w:t>m</w:t>
      </w:r>
      <w:r w:rsidR="002166CB" w:rsidRPr="00321E17">
        <w:rPr>
          <w:rFonts w:ascii="Calibri" w:hAnsi="Calibri"/>
          <w:lang w:val="en-US"/>
        </w:rPr>
        <w:t>eters</w:t>
      </w:r>
      <w:r w:rsidR="009D39F6" w:rsidRPr="00321E17">
        <w:rPr>
          <w:rFonts w:ascii="Calibri" w:hAnsi="Calibri"/>
          <w:lang w:val="en-US"/>
        </w:rPr>
        <w:t xml:space="preserve"> west of the </w:t>
      </w:r>
      <w:proofErr w:type="spellStart"/>
      <w:r w:rsidR="009D39F6" w:rsidRPr="00321E17">
        <w:rPr>
          <w:rFonts w:ascii="Calibri" w:hAnsi="Calibri"/>
          <w:lang w:val="en-US"/>
        </w:rPr>
        <w:t>Authier</w:t>
      </w:r>
      <w:proofErr w:type="spellEnd"/>
      <w:r w:rsidR="009D39F6" w:rsidRPr="00321E17">
        <w:rPr>
          <w:rFonts w:ascii="Calibri" w:hAnsi="Calibri"/>
          <w:lang w:val="en-US"/>
        </w:rPr>
        <w:t xml:space="preserve"> </w:t>
      </w:r>
      <w:r w:rsidR="00486083">
        <w:rPr>
          <w:rFonts w:ascii="Calibri" w:eastAsia="Times New Roman" w:hAnsi="Calibri" w:cstheme="minorHAnsi"/>
          <w:lang w:val="en-US"/>
        </w:rPr>
        <w:t>deposit</w:t>
      </w:r>
      <w:r w:rsidR="009D39F6" w:rsidRPr="00B36D17">
        <w:rPr>
          <w:rFonts w:ascii="Calibri" w:eastAsia="Times New Roman" w:hAnsi="Calibri" w:cstheme="minorHAnsi"/>
          <w:lang w:val="en-US"/>
        </w:rPr>
        <w:t xml:space="preserve"> and </w:t>
      </w:r>
      <w:r w:rsidR="009D39F6" w:rsidRPr="00321E17">
        <w:rPr>
          <w:rFonts w:ascii="Calibri" w:hAnsi="Calibri"/>
          <w:lang w:val="en-US"/>
        </w:rPr>
        <w:t>potential open pit</w:t>
      </w:r>
      <w:r w:rsidR="009D39F6" w:rsidRPr="00B36D17">
        <w:rPr>
          <w:rFonts w:ascii="Calibri" w:eastAsia="Times New Roman" w:hAnsi="Calibri" w:cstheme="minorHAnsi"/>
          <w:lang w:val="en-US"/>
        </w:rPr>
        <w:t xml:space="preserve">, returned </w:t>
      </w:r>
      <w:r w:rsidR="007D0E0F">
        <w:rPr>
          <w:rFonts w:ascii="Calibri" w:eastAsia="Times New Roman" w:hAnsi="Calibri" w:cstheme="minorHAnsi"/>
          <w:lang w:val="en-US"/>
        </w:rPr>
        <w:t>a</w:t>
      </w:r>
      <w:r w:rsidR="007D0E0F" w:rsidRPr="00321E17">
        <w:rPr>
          <w:rFonts w:ascii="Calibri" w:hAnsi="Calibri"/>
          <w:lang w:val="en-US"/>
        </w:rPr>
        <w:t xml:space="preserve"> </w:t>
      </w:r>
      <w:proofErr w:type="spellStart"/>
      <w:r w:rsidR="009D39F6" w:rsidRPr="00321E17">
        <w:rPr>
          <w:rFonts w:ascii="Calibri" w:hAnsi="Calibri"/>
          <w:lang w:val="en-US"/>
        </w:rPr>
        <w:t>spodumene</w:t>
      </w:r>
      <w:proofErr w:type="spellEnd"/>
      <w:r w:rsidR="009D39F6" w:rsidRPr="00321E17">
        <w:rPr>
          <w:rFonts w:ascii="Calibri" w:hAnsi="Calibri"/>
          <w:lang w:val="en-US"/>
        </w:rPr>
        <w:t xml:space="preserve"> </w:t>
      </w:r>
      <w:r w:rsidR="0046559A">
        <w:rPr>
          <w:rFonts w:ascii="Calibri" w:eastAsia="Times New Roman" w:hAnsi="Calibri" w:cstheme="minorHAnsi"/>
          <w:lang w:val="en-US"/>
        </w:rPr>
        <w:t>intersection</w:t>
      </w:r>
      <w:r w:rsidR="009D39F6" w:rsidRPr="00B36D17">
        <w:rPr>
          <w:rFonts w:ascii="Calibri" w:eastAsia="Times New Roman" w:hAnsi="Calibri" w:cstheme="minorHAnsi"/>
          <w:lang w:val="en-US"/>
        </w:rPr>
        <w:t xml:space="preserve"> assaying 9</w:t>
      </w:r>
      <w:r w:rsidR="002166CB">
        <w:rPr>
          <w:rFonts w:ascii="Calibri" w:eastAsia="Times New Roman" w:hAnsi="Calibri" w:cstheme="minorHAnsi"/>
          <w:lang w:val="en-US"/>
        </w:rPr>
        <w:t xml:space="preserve"> </w:t>
      </w:r>
      <w:r w:rsidR="009D39F6" w:rsidRPr="00B36D17">
        <w:rPr>
          <w:rFonts w:ascii="Calibri" w:eastAsia="Times New Roman" w:hAnsi="Calibri" w:cstheme="minorHAnsi"/>
          <w:lang w:val="en-US"/>
        </w:rPr>
        <w:t>m</w:t>
      </w:r>
      <w:r w:rsidR="002166CB">
        <w:rPr>
          <w:rFonts w:ascii="Calibri" w:eastAsia="Times New Roman" w:hAnsi="Calibri" w:cstheme="minorHAnsi"/>
          <w:lang w:val="en-US"/>
        </w:rPr>
        <w:t>eters</w:t>
      </w:r>
      <w:r w:rsidR="009D39F6" w:rsidRPr="00B36D17">
        <w:rPr>
          <w:rFonts w:ascii="Calibri" w:eastAsia="Times New Roman" w:hAnsi="Calibri" w:cstheme="minorHAnsi"/>
          <w:lang w:val="en-US"/>
        </w:rPr>
        <w:t xml:space="preserve"> @ 1.46% Li</w:t>
      </w:r>
      <w:r w:rsidR="009D39F6" w:rsidRPr="00BE755B">
        <w:rPr>
          <w:rFonts w:ascii="Calibri" w:eastAsia="Times New Roman" w:hAnsi="Calibri" w:cstheme="minorHAnsi"/>
          <w:vertAlign w:val="subscript"/>
          <w:lang w:val="en-US"/>
        </w:rPr>
        <w:t>2</w:t>
      </w:r>
      <w:r w:rsidR="009D39F6" w:rsidRPr="00B36D17">
        <w:rPr>
          <w:rFonts w:ascii="Calibri" w:eastAsia="Times New Roman" w:hAnsi="Calibri" w:cstheme="minorHAnsi"/>
          <w:lang w:val="en-US"/>
        </w:rPr>
        <w:t>O</w:t>
      </w:r>
      <w:r w:rsidR="009D39F6" w:rsidRPr="00321E17">
        <w:rPr>
          <w:rFonts w:ascii="Calibri" w:hAnsi="Calibri"/>
          <w:lang w:val="en-US"/>
        </w:rPr>
        <w:t>.</w:t>
      </w:r>
    </w:p>
    <w:p w14:paraId="6AE7CB39" w14:textId="25604667" w:rsidR="00931F81" w:rsidRPr="007C7C5F" w:rsidRDefault="00931F81" w:rsidP="00A55303">
      <w:pPr>
        <w:widowControl w:val="0"/>
        <w:numPr>
          <w:ilvl w:val="0"/>
          <w:numId w:val="8"/>
        </w:numPr>
        <w:autoSpaceDE w:val="0"/>
        <w:autoSpaceDN w:val="0"/>
        <w:spacing w:after="0" w:line="240" w:lineRule="auto"/>
        <w:ind w:left="714" w:hanging="357"/>
        <w:jc w:val="both"/>
        <w:rPr>
          <w:rFonts w:ascii="Calibri" w:eastAsia="Times New Roman" w:hAnsi="Calibri" w:cstheme="minorHAnsi"/>
          <w:lang w:val="en-US"/>
        </w:rPr>
      </w:pPr>
      <w:proofErr w:type="spellStart"/>
      <w:r w:rsidRPr="004D629D">
        <w:rPr>
          <w:rFonts w:ascii="Calibri" w:eastAsia="Times New Roman" w:hAnsi="Calibri" w:cstheme="minorHAnsi"/>
          <w:b/>
          <w:bCs/>
          <w:lang w:val="en-US"/>
        </w:rPr>
        <w:t>Graphmada</w:t>
      </w:r>
      <w:proofErr w:type="spellEnd"/>
      <w:r w:rsidRPr="004D629D">
        <w:rPr>
          <w:rFonts w:ascii="Calibri" w:eastAsia="Times New Roman" w:hAnsi="Calibri" w:cstheme="minorHAnsi"/>
          <w:b/>
          <w:bCs/>
          <w:lang w:val="en-US"/>
        </w:rPr>
        <w:t xml:space="preserve"> Graphite Royalty</w:t>
      </w:r>
      <w:r>
        <w:rPr>
          <w:rFonts w:ascii="Calibri" w:eastAsia="Times New Roman" w:hAnsi="Calibri" w:cstheme="minorHAnsi"/>
          <w:lang w:val="en-US"/>
        </w:rPr>
        <w:t xml:space="preserve"> – </w:t>
      </w:r>
      <w:proofErr w:type="spellStart"/>
      <w:r>
        <w:rPr>
          <w:rFonts w:ascii="Calibri" w:eastAsia="Times New Roman" w:hAnsi="Calibri" w:cstheme="minorHAnsi"/>
          <w:lang w:val="en-US"/>
        </w:rPr>
        <w:t>Greenwing</w:t>
      </w:r>
      <w:proofErr w:type="spellEnd"/>
      <w:r>
        <w:rPr>
          <w:rFonts w:ascii="Calibri" w:eastAsia="Times New Roman" w:hAnsi="Calibri" w:cstheme="minorHAnsi"/>
          <w:lang w:val="en-US"/>
        </w:rPr>
        <w:t xml:space="preserve"> Resources (ASX: GW1) is currently undertaking a 3,000 meter drill program to</w:t>
      </w:r>
      <w:r w:rsidR="00E957BC">
        <w:rPr>
          <w:rFonts w:ascii="Calibri" w:eastAsia="Times New Roman" w:hAnsi="Calibri" w:cstheme="minorHAnsi"/>
          <w:lang w:val="en-US"/>
        </w:rPr>
        <w:t xml:space="preserve"> further </w:t>
      </w:r>
      <w:r w:rsidR="0019496F">
        <w:rPr>
          <w:rFonts w:ascii="Calibri" w:eastAsia="Times New Roman" w:hAnsi="Calibri" w:cstheme="minorHAnsi"/>
          <w:lang w:val="en-US"/>
        </w:rPr>
        <w:t>in</w:t>
      </w:r>
      <w:r w:rsidR="00F26711">
        <w:rPr>
          <w:rFonts w:ascii="Calibri" w:eastAsia="Times New Roman" w:hAnsi="Calibri" w:cstheme="minorHAnsi"/>
          <w:lang w:val="en-US"/>
        </w:rPr>
        <w:t xml:space="preserve">crease the size of the </w:t>
      </w:r>
      <w:proofErr w:type="spellStart"/>
      <w:r w:rsidR="00F26711">
        <w:rPr>
          <w:rFonts w:ascii="Calibri" w:eastAsia="Times New Roman" w:hAnsi="Calibri" w:cstheme="minorHAnsi"/>
          <w:lang w:val="en-US"/>
        </w:rPr>
        <w:t>Graphmada</w:t>
      </w:r>
      <w:proofErr w:type="spellEnd"/>
      <w:r w:rsidR="0019496F">
        <w:rPr>
          <w:rFonts w:ascii="Calibri" w:eastAsia="Times New Roman" w:hAnsi="Calibri" w:cstheme="minorHAnsi"/>
          <w:lang w:val="en-US"/>
        </w:rPr>
        <w:t xml:space="preserve"> deposit</w:t>
      </w:r>
      <w:r w:rsidR="00E957BC">
        <w:rPr>
          <w:rFonts w:ascii="Calibri" w:eastAsia="Times New Roman" w:hAnsi="Calibri" w:cstheme="minorHAnsi"/>
          <w:lang w:val="en-US"/>
        </w:rPr>
        <w:t xml:space="preserve"> and to</w:t>
      </w:r>
      <w:r>
        <w:rPr>
          <w:rFonts w:ascii="Calibri" w:eastAsia="Times New Roman" w:hAnsi="Calibri" w:cstheme="minorHAnsi"/>
          <w:lang w:val="en-US"/>
        </w:rPr>
        <w:t xml:space="preserve"> progress studies </w:t>
      </w:r>
      <w:r w:rsidR="00E957BC">
        <w:rPr>
          <w:rFonts w:ascii="Calibri" w:eastAsia="Times New Roman" w:hAnsi="Calibri" w:cstheme="minorHAnsi"/>
          <w:lang w:val="en-US"/>
        </w:rPr>
        <w:t>aimed at restarting</w:t>
      </w:r>
      <w:r w:rsidRPr="00931F81">
        <w:rPr>
          <w:rFonts w:ascii="Calibri" w:eastAsia="Times New Roman" w:hAnsi="Calibri" w:cstheme="minorHAnsi"/>
          <w:lang w:val="en-US"/>
        </w:rPr>
        <w:t xml:space="preserve"> large scale mining and processing operations</w:t>
      </w:r>
      <w:r>
        <w:rPr>
          <w:rFonts w:ascii="Calibri" w:eastAsia="Times New Roman" w:hAnsi="Calibri" w:cstheme="minorHAnsi"/>
          <w:lang w:val="en-US"/>
        </w:rPr>
        <w:t>.</w:t>
      </w:r>
    </w:p>
    <w:p w14:paraId="3C8FF926" w14:textId="54997845" w:rsidR="004E5583" w:rsidRPr="0083569E" w:rsidRDefault="004E5583" w:rsidP="00A55303">
      <w:pPr>
        <w:widowControl w:val="0"/>
        <w:numPr>
          <w:ilvl w:val="0"/>
          <w:numId w:val="8"/>
        </w:numPr>
        <w:autoSpaceDE w:val="0"/>
        <w:autoSpaceDN w:val="0"/>
        <w:spacing w:after="0" w:line="240" w:lineRule="auto"/>
        <w:ind w:left="714" w:hanging="357"/>
        <w:jc w:val="both"/>
        <w:rPr>
          <w:rFonts w:ascii="Calibri" w:eastAsia="Times New Roman" w:hAnsi="Calibri" w:cstheme="minorHAnsi"/>
          <w:lang w:val="en-US"/>
        </w:rPr>
      </w:pPr>
      <w:proofErr w:type="spellStart"/>
      <w:r>
        <w:rPr>
          <w:rFonts w:ascii="Calibri" w:eastAsia="Times New Roman" w:hAnsi="Calibri" w:cstheme="minorHAnsi"/>
          <w:b/>
          <w:bCs/>
          <w:lang w:val="en-US"/>
        </w:rPr>
        <w:t>Cancet</w:t>
      </w:r>
      <w:proofErr w:type="spellEnd"/>
      <w:r>
        <w:rPr>
          <w:rFonts w:ascii="Calibri" w:eastAsia="Times New Roman" w:hAnsi="Calibri" w:cstheme="minorHAnsi"/>
          <w:b/>
          <w:bCs/>
          <w:lang w:val="en-US"/>
        </w:rPr>
        <w:t xml:space="preserve"> Lithium Royalty – </w:t>
      </w:r>
      <w:r w:rsidR="00B376CF" w:rsidRPr="0083569E">
        <w:rPr>
          <w:rFonts w:ascii="Calibri" w:eastAsia="Times New Roman" w:hAnsi="Calibri" w:cstheme="minorHAnsi"/>
          <w:lang w:val="en-US"/>
        </w:rPr>
        <w:t>Winsome Resour</w:t>
      </w:r>
      <w:r w:rsidR="009D39F6" w:rsidRPr="0083569E">
        <w:rPr>
          <w:rFonts w:ascii="Calibri" w:eastAsia="Times New Roman" w:hAnsi="Calibri" w:cstheme="minorHAnsi"/>
          <w:lang w:val="en-US"/>
        </w:rPr>
        <w:t xml:space="preserve">ces (ASX: WR1) completed an IPO in November and </w:t>
      </w:r>
      <w:r w:rsidR="00BD1844">
        <w:rPr>
          <w:rFonts w:ascii="Calibri" w:eastAsia="Times New Roman" w:hAnsi="Calibri" w:cstheme="minorHAnsi"/>
          <w:lang w:val="en-US"/>
        </w:rPr>
        <w:t>completed an</w:t>
      </w:r>
      <w:r w:rsidR="009D39F6" w:rsidRPr="0083569E">
        <w:rPr>
          <w:rFonts w:ascii="Calibri" w:eastAsia="Times New Roman" w:hAnsi="Calibri" w:cstheme="minorHAnsi"/>
          <w:lang w:val="en-US"/>
        </w:rPr>
        <w:t xml:space="preserve"> A$18 million</w:t>
      </w:r>
      <w:r w:rsidR="00BD1844">
        <w:rPr>
          <w:rFonts w:ascii="Calibri" w:eastAsia="Times New Roman" w:hAnsi="Calibri" w:cstheme="minorHAnsi"/>
          <w:lang w:val="en-US"/>
        </w:rPr>
        <w:t xml:space="preserve"> financing</w:t>
      </w:r>
      <w:r w:rsidR="009D39F6" w:rsidRPr="0083569E">
        <w:rPr>
          <w:rFonts w:ascii="Calibri" w:eastAsia="Times New Roman" w:hAnsi="Calibri" w:cstheme="minorHAnsi"/>
          <w:lang w:val="en-US"/>
        </w:rPr>
        <w:t xml:space="preserve"> to advance the </w:t>
      </w:r>
      <w:proofErr w:type="spellStart"/>
      <w:r w:rsidR="009D39F6" w:rsidRPr="0083569E">
        <w:rPr>
          <w:rFonts w:ascii="Calibri" w:eastAsia="Times New Roman" w:hAnsi="Calibri" w:cstheme="minorHAnsi"/>
          <w:lang w:val="en-US"/>
        </w:rPr>
        <w:t>Cancet</w:t>
      </w:r>
      <w:proofErr w:type="spellEnd"/>
      <w:r w:rsidR="009D39F6" w:rsidRPr="0083569E">
        <w:rPr>
          <w:rFonts w:ascii="Calibri" w:eastAsia="Times New Roman" w:hAnsi="Calibri" w:cstheme="minorHAnsi"/>
          <w:lang w:val="en-US"/>
        </w:rPr>
        <w:t xml:space="preserve"> lithium project in 2022.</w:t>
      </w:r>
      <w:r w:rsidR="009D39F6">
        <w:rPr>
          <w:rFonts w:ascii="Calibri" w:eastAsia="Times New Roman" w:hAnsi="Calibri" w:cstheme="minorHAnsi"/>
          <w:b/>
          <w:bCs/>
          <w:lang w:val="en-US"/>
        </w:rPr>
        <w:t xml:space="preserve"> </w:t>
      </w:r>
    </w:p>
    <w:p w14:paraId="67F27D1F" w14:textId="03A558AD" w:rsidR="004E5583" w:rsidRPr="0083569E" w:rsidRDefault="004E5583" w:rsidP="00A55303">
      <w:pPr>
        <w:widowControl w:val="0"/>
        <w:numPr>
          <w:ilvl w:val="0"/>
          <w:numId w:val="8"/>
        </w:numPr>
        <w:autoSpaceDE w:val="0"/>
        <w:autoSpaceDN w:val="0"/>
        <w:spacing w:after="0" w:line="240" w:lineRule="auto"/>
        <w:ind w:left="714" w:hanging="357"/>
        <w:jc w:val="both"/>
        <w:rPr>
          <w:rFonts w:ascii="Calibri" w:eastAsia="Times New Roman" w:hAnsi="Calibri" w:cstheme="minorHAnsi"/>
          <w:lang w:val="en-US"/>
        </w:rPr>
      </w:pPr>
      <w:r>
        <w:rPr>
          <w:rFonts w:ascii="Calibri" w:eastAsia="Times New Roman" w:hAnsi="Calibri" w:cstheme="minorHAnsi"/>
          <w:b/>
          <w:bCs/>
          <w:lang w:val="en-US"/>
        </w:rPr>
        <w:t xml:space="preserve">Seymour Lake Lithium Royalty – </w:t>
      </w:r>
      <w:r w:rsidRPr="0083569E">
        <w:rPr>
          <w:rFonts w:ascii="Calibri" w:eastAsia="Times New Roman" w:hAnsi="Calibri" w:cstheme="minorHAnsi"/>
          <w:lang w:val="en-US"/>
        </w:rPr>
        <w:t>Green Technology Metals</w:t>
      </w:r>
      <w:r w:rsidR="00B376CF" w:rsidRPr="0083569E">
        <w:rPr>
          <w:rFonts w:ascii="Calibri" w:eastAsia="Times New Roman" w:hAnsi="Calibri" w:cstheme="minorHAnsi"/>
          <w:lang w:val="en-US"/>
        </w:rPr>
        <w:t xml:space="preserve"> (ASX: GT1)</w:t>
      </w:r>
      <w:r w:rsidRPr="0083569E">
        <w:rPr>
          <w:rFonts w:ascii="Calibri" w:eastAsia="Times New Roman" w:hAnsi="Calibri" w:cstheme="minorHAnsi"/>
          <w:lang w:val="en-US"/>
        </w:rPr>
        <w:t xml:space="preserve"> wh</w:t>
      </w:r>
      <w:r w:rsidR="001F4967">
        <w:rPr>
          <w:rFonts w:ascii="Calibri" w:eastAsia="Times New Roman" w:hAnsi="Calibri" w:cstheme="minorHAnsi"/>
          <w:lang w:val="en-US"/>
        </w:rPr>
        <w:t xml:space="preserve">ich </w:t>
      </w:r>
      <w:r w:rsidRPr="0083569E">
        <w:rPr>
          <w:rFonts w:ascii="Calibri" w:eastAsia="Times New Roman" w:hAnsi="Calibri" w:cstheme="minorHAnsi"/>
          <w:lang w:val="en-US"/>
        </w:rPr>
        <w:t xml:space="preserve">signed a joint venture </w:t>
      </w:r>
      <w:r w:rsidR="00B376CF" w:rsidRPr="0083569E">
        <w:rPr>
          <w:rFonts w:ascii="Calibri" w:eastAsia="Times New Roman" w:hAnsi="Calibri" w:cstheme="minorHAnsi"/>
          <w:lang w:val="en-US"/>
        </w:rPr>
        <w:t xml:space="preserve">agreement </w:t>
      </w:r>
      <w:r w:rsidRPr="0083569E">
        <w:rPr>
          <w:rFonts w:ascii="Calibri" w:eastAsia="Times New Roman" w:hAnsi="Calibri" w:cstheme="minorHAnsi"/>
          <w:lang w:val="en-US"/>
        </w:rPr>
        <w:t xml:space="preserve">to advance the Seymour Lake </w:t>
      </w:r>
      <w:r w:rsidR="00B376CF" w:rsidRPr="0083569E">
        <w:rPr>
          <w:rFonts w:ascii="Calibri" w:eastAsia="Times New Roman" w:hAnsi="Calibri" w:cstheme="minorHAnsi"/>
          <w:lang w:val="en-US"/>
        </w:rPr>
        <w:t xml:space="preserve">project earlier this year, completed an A$24 million capital raise and IPO in November </w:t>
      </w:r>
      <w:r w:rsidR="00B36D17">
        <w:rPr>
          <w:rFonts w:ascii="Calibri" w:eastAsia="Times New Roman" w:hAnsi="Calibri" w:cstheme="minorHAnsi"/>
          <w:lang w:val="en-US"/>
        </w:rPr>
        <w:t>and</w:t>
      </w:r>
      <w:r w:rsidR="00B376CF" w:rsidRPr="0083569E">
        <w:rPr>
          <w:rFonts w:ascii="Calibri" w:eastAsia="Times New Roman" w:hAnsi="Calibri" w:cstheme="minorHAnsi"/>
          <w:lang w:val="en-US"/>
        </w:rPr>
        <w:t xml:space="preserve"> are well funded to advance the asset</w:t>
      </w:r>
      <w:r w:rsidR="00E97B0B">
        <w:rPr>
          <w:rFonts w:ascii="Calibri" w:eastAsia="Times New Roman" w:hAnsi="Calibri" w:cstheme="minorHAnsi"/>
          <w:lang w:val="en-US"/>
        </w:rPr>
        <w:t xml:space="preserve">.  Green Technology Metals </w:t>
      </w:r>
      <w:r w:rsidR="00B36D17">
        <w:rPr>
          <w:rFonts w:ascii="Calibri" w:eastAsia="Times New Roman" w:hAnsi="Calibri" w:cstheme="minorHAnsi"/>
          <w:lang w:val="en-US"/>
        </w:rPr>
        <w:t xml:space="preserve">is </w:t>
      </w:r>
      <w:r w:rsidR="007E767D">
        <w:rPr>
          <w:rFonts w:ascii="Calibri" w:eastAsia="Times New Roman" w:hAnsi="Calibri" w:cstheme="minorHAnsi"/>
          <w:lang w:val="en-US"/>
        </w:rPr>
        <w:t xml:space="preserve">currently undertaking a step-out 11 hole, 3,500 meter diamond drilling program </w:t>
      </w:r>
      <w:r w:rsidR="00BD1844">
        <w:rPr>
          <w:rFonts w:ascii="Calibri" w:eastAsia="Times New Roman" w:hAnsi="Calibri" w:cstheme="minorHAnsi"/>
          <w:lang w:val="en-US"/>
        </w:rPr>
        <w:t>at Seymour Lake</w:t>
      </w:r>
      <w:r w:rsidR="00B376CF" w:rsidRPr="0083569E">
        <w:rPr>
          <w:rFonts w:ascii="Calibri" w:eastAsia="Times New Roman" w:hAnsi="Calibri" w:cstheme="minorHAnsi"/>
          <w:lang w:val="en-US"/>
        </w:rPr>
        <w:t>.</w:t>
      </w:r>
    </w:p>
    <w:p w14:paraId="7B54B8EF" w14:textId="36DD477C" w:rsidR="002B2C32" w:rsidRPr="00A56490" w:rsidRDefault="002B2C32" w:rsidP="00A55303">
      <w:pPr>
        <w:widowControl w:val="0"/>
        <w:numPr>
          <w:ilvl w:val="0"/>
          <w:numId w:val="8"/>
        </w:numPr>
        <w:autoSpaceDE w:val="0"/>
        <w:autoSpaceDN w:val="0"/>
        <w:spacing w:after="0" w:line="240" w:lineRule="auto"/>
        <w:ind w:left="714" w:hanging="357"/>
        <w:jc w:val="both"/>
        <w:rPr>
          <w:rFonts w:ascii="Calibri" w:eastAsia="Times New Roman" w:hAnsi="Calibri" w:cstheme="minorHAnsi"/>
          <w:lang w:val="en-US"/>
        </w:rPr>
      </w:pPr>
      <w:proofErr w:type="spellStart"/>
      <w:r w:rsidRPr="004D629D">
        <w:rPr>
          <w:rFonts w:ascii="Calibri" w:eastAsia="Times New Roman" w:hAnsi="Calibri" w:cstheme="minorHAnsi"/>
          <w:b/>
          <w:bCs/>
          <w:lang w:val="en-US"/>
        </w:rPr>
        <w:t>Bissett</w:t>
      </w:r>
      <w:proofErr w:type="spellEnd"/>
      <w:r w:rsidRPr="004D629D">
        <w:rPr>
          <w:rFonts w:ascii="Calibri" w:eastAsia="Times New Roman" w:hAnsi="Calibri" w:cstheme="minorHAnsi"/>
          <w:b/>
          <w:bCs/>
          <w:lang w:val="en-US"/>
        </w:rPr>
        <w:t xml:space="preserve"> Creek </w:t>
      </w:r>
      <w:r w:rsidR="00CF22EB" w:rsidRPr="004D629D">
        <w:rPr>
          <w:rFonts w:ascii="Calibri" w:eastAsia="Times New Roman" w:hAnsi="Calibri" w:cstheme="minorHAnsi"/>
          <w:b/>
          <w:bCs/>
          <w:lang w:val="en-US"/>
        </w:rPr>
        <w:t>G</w:t>
      </w:r>
      <w:r w:rsidRPr="004D629D">
        <w:rPr>
          <w:rFonts w:ascii="Calibri" w:eastAsia="Times New Roman" w:hAnsi="Calibri" w:cstheme="minorHAnsi"/>
          <w:b/>
          <w:bCs/>
          <w:lang w:val="en-US"/>
        </w:rPr>
        <w:t xml:space="preserve">raphite </w:t>
      </w:r>
      <w:r w:rsidR="00CF22EB" w:rsidRPr="004D629D">
        <w:rPr>
          <w:rFonts w:ascii="Calibri" w:eastAsia="Times New Roman" w:hAnsi="Calibri" w:cstheme="minorHAnsi"/>
          <w:b/>
          <w:bCs/>
          <w:lang w:val="en-US"/>
        </w:rPr>
        <w:t>R</w:t>
      </w:r>
      <w:r w:rsidRPr="004D629D">
        <w:rPr>
          <w:rFonts w:ascii="Calibri" w:eastAsia="Times New Roman" w:hAnsi="Calibri" w:cstheme="minorHAnsi"/>
          <w:b/>
          <w:bCs/>
          <w:lang w:val="en-US"/>
        </w:rPr>
        <w:t>oyalty</w:t>
      </w:r>
      <w:r w:rsidRPr="00DE164C">
        <w:rPr>
          <w:rFonts w:ascii="Calibri" w:eastAsia="Times New Roman" w:hAnsi="Calibri" w:cstheme="minorHAnsi"/>
          <w:lang w:val="en-US"/>
        </w:rPr>
        <w:t xml:space="preserve"> </w:t>
      </w:r>
      <w:r w:rsidR="009D39F6">
        <w:rPr>
          <w:rFonts w:ascii="Calibri" w:eastAsia="Times New Roman" w:hAnsi="Calibri" w:cstheme="minorHAnsi"/>
          <w:lang w:val="en-US"/>
        </w:rPr>
        <w:t>–</w:t>
      </w:r>
      <w:r w:rsidRPr="00DE164C">
        <w:rPr>
          <w:rFonts w:ascii="Calibri" w:eastAsia="Times New Roman" w:hAnsi="Calibri" w:cstheme="minorHAnsi"/>
          <w:lang w:val="en-US"/>
        </w:rPr>
        <w:t xml:space="preserve"> </w:t>
      </w:r>
      <w:r w:rsidR="009D39F6">
        <w:rPr>
          <w:rFonts w:ascii="Calibri" w:eastAsia="Times New Roman" w:hAnsi="Calibri" w:cstheme="minorHAnsi"/>
          <w:lang w:val="en-US"/>
        </w:rPr>
        <w:t xml:space="preserve">Northern Graphite </w:t>
      </w:r>
      <w:r w:rsidR="001E0B5A">
        <w:rPr>
          <w:rFonts w:ascii="Calibri" w:eastAsia="Times New Roman" w:hAnsi="Calibri" w:cstheme="minorHAnsi"/>
          <w:lang w:val="en-US"/>
        </w:rPr>
        <w:t xml:space="preserve">Corporation (TSXV: NGC) (OTCQB: NGPHF) </w:t>
      </w:r>
      <w:r w:rsidR="009D39F6">
        <w:rPr>
          <w:rFonts w:ascii="Calibri" w:eastAsia="Times New Roman" w:hAnsi="Calibri" w:cstheme="minorHAnsi"/>
          <w:lang w:val="en-US"/>
        </w:rPr>
        <w:t xml:space="preserve">announced the acquisition of two producing graphite mines which </w:t>
      </w:r>
      <w:r w:rsidR="0019496F">
        <w:rPr>
          <w:rFonts w:ascii="Calibri" w:eastAsia="Times New Roman" w:hAnsi="Calibri" w:cstheme="minorHAnsi"/>
          <w:lang w:val="en-US"/>
        </w:rPr>
        <w:t>will</w:t>
      </w:r>
      <w:r w:rsidR="001E0B5A">
        <w:rPr>
          <w:rFonts w:ascii="Calibri" w:eastAsia="Times New Roman" w:hAnsi="Calibri" w:cstheme="minorHAnsi"/>
          <w:lang w:val="en-US"/>
        </w:rPr>
        <w:t xml:space="preserve"> help support offtake </w:t>
      </w:r>
      <w:r w:rsidR="00BD1844">
        <w:rPr>
          <w:rFonts w:ascii="Calibri" w:eastAsia="Times New Roman" w:hAnsi="Calibri" w:cstheme="minorHAnsi"/>
          <w:lang w:val="en-US"/>
        </w:rPr>
        <w:t xml:space="preserve">and funding </w:t>
      </w:r>
      <w:r w:rsidR="001E0B5A">
        <w:rPr>
          <w:rFonts w:ascii="Calibri" w:eastAsia="Times New Roman" w:hAnsi="Calibri" w:cstheme="minorHAnsi"/>
          <w:lang w:val="en-US"/>
        </w:rPr>
        <w:t xml:space="preserve">negotiations at </w:t>
      </w:r>
      <w:proofErr w:type="spellStart"/>
      <w:r w:rsidR="001E0B5A">
        <w:rPr>
          <w:rFonts w:ascii="Calibri" w:eastAsia="Times New Roman" w:hAnsi="Calibri" w:cstheme="minorHAnsi"/>
          <w:lang w:val="en-US"/>
        </w:rPr>
        <w:t>Bissett</w:t>
      </w:r>
      <w:proofErr w:type="spellEnd"/>
      <w:r w:rsidR="001E0B5A">
        <w:rPr>
          <w:rFonts w:ascii="Calibri" w:eastAsia="Times New Roman" w:hAnsi="Calibri" w:cstheme="minorHAnsi"/>
          <w:lang w:val="en-US"/>
        </w:rPr>
        <w:t xml:space="preserve"> Creek </w:t>
      </w:r>
      <w:r w:rsidR="004D24FD">
        <w:rPr>
          <w:rFonts w:ascii="Calibri" w:eastAsia="Times New Roman" w:hAnsi="Calibri" w:cstheme="minorHAnsi"/>
          <w:lang w:val="en-US"/>
        </w:rPr>
        <w:t>in</w:t>
      </w:r>
      <w:r w:rsidR="001E0B5A">
        <w:rPr>
          <w:rFonts w:ascii="Calibri" w:eastAsia="Times New Roman" w:hAnsi="Calibri" w:cstheme="minorHAnsi"/>
          <w:lang w:val="en-US"/>
        </w:rPr>
        <w:t xml:space="preserve"> 2022. Northern Graphite also continued to demonstrate </w:t>
      </w:r>
      <w:proofErr w:type="gramStart"/>
      <w:r w:rsidR="001E0B5A">
        <w:rPr>
          <w:rFonts w:ascii="Calibri" w:eastAsia="Times New Roman" w:hAnsi="Calibri" w:cstheme="minorHAnsi"/>
          <w:lang w:val="en-US"/>
        </w:rPr>
        <w:t>excellent</w:t>
      </w:r>
      <w:proofErr w:type="gramEnd"/>
      <w:r w:rsidR="001E0B5A">
        <w:rPr>
          <w:rFonts w:ascii="Calibri" w:eastAsia="Times New Roman" w:hAnsi="Calibri" w:cstheme="minorHAnsi"/>
          <w:lang w:val="en-US"/>
        </w:rPr>
        <w:t xml:space="preserve"> performance of its </w:t>
      </w:r>
      <w:proofErr w:type="spellStart"/>
      <w:r w:rsidR="001E0B5A">
        <w:rPr>
          <w:rFonts w:ascii="Calibri" w:eastAsia="Times New Roman" w:hAnsi="Calibri" w:cstheme="minorHAnsi"/>
          <w:lang w:val="en-US"/>
        </w:rPr>
        <w:t>Bissett</w:t>
      </w:r>
      <w:proofErr w:type="spellEnd"/>
      <w:r w:rsidR="001E0B5A">
        <w:rPr>
          <w:rFonts w:ascii="Calibri" w:eastAsia="Times New Roman" w:hAnsi="Calibri" w:cstheme="minorHAnsi"/>
          <w:lang w:val="en-US"/>
        </w:rPr>
        <w:t xml:space="preserve"> Creek concentrate in battery testing in Novemb</w:t>
      </w:r>
      <w:r w:rsidR="009D2322">
        <w:rPr>
          <w:rFonts w:ascii="Calibri" w:eastAsia="Times New Roman" w:hAnsi="Calibri" w:cstheme="minorHAnsi"/>
          <w:lang w:val="en-US"/>
        </w:rPr>
        <w:t>er</w:t>
      </w:r>
      <w:r w:rsidR="001E0B5A" w:rsidRPr="00BE755B">
        <w:rPr>
          <w:rFonts w:ascii="Calibri" w:eastAsia="Times New Roman" w:hAnsi="Calibri" w:cstheme="minorHAnsi"/>
          <w:lang w:val="en-US"/>
        </w:rPr>
        <w:t>.</w:t>
      </w:r>
      <w:r w:rsidR="001E0B5A">
        <w:rPr>
          <w:rFonts w:ascii="Calibri" w:eastAsia="Times New Roman" w:hAnsi="Calibri" w:cstheme="minorHAnsi"/>
          <w:lang w:val="en-US"/>
        </w:rPr>
        <w:t xml:space="preserve"> </w:t>
      </w:r>
    </w:p>
    <w:p w14:paraId="32F2D673" w14:textId="75813C56" w:rsidR="002B2C32" w:rsidRPr="00321E17" w:rsidRDefault="002B2C32" w:rsidP="00321E17">
      <w:pPr>
        <w:widowControl w:val="0"/>
        <w:numPr>
          <w:ilvl w:val="0"/>
          <w:numId w:val="8"/>
        </w:numPr>
        <w:autoSpaceDE w:val="0"/>
        <w:autoSpaceDN w:val="0"/>
        <w:spacing w:after="0" w:line="240" w:lineRule="auto"/>
        <w:ind w:left="714" w:hanging="357"/>
        <w:jc w:val="both"/>
        <w:rPr>
          <w:rFonts w:ascii="Calibri" w:hAnsi="Calibri"/>
          <w:lang w:val="en-US"/>
        </w:rPr>
      </w:pPr>
      <w:r w:rsidRPr="004D629D">
        <w:rPr>
          <w:rFonts w:ascii="Calibri" w:eastAsia="Times New Roman" w:hAnsi="Calibri" w:cstheme="minorHAnsi"/>
          <w:b/>
          <w:bCs/>
          <w:lang w:val="en-US"/>
        </w:rPr>
        <w:t xml:space="preserve">Battery Hill </w:t>
      </w:r>
      <w:r w:rsidR="00CF22EB" w:rsidRPr="004D629D">
        <w:rPr>
          <w:rFonts w:ascii="Calibri" w:eastAsia="Times New Roman" w:hAnsi="Calibri" w:cstheme="minorHAnsi"/>
          <w:b/>
          <w:bCs/>
          <w:lang w:val="en-US"/>
        </w:rPr>
        <w:t>M</w:t>
      </w:r>
      <w:r w:rsidRPr="004D629D">
        <w:rPr>
          <w:rFonts w:ascii="Calibri" w:eastAsia="Times New Roman" w:hAnsi="Calibri" w:cstheme="minorHAnsi"/>
          <w:b/>
          <w:bCs/>
          <w:lang w:val="en-US"/>
        </w:rPr>
        <w:t xml:space="preserve">anganese </w:t>
      </w:r>
      <w:r w:rsidR="00CF22EB" w:rsidRPr="004D629D">
        <w:rPr>
          <w:rFonts w:ascii="Calibri" w:eastAsia="Times New Roman" w:hAnsi="Calibri" w:cstheme="minorHAnsi"/>
          <w:b/>
          <w:bCs/>
          <w:lang w:val="en-US"/>
        </w:rPr>
        <w:t>R</w:t>
      </w:r>
      <w:r w:rsidRPr="004D629D">
        <w:rPr>
          <w:rFonts w:ascii="Calibri" w:eastAsia="Times New Roman" w:hAnsi="Calibri" w:cstheme="minorHAnsi"/>
          <w:b/>
          <w:bCs/>
          <w:lang w:val="en-US"/>
        </w:rPr>
        <w:t>oyalty</w:t>
      </w:r>
      <w:bookmarkStart w:id="0" w:name="_GoBack"/>
      <w:bookmarkEnd w:id="0"/>
      <w:r w:rsidRPr="00DE164C">
        <w:rPr>
          <w:rFonts w:ascii="Calibri" w:eastAsia="Times New Roman" w:hAnsi="Calibri" w:cstheme="minorHAnsi"/>
          <w:lang w:val="en-US"/>
        </w:rPr>
        <w:t xml:space="preserve"> </w:t>
      </w:r>
      <w:r w:rsidR="00E15F15">
        <w:rPr>
          <w:rFonts w:ascii="Calibri" w:eastAsia="Times New Roman" w:hAnsi="Calibri" w:cstheme="minorHAnsi"/>
          <w:lang w:val="en-US"/>
        </w:rPr>
        <w:t>–</w:t>
      </w:r>
      <w:r w:rsidRPr="00DE164C">
        <w:rPr>
          <w:rFonts w:ascii="Calibri" w:eastAsia="Times New Roman" w:hAnsi="Calibri" w:cstheme="minorHAnsi"/>
          <w:lang w:val="en-US"/>
        </w:rPr>
        <w:t xml:space="preserve"> </w:t>
      </w:r>
      <w:r w:rsidR="00E15F15">
        <w:rPr>
          <w:rFonts w:ascii="Calibri" w:eastAsia="Times New Roman" w:hAnsi="Calibri" w:cstheme="minorHAnsi"/>
          <w:lang w:val="en-US"/>
        </w:rPr>
        <w:t xml:space="preserve">Manganese X Energy (TSXV: MN) continues to improve processing of high grade battery </w:t>
      </w:r>
      <w:r w:rsidR="00B36D17">
        <w:rPr>
          <w:rFonts w:ascii="Calibri" w:eastAsia="Times New Roman" w:hAnsi="Calibri" w:cstheme="minorHAnsi"/>
          <w:lang w:val="en-US"/>
        </w:rPr>
        <w:t xml:space="preserve">manganese </w:t>
      </w:r>
      <w:r w:rsidR="00E15F15">
        <w:rPr>
          <w:rFonts w:ascii="Calibri" w:eastAsia="Times New Roman" w:hAnsi="Calibri" w:cstheme="minorHAnsi"/>
          <w:lang w:val="en-US"/>
        </w:rPr>
        <w:t xml:space="preserve">critical for EV / stored energy markets </w:t>
      </w:r>
      <w:r w:rsidR="00DF4F21">
        <w:rPr>
          <w:rFonts w:ascii="Calibri" w:eastAsia="Times New Roman" w:hAnsi="Calibri" w:cstheme="minorHAnsi"/>
          <w:lang w:val="en-US"/>
        </w:rPr>
        <w:t xml:space="preserve">in support of </w:t>
      </w:r>
      <w:r w:rsidR="00B36D17">
        <w:rPr>
          <w:rFonts w:ascii="Calibri" w:eastAsia="Times New Roman" w:hAnsi="Calibri" w:cstheme="minorHAnsi"/>
          <w:lang w:val="en-US"/>
        </w:rPr>
        <w:t xml:space="preserve">a preliminary economic assessment </w:t>
      </w:r>
      <w:r w:rsidR="001F4967">
        <w:rPr>
          <w:rFonts w:ascii="Calibri" w:eastAsia="Times New Roman" w:hAnsi="Calibri" w:cstheme="minorHAnsi"/>
          <w:lang w:val="en-US"/>
        </w:rPr>
        <w:t xml:space="preserve">(“PEA”) </w:t>
      </w:r>
      <w:r w:rsidR="001A115D">
        <w:rPr>
          <w:rFonts w:ascii="Calibri" w:eastAsia="Times New Roman" w:hAnsi="Calibri" w:cstheme="minorHAnsi"/>
          <w:lang w:val="en-US"/>
        </w:rPr>
        <w:t xml:space="preserve">which is </w:t>
      </w:r>
      <w:r w:rsidR="00DF4F21">
        <w:rPr>
          <w:rFonts w:ascii="Calibri" w:eastAsia="Times New Roman" w:hAnsi="Calibri" w:cstheme="minorHAnsi"/>
          <w:lang w:val="en-US"/>
        </w:rPr>
        <w:t xml:space="preserve">currently underway. </w:t>
      </w:r>
      <w:r w:rsidR="00E15F15">
        <w:rPr>
          <w:rFonts w:ascii="Calibri" w:eastAsia="Times New Roman" w:hAnsi="Calibri" w:cstheme="minorHAnsi"/>
          <w:lang w:val="en-US"/>
        </w:rPr>
        <w:t xml:space="preserve"> </w:t>
      </w:r>
    </w:p>
    <w:p w14:paraId="0AAE3598" w14:textId="6AD61F94" w:rsidR="008C7689" w:rsidRPr="008C7689" w:rsidRDefault="008C7689" w:rsidP="00321E17">
      <w:pPr>
        <w:widowControl w:val="0"/>
        <w:autoSpaceDE w:val="0"/>
        <w:autoSpaceDN w:val="0"/>
        <w:spacing w:before="120" w:after="0" w:line="240" w:lineRule="auto"/>
        <w:ind w:right="57"/>
        <w:jc w:val="both"/>
        <w:rPr>
          <w:rFonts w:ascii="Calibri" w:eastAsia="Times New Roman" w:hAnsi="Calibri" w:cs="Calibri"/>
          <w:lang w:val="en-US"/>
        </w:rPr>
      </w:pPr>
      <w:r w:rsidRPr="008C7689">
        <w:rPr>
          <w:rFonts w:ascii="Calibri" w:eastAsia="Times New Roman" w:hAnsi="Calibri" w:cs="Calibri"/>
          <w:lang w:val="en-US"/>
        </w:rPr>
        <w:t>“</w:t>
      </w:r>
      <w:r w:rsidR="006E2987" w:rsidRPr="006E2987">
        <w:rPr>
          <w:rFonts w:ascii="Calibri" w:eastAsia="Times New Roman" w:hAnsi="Calibri" w:cs="Calibri"/>
          <w:lang w:val="en-US"/>
        </w:rPr>
        <w:t xml:space="preserve">It’s been a tremendous year overall with a heavy weighting towards lithium within our current portfolio and lithium prices up </w:t>
      </w:r>
      <w:r w:rsidR="00797FE5">
        <w:rPr>
          <w:rFonts w:ascii="Calibri" w:eastAsia="Times New Roman" w:hAnsi="Calibri" w:cs="Calibri"/>
          <w:lang w:val="en-US"/>
        </w:rPr>
        <w:t>substantially</w:t>
      </w:r>
      <w:r w:rsidR="006E2987" w:rsidRPr="006E2987">
        <w:rPr>
          <w:rFonts w:ascii="Calibri" w:eastAsia="Times New Roman" w:hAnsi="Calibri" w:cs="Calibri"/>
          <w:lang w:val="en-US"/>
        </w:rPr>
        <w:t xml:space="preserve"> this year. We</w:t>
      </w:r>
      <w:r w:rsidR="002166CB">
        <w:rPr>
          <w:rFonts w:ascii="Calibri" w:eastAsia="Times New Roman" w:hAnsi="Calibri" w:cs="Calibri"/>
          <w:lang w:val="en-US"/>
        </w:rPr>
        <w:t xml:space="preserve"> anticipate</w:t>
      </w:r>
      <w:r w:rsidR="006E2987" w:rsidRPr="006E2987">
        <w:rPr>
          <w:rFonts w:ascii="Calibri" w:eastAsia="Times New Roman" w:hAnsi="Calibri" w:cs="Calibri"/>
          <w:lang w:val="en-US"/>
        </w:rPr>
        <w:t xml:space="preserve"> major catalysts across </w:t>
      </w:r>
      <w:r w:rsidR="002166CB">
        <w:rPr>
          <w:rFonts w:ascii="Calibri" w:eastAsia="Times New Roman" w:hAnsi="Calibri" w:cs="Calibri"/>
          <w:lang w:val="en-US"/>
        </w:rPr>
        <w:t xml:space="preserve">most </w:t>
      </w:r>
      <w:r w:rsidR="006E2987" w:rsidRPr="006E2987">
        <w:rPr>
          <w:rFonts w:ascii="Calibri" w:eastAsia="Times New Roman" w:hAnsi="Calibri" w:cs="Calibri"/>
          <w:lang w:val="en-US"/>
        </w:rPr>
        <w:t xml:space="preserve">of our portfolio in 2022 so despite the </w:t>
      </w:r>
      <w:r w:rsidR="00B36D17">
        <w:rPr>
          <w:rFonts w:ascii="Calibri" w:eastAsia="Times New Roman" w:hAnsi="Calibri" w:cs="Calibri"/>
          <w:lang w:val="en-US"/>
        </w:rPr>
        <w:t>robust asset advancement</w:t>
      </w:r>
      <w:r w:rsidR="006E2987" w:rsidRPr="006E2987">
        <w:rPr>
          <w:rFonts w:ascii="Calibri" w:eastAsia="Times New Roman" w:hAnsi="Calibri" w:cs="Calibri"/>
          <w:lang w:val="en-US"/>
        </w:rPr>
        <w:t xml:space="preserve"> we’ve seen in 2021</w:t>
      </w:r>
      <w:r w:rsidR="002166CB">
        <w:rPr>
          <w:rFonts w:ascii="Calibri" w:eastAsia="Times New Roman" w:hAnsi="Calibri" w:cs="Calibri"/>
          <w:lang w:val="en-US"/>
        </w:rPr>
        <w:t>,</w:t>
      </w:r>
      <w:r w:rsidR="006E2987" w:rsidRPr="006E2987">
        <w:rPr>
          <w:rFonts w:ascii="Calibri" w:eastAsia="Times New Roman" w:hAnsi="Calibri" w:cs="Calibri"/>
          <w:lang w:val="en-US"/>
        </w:rPr>
        <w:t xml:space="preserve"> we’re expecting 2022 to be even more exciting</w:t>
      </w:r>
      <w:r w:rsidR="006E2987">
        <w:rPr>
          <w:rFonts w:ascii="Calibri" w:eastAsia="Times New Roman" w:hAnsi="Calibri" w:cs="Calibri"/>
          <w:lang w:val="en-US"/>
        </w:rPr>
        <w:t xml:space="preserve">. </w:t>
      </w:r>
      <w:r w:rsidR="00BC6DB7">
        <w:rPr>
          <w:rFonts w:ascii="Calibri" w:eastAsia="Times New Roman" w:hAnsi="Calibri" w:cs="Calibri"/>
          <w:lang w:val="en-US"/>
        </w:rPr>
        <w:t xml:space="preserve">Since September, operators of the </w:t>
      </w:r>
      <w:r w:rsidR="00557177">
        <w:rPr>
          <w:rFonts w:ascii="Calibri" w:eastAsia="Times New Roman" w:hAnsi="Calibri" w:cs="Calibri"/>
          <w:lang w:val="en-US"/>
        </w:rPr>
        <w:t xml:space="preserve">projects </w:t>
      </w:r>
      <w:r w:rsidR="001F4967" w:rsidRPr="00065F5B">
        <w:rPr>
          <w:rFonts w:ascii="Calibri" w:eastAsia="Times New Roman" w:hAnsi="Calibri" w:cs="Calibri"/>
          <w:lang w:val="en-US"/>
        </w:rPr>
        <w:t xml:space="preserve">on which </w:t>
      </w:r>
      <w:r w:rsidR="00BC6DB7" w:rsidRPr="00065F5B">
        <w:rPr>
          <w:rFonts w:ascii="Calibri" w:eastAsia="Times New Roman" w:hAnsi="Calibri" w:cs="Calibri"/>
          <w:lang w:val="en-US"/>
        </w:rPr>
        <w:t>we hold royalties</w:t>
      </w:r>
      <w:r w:rsidR="00BC6DB7">
        <w:rPr>
          <w:rFonts w:ascii="Calibri" w:eastAsia="Times New Roman" w:hAnsi="Calibri" w:cs="Calibri"/>
          <w:lang w:val="en-US"/>
        </w:rPr>
        <w:t xml:space="preserve"> have raised over $40 million </w:t>
      </w:r>
      <w:r w:rsidR="00557177">
        <w:rPr>
          <w:rFonts w:ascii="Calibri" w:eastAsia="Times New Roman" w:hAnsi="Calibri" w:cs="Calibri"/>
          <w:lang w:val="en-US"/>
        </w:rPr>
        <w:t>for the advancement of</w:t>
      </w:r>
      <w:r w:rsidR="00BC6DB7">
        <w:rPr>
          <w:rFonts w:ascii="Calibri" w:eastAsia="Times New Roman" w:hAnsi="Calibri" w:cs="Calibri"/>
          <w:lang w:val="en-US"/>
        </w:rPr>
        <w:t xml:space="preserve"> those assets</w:t>
      </w:r>
      <w:r w:rsidR="00557177">
        <w:rPr>
          <w:rFonts w:ascii="Calibri" w:eastAsia="Times New Roman" w:hAnsi="Calibri" w:cs="Calibri"/>
          <w:lang w:val="en-US"/>
        </w:rPr>
        <w:t>, all occurring</w:t>
      </w:r>
      <w:r w:rsidR="00BC6DB7">
        <w:rPr>
          <w:rFonts w:ascii="Calibri" w:eastAsia="Times New Roman" w:hAnsi="Calibri" w:cs="Calibri"/>
          <w:lang w:val="en-US"/>
        </w:rPr>
        <w:t xml:space="preserve"> at no cost or dilution to Electric Royalties. </w:t>
      </w:r>
      <w:r w:rsidR="006E2987">
        <w:rPr>
          <w:rFonts w:ascii="Calibri" w:eastAsia="Times New Roman" w:hAnsi="Calibri" w:cs="Calibri"/>
          <w:lang w:val="en-US"/>
        </w:rPr>
        <w:t>From well</w:t>
      </w:r>
      <w:r w:rsidR="00BC6DB7">
        <w:rPr>
          <w:rFonts w:ascii="Calibri" w:eastAsia="Times New Roman" w:hAnsi="Calibri" w:cs="Calibri"/>
          <w:lang w:val="en-US"/>
        </w:rPr>
        <w:t>-</w:t>
      </w:r>
      <w:r w:rsidR="006E2987">
        <w:rPr>
          <w:rFonts w:ascii="Calibri" w:eastAsia="Times New Roman" w:hAnsi="Calibri" w:cs="Calibri"/>
          <w:lang w:val="en-US"/>
        </w:rPr>
        <w:t xml:space="preserve">funded development plans for </w:t>
      </w:r>
      <w:r w:rsidR="00B36D17">
        <w:rPr>
          <w:rFonts w:ascii="Calibri" w:eastAsia="Times New Roman" w:hAnsi="Calibri" w:cs="Calibri"/>
          <w:lang w:val="en-US"/>
        </w:rPr>
        <w:t xml:space="preserve">the </w:t>
      </w:r>
      <w:proofErr w:type="spellStart"/>
      <w:r w:rsidR="006E2987">
        <w:rPr>
          <w:rFonts w:ascii="Calibri" w:eastAsia="Times New Roman" w:hAnsi="Calibri" w:cs="Calibri"/>
          <w:lang w:val="en-US"/>
        </w:rPr>
        <w:t>Cancet</w:t>
      </w:r>
      <w:proofErr w:type="spellEnd"/>
      <w:r w:rsidR="006E2987">
        <w:rPr>
          <w:rFonts w:ascii="Calibri" w:eastAsia="Times New Roman" w:hAnsi="Calibri" w:cs="Calibri"/>
          <w:lang w:val="en-US"/>
        </w:rPr>
        <w:t xml:space="preserve"> and Seymour Lake</w:t>
      </w:r>
      <w:r w:rsidR="00B36D17">
        <w:rPr>
          <w:rFonts w:ascii="Calibri" w:eastAsia="Times New Roman" w:hAnsi="Calibri" w:cs="Calibri"/>
          <w:lang w:val="en-US"/>
        </w:rPr>
        <w:t xml:space="preserve"> projects</w:t>
      </w:r>
      <w:r w:rsidR="006E2987">
        <w:rPr>
          <w:rFonts w:ascii="Calibri" w:eastAsia="Times New Roman" w:hAnsi="Calibri" w:cs="Calibri"/>
          <w:lang w:val="en-US"/>
        </w:rPr>
        <w:t>, to upcoming economic</w:t>
      </w:r>
      <w:r w:rsidR="00317F49">
        <w:rPr>
          <w:rFonts w:ascii="Calibri" w:eastAsia="Times New Roman" w:hAnsi="Calibri" w:cs="Calibri"/>
          <w:lang w:val="en-US"/>
        </w:rPr>
        <w:t xml:space="preserve"> </w:t>
      </w:r>
      <w:r w:rsidR="006E2987">
        <w:rPr>
          <w:rFonts w:ascii="Calibri" w:eastAsia="Times New Roman" w:hAnsi="Calibri" w:cs="Calibri"/>
          <w:lang w:val="en-US"/>
        </w:rPr>
        <w:t>s</w:t>
      </w:r>
      <w:r w:rsidR="00317F49">
        <w:rPr>
          <w:rFonts w:ascii="Calibri" w:eastAsia="Times New Roman" w:hAnsi="Calibri" w:cs="Calibri"/>
          <w:lang w:val="en-US"/>
        </w:rPr>
        <w:t>tudies</w:t>
      </w:r>
      <w:r w:rsidR="006E2987">
        <w:rPr>
          <w:rFonts w:ascii="Calibri" w:eastAsia="Times New Roman" w:hAnsi="Calibri" w:cs="Calibri"/>
          <w:lang w:val="en-US"/>
        </w:rPr>
        <w:t xml:space="preserve"> at Battery Hill, </w:t>
      </w:r>
      <w:r w:rsidR="000E5AEE">
        <w:rPr>
          <w:rFonts w:ascii="Calibri" w:eastAsia="Times New Roman" w:hAnsi="Calibri" w:cs="Calibri"/>
          <w:lang w:val="en-US"/>
        </w:rPr>
        <w:t>to</w:t>
      </w:r>
      <w:r w:rsidR="00317F49">
        <w:rPr>
          <w:rFonts w:ascii="Calibri" w:eastAsia="Times New Roman" w:hAnsi="Calibri" w:cs="Calibri"/>
          <w:lang w:val="en-US"/>
        </w:rPr>
        <w:t xml:space="preserve"> </w:t>
      </w:r>
      <w:r w:rsidR="000E5AEE">
        <w:rPr>
          <w:rFonts w:ascii="Calibri" w:eastAsia="Times New Roman" w:hAnsi="Calibri" w:cs="Calibri"/>
          <w:lang w:val="en-US"/>
        </w:rPr>
        <w:t xml:space="preserve">the </w:t>
      </w:r>
      <w:r w:rsidR="006E2987">
        <w:rPr>
          <w:rFonts w:ascii="Calibri" w:eastAsia="Times New Roman" w:hAnsi="Calibri" w:cs="Calibri"/>
          <w:lang w:val="en-US"/>
        </w:rPr>
        <w:t xml:space="preserve">progress on </w:t>
      </w:r>
      <w:r w:rsidR="000E5AEE">
        <w:rPr>
          <w:rFonts w:ascii="Calibri" w:eastAsia="Times New Roman" w:hAnsi="Calibri" w:cs="Calibri"/>
          <w:lang w:val="en-US"/>
        </w:rPr>
        <w:t xml:space="preserve">moving </w:t>
      </w:r>
      <w:proofErr w:type="spellStart"/>
      <w:r w:rsidR="006E2987">
        <w:rPr>
          <w:rFonts w:ascii="Calibri" w:eastAsia="Times New Roman" w:hAnsi="Calibri" w:cs="Calibri"/>
          <w:lang w:val="en-US"/>
        </w:rPr>
        <w:t>Authier</w:t>
      </w:r>
      <w:proofErr w:type="spellEnd"/>
      <w:r w:rsidR="006E2987">
        <w:rPr>
          <w:rFonts w:ascii="Calibri" w:eastAsia="Times New Roman" w:hAnsi="Calibri" w:cs="Calibri"/>
          <w:lang w:val="en-US"/>
        </w:rPr>
        <w:t xml:space="preserve"> and </w:t>
      </w:r>
      <w:proofErr w:type="spellStart"/>
      <w:r w:rsidR="006E2987">
        <w:rPr>
          <w:rFonts w:ascii="Calibri" w:eastAsia="Times New Roman" w:hAnsi="Calibri" w:cs="Calibri"/>
          <w:lang w:val="en-US"/>
        </w:rPr>
        <w:t>Graphmada</w:t>
      </w:r>
      <w:proofErr w:type="spellEnd"/>
      <w:r w:rsidR="006E2987">
        <w:rPr>
          <w:rFonts w:ascii="Calibri" w:eastAsia="Times New Roman" w:hAnsi="Calibri" w:cs="Calibri"/>
          <w:lang w:val="en-US"/>
        </w:rPr>
        <w:t xml:space="preserve"> </w:t>
      </w:r>
      <w:r w:rsidR="002166CB">
        <w:rPr>
          <w:rFonts w:ascii="Calibri" w:eastAsia="Times New Roman" w:hAnsi="Calibri" w:cs="Calibri"/>
          <w:lang w:val="en-US"/>
        </w:rPr>
        <w:t>toward</w:t>
      </w:r>
      <w:r w:rsidR="006E2987">
        <w:rPr>
          <w:rFonts w:ascii="Calibri" w:eastAsia="Times New Roman" w:hAnsi="Calibri" w:cs="Calibri"/>
          <w:lang w:val="en-US"/>
        </w:rPr>
        <w:t xml:space="preserve"> production, 2022 is shaping up to be a transformational year</w:t>
      </w:r>
      <w:r w:rsidRPr="008C7689">
        <w:rPr>
          <w:rFonts w:ascii="Calibri" w:eastAsia="Times New Roman" w:hAnsi="Calibri" w:cs="Calibri"/>
          <w:lang w:val="en-US"/>
        </w:rPr>
        <w:t>.”</w:t>
      </w:r>
    </w:p>
    <w:p w14:paraId="0E37E01C" w14:textId="4DD841E5" w:rsidR="00316CF2" w:rsidRDefault="00890A0D" w:rsidP="00541702">
      <w:pPr>
        <w:keepNext/>
        <w:spacing w:before="240" w:after="0" w:line="240" w:lineRule="auto"/>
        <w:rPr>
          <w:rFonts w:cstheme="minorHAnsi"/>
          <w:b/>
        </w:rPr>
      </w:pPr>
      <w:proofErr w:type="spellStart"/>
      <w:r w:rsidRPr="00916291">
        <w:rPr>
          <w:rFonts w:cstheme="minorHAnsi"/>
          <w:b/>
        </w:rPr>
        <w:lastRenderedPageBreak/>
        <w:t>Authier</w:t>
      </w:r>
      <w:proofErr w:type="spellEnd"/>
      <w:r w:rsidRPr="00916291">
        <w:rPr>
          <w:rFonts w:cstheme="minorHAnsi"/>
          <w:b/>
        </w:rPr>
        <w:t xml:space="preserve"> Lithium </w:t>
      </w:r>
      <w:r w:rsidR="00916291" w:rsidRPr="00916291">
        <w:rPr>
          <w:rFonts w:cstheme="minorHAnsi"/>
          <w:b/>
        </w:rPr>
        <w:t>Royalty</w:t>
      </w:r>
      <w:r w:rsidR="00E83EE1">
        <w:rPr>
          <w:rFonts w:cstheme="minorHAnsi"/>
          <w:b/>
        </w:rPr>
        <w:t xml:space="preserve"> – 0.5% </w:t>
      </w:r>
      <w:r w:rsidR="00973201">
        <w:rPr>
          <w:rFonts w:cstheme="minorHAnsi"/>
          <w:b/>
        </w:rPr>
        <w:t xml:space="preserve">of </w:t>
      </w:r>
      <w:r w:rsidR="00E83EE1">
        <w:rPr>
          <w:rFonts w:cstheme="minorHAnsi"/>
          <w:b/>
        </w:rPr>
        <w:t>Gross Revenue</w:t>
      </w:r>
      <w:r w:rsidR="00916291" w:rsidRPr="00916291">
        <w:rPr>
          <w:rFonts w:cstheme="minorHAnsi"/>
          <w:b/>
        </w:rPr>
        <w:t xml:space="preserve"> </w:t>
      </w:r>
    </w:p>
    <w:p w14:paraId="6462ECA2" w14:textId="0A4525A1" w:rsidR="004314A7" w:rsidRDefault="00890A0D" w:rsidP="001D664D">
      <w:pPr>
        <w:keepNext/>
        <w:spacing w:after="120" w:line="240" w:lineRule="auto"/>
        <w:jc w:val="both"/>
      </w:pPr>
      <w:proofErr w:type="spellStart"/>
      <w:r w:rsidRPr="00207C96">
        <w:t>Sayona</w:t>
      </w:r>
      <w:proofErr w:type="spellEnd"/>
      <w:r w:rsidRPr="00207C96">
        <w:t> Mining Limited (“</w:t>
      </w:r>
      <w:proofErr w:type="spellStart"/>
      <w:r w:rsidRPr="00207C96">
        <w:t>Sayona</w:t>
      </w:r>
      <w:proofErr w:type="spellEnd"/>
      <w:r w:rsidRPr="00207C96">
        <w:t xml:space="preserve">”) </w:t>
      </w:r>
      <w:r w:rsidR="00F44634">
        <w:t>(ASX:</w:t>
      </w:r>
      <w:r w:rsidR="00701C76">
        <w:t xml:space="preserve"> SAY</w:t>
      </w:r>
      <w:r w:rsidR="00F44634">
        <w:t xml:space="preserve">) </w:t>
      </w:r>
      <w:r w:rsidR="001D664D">
        <w:t xml:space="preserve">announced as part of its quarterly update that the integration of NAL with </w:t>
      </w:r>
      <w:proofErr w:type="spellStart"/>
      <w:r w:rsidR="001D664D">
        <w:t>Authier</w:t>
      </w:r>
      <w:proofErr w:type="spellEnd"/>
      <w:r w:rsidR="001D664D">
        <w:t xml:space="preserve"> will transform both operations and create a world‐scale </w:t>
      </w:r>
      <w:r w:rsidR="00904B2D">
        <w:t xml:space="preserve">Quebec based </w:t>
      </w:r>
      <w:r w:rsidR="001D664D">
        <w:t xml:space="preserve">lithium hub. </w:t>
      </w:r>
      <w:r w:rsidR="00FF4DD4">
        <w:t xml:space="preserve"> </w:t>
      </w:r>
      <w:proofErr w:type="spellStart"/>
      <w:r w:rsidR="00321E17">
        <w:t>Sayona</w:t>
      </w:r>
      <w:proofErr w:type="spellEnd"/>
      <w:r w:rsidR="004F2AD1">
        <w:t xml:space="preserve"> stated that they are targeting production of concentrate from 2023 (see </w:t>
      </w:r>
      <w:proofErr w:type="spellStart"/>
      <w:r w:rsidR="0087739C" w:rsidRPr="0087739C">
        <w:t>Sayona</w:t>
      </w:r>
      <w:proofErr w:type="spellEnd"/>
      <w:r w:rsidR="0087739C" w:rsidRPr="0087739C">
        <w:t xml:space="preserve"> </w:t>
      </w:r>
      <w:r w:rsidR="004F2AD1">
        <w:t xml:space="preserve">news release dated August 30, 2021).  </w:t>
      </w:r>
      <w:proofErr w:type="spellStart"/>
      <w:r w:rsidR="00FF4DD4">
        <w:t>Sayona</w:t>
      </w:r>
      <w:proofErr w:type="spellEnd"/>
      <w:r w:rsidR="001D664D">
        <w:t xml:space="preserve"> will also advance plans for downstream processing</w:t>
      </w:r>
      <w:r w:rsidR="00FF4DD4">
        <w:t xml:space="preserve"> in Quebec by taking</w:t>
      </w:r>
      <w:r w:rsidR="001D664D">
        <w:t xml:space="preserve"> advantage of</w:t>
      </w:r>
      <w:r w:rsidR="00FF4DD4">
        <w:t xml:space="preserve"> the </w:t>
      </w:r>
      <w:proofErr w:type="gramStart"/>
      <w:r w:rsidR="00FF4DD4">
        <w:t>province</w:t>
      </w:r>
      <w:r w:rsidR="00F93641">
        <w:t>’</w:t>
      </w:r>
      <w:r w:rsidR="00FF4DD4">
        <w:t>s</w:t>
      </w:r>
      <w:proofErr w:type="gramEnd"/>
      <w:r w:rsidR="00FF4DD4">
        <w:t xml:space="preserve"> </w:t>
      </w:r>
      <w:r w:rsidR="001D664D">
        <w:t xml:space="preserve">environmental and economic </w:t>
      </w:r>
      <w:r w:rsidR="00904B2D">
        <w:t xml:space="preserve">benefits which </w:t>
      </w:r>
      <w:r w:rsidR="001D664D">
        <w:t>includ</w:t>
      </w:r>
      <w:r w:rsidR="00904B2D">
        <w:t>e</w:t>
      </w:r>
      <w:r w:rsidR="001D664D">
        <w:t xml:space="preserve"> low cost, renewable hydropower, an established mining services industry and proximity to the North American battery market</w:t>
      </w:r>
      <w:r w:rsidR="004314A7">
        <w:t xml:space="preserve"> (see </w:t>
      </w:r>
      <w:proofErr w:type="spellStart"/>
      <w:r w:rsidR="0087739C">
        <w:t>Sayona</w:t>
      </w:r>
      <w:proofErr w:type="spellEnd"/>
      <w:r w:rsidR="0087739C">
        <w:t xml:space="preserve"> </w:t>
      </w:r>
      <w:r w:rsidR="004314A7">
        <w:t>news release dated October 29, 2021)</w:t>
      </w:r>
      <w:r w:rsidR="001D664D">
        <w:t xml:space="preserve">. </w:t>
      </w:r>
    </w:p>
    <w:p w14:paraId="49328AB4" w14:textId="09C76717" w:rsidR="004314A7" w:rsidRPr="00065F5B" w:rsidRDefault="004314A7" w:rsidP="00321E17">
      <w:pPr>
        <w:keepNext/>
        <w:spacing w:after="0" w:line="240" w:lineRule="auto"/>
        <w:jc w:val="both"/>
      </w:pPr>
      <w:r>
        <w:t xml:space="preserve">In </w:t>
      </w:r>
      <w:r w:rsidRPr="00065F5B">
        <w:t xml:space="preserve">addition, </w:t>
      </w:r>
      <w:proofErr w:type="spellStart"/>
      <w:r w:rsidRPr="00065F5B">
        <w:t>Sayona</w:t>
      </w:r>
      <w:proofErr w:type="spellEnd"/>
      <w:r w:rsidRPr="00065F5B">
        <w:t xml:space="preserve"> released drilling results at the </w:t>
      </w:r>
      <w:proofErr w:type="spellStart"/>
      <w:r w:rsidRPr="00065F5B">
        <w:t>Authier</w:t>
      </w:r>
      <w:proofErr w:type="spellEnd"/>
      <w:r w:rsidRPr="00065F5B">
        <w:t xml:space="preserve"> project as part of a program to increase the confidence and quality of the lithium </w:t>
      </w:r>
      <w:r w:rsidR="007017D3" w:rsidRPr="00065F5B">
        <w:t>mineralisation</w:t>
      </w:r>
      <w:r w:rsidRPr="00065F5B">
        <w:t xml:space="preserve"> at the project (see </w:t>
      </w:r>
      <w:proofErr w:type="spellStart"/>
      <w:r w:rsidR="0087739C" w:rsidRPr="00065F5B">
        <w:t>Sayona</w:t>
      </w:r>
      <w:proofErr w:type="spellEnd"/>
      <w:r w:rsidR="0087739C" w:rsidRPr="00065F5B">
        <w:t xml:space="preserve"> </w:t>
      </w:r>
      <w:r w:rsidRPr="00065F5B">
        <w:t xml:space="preserve">news release dated December 1, 2021). </w:t>
      </w:r>
    </w:p>
    <w:p w14:paraId="65539D11" w14:textId="15A6F016" w:rsidR="004314A7" w:rsidRPr="00065F5B" w:rsidRDefault="004314A7" w:rsidP="00321E17">
      <w:pPr>
        <w:pStyle w:val="ListParagraph"/>
        <w:keepNext/>
        <w:numPr>
          <w:ilvl w:val="0"/>
          <w:numId w:val="12"/>
        </w:numPr>
        <w:spacing w:after="120" w:line="240" w:lineRule="auto"/>
        <w:jc w:val="both"/>
      </w:pPr>
      <w:r w:rsidRPr="00065F5B">
        <w:t>A 25‐hole, 3,908</w:t>
      </w:r>
      <w:r w:rsidR="002166CB" w:rsidRPr="00065F5B">
        <w:t xml:space="preserve"> </w:t>
      </w:r>
      <w:r w:rsidRPr="00065F5B">
        <w:t>m</w:t>
      </w:r>
      <w:r w:rsidR="002166CB" w:rsidRPr="00065F5B">
        <w:t>eter</w:t>
      </w:r>
      <w:r w:rsidRPr="00065F5B">
        <w:t xml:space="preserve"> diamond drill program was undertaken with the results of the first 22 holes received. Drilling was conducted by Les Forages </w:t>
      </w:r>
      <w:proofErr w:type="spellStart"/>
      <w:r w:rsidRPr="00065F5B">
        <w:t>Pikogan</w:t>
      </w:r>
      <w:proofErr w:type="spellEnd"/>
      <w:r w:rsidRPr="00065F5B">
        <w:t xml:space="preserve">, </w:t>
      </w:r>
      <w:r w:rsidR="0008460A" w:rsidRPr="00065F5B">
        <w:t xml:space="preserve">a company owned by the local First Nations community, </w:t>
      </w:r>
      <w:r w:rsidRPr="00065F5B">
        <w:t xml:space="preserve">demonstrating </w:t>
      </w:r>
      <w:proofErr w:type="spellStart"/>
      <w:r w:rsidRPr="00065F5B">
        <w:t>Sayona’s</w:t>
      </w:r>
      <w:proofErr w:type="spellEnd"/>
      <w:r w:rsidRPr="00065F5B">
        <w:t xml:space="preserve"> commitment to the First Nations community.</w:t>
      </w:r>
    </w:p>
    <w:p w14:paraId="2585A18D" w14:textId="448FC506" w:rsidR="004314A7" w:rsidRPr="00065F5B" w:rsidRDefault="004314A7" w:rsidP="004314A7">
      <w:pPr>
        <w:pStyle w:val="ListParagraph"/>
        <w:keepNext/>
        <w:numPr>
          <w:ilvl w:val="0"/>
          <w:numId w:val="12"/>
        </w:numPr>
        <w:spacing w:after="120" w:line="240" w:lineRule="auto"/>
        <w:jc w:val="both"/>
      </w:pPr>
      <w:r w:rsidRPr="00065F5B">
        <w:t>Drill</w:t>
      </w:r>
      <w:r w:rsidR="0087739C" w:rsidRPr="00065F5B">
        <w:t xml:space="preserve"> </w:t>
      </w:r>
      <w:proofErr w:type="gramStart"/>
      <w:r w:rsidRPr="00065F5B">
        <w:t>hole</w:t>
      </w:r>
      <w:proofErr w:type="gramEnd"/>
      <w:r w:rsidRPr="00065F5B">
        <w:t xml:space="preserve"> AL‐21‐14, located 2</w:t>
      </w:r>
      <w:r w:rsidR="007017D3" w:rsidRPr="00065F5B">
        <w:t>50</w:t>
      </w:r>
      <w:r w:rsidR="002166CB" w:rsidRPr="00065F5B">
        <w:t xml:space="preserve"> </w:t>
      </w:r>
      <w:r w:rsidR="007017D3" w:rsidRPr="00065F5B">
        <w:t>m</w:t>
      </w:r>
      <w:r w:rsidR="002166CB" w:rsidRPr="00065F5B">
        <w:t>eters</w:t>
      </w:r>
      <w:r w:rsidR="007017D3" w:rsidRPr="00065F5B">
        <w:t xml:space="preserve"> west of the </w:t>
      </w:r>
      <w:proofErr w:type="spellStart"/>
      <w:r w:rsidR="007017D3" w:rsidRPr="00065F5B">
        <w:t>Authier</w:t>
      </w:r>
      <w:proofErr w:type="spellEnd"/>
      <w:r w:rsidR="007017D3" w:rsidRPr="00065F5B">
        <w:t xml:space="preserve"> deposit</w:t>
      </w:r>
      <w:r w:rsidRPr="00065F5B">
        <w:t xml:space="preserve"> and potential open pit, returned </w:t>
      </w:r>
      <w:proofErr w:type="spellStart"/>
      <w:r w:rsidRPr="00065F5B">
        <w:t>spodumene</w:t>
      </w:r>
      <w:proofErr w:type="spellEnd"/>
      <w:r w:rsidRPr="00065F5B">
        <w:t xml:space="preserve"> </w:t>
      </w:r>
      <w:proofErr w:type="spellStart"/>
      <w:r w:rsidRPr="00065F5B">
        <w:t>pegmatites</w:t>
      </w:r>
      <w:proofErr w:type="spellEnd"/>
      <w:r w:rsidRPr="00065F5B">
        <w:t xml:space="preserve"> assaying 9</w:t>
      </w:r>
      <w:r w:rsidR="002166CB" w:rsidRPr="00065F5B">
        <w:t xml:space="preserve"> </w:t>
      </w:r>
      <w:r w:rsidRPr="00065F5B">
        <w:t>m</w:t>
      </w:r>
      <w:r w:rsidR="002166CB" w:rsidRPr="00065F5B">
        <w:t>eters</w:t>
      </w:r>
      <w:r w:rsidRPr="00065F5B">
        <w:t xml:space="preserve"> @ 1.46% Li</w:t>
      </w:r>
      <w:r w:rsidRPr="00321E17">
        <w:rPr>
          <w:vertAlign w:val="subscript"/>
        </w:rPr>
        <w:t>2</w:t>
      </w:r>
      <w:r w:rsidRPr="00065F5B">
        <w:t>O from 144.9</w:t>
      </w:r>
      <w:r w:rsidR="002166CB" w:rsidRPr="00065F5B">
        <w:t xml:space="preserve"> </w:t>
      </w:r>
      <w:r w:rsidRPr="00065F5B">
        <w:t>m</w:t>
      </w:r>
      <w:r w:rsidR="002166CB" w:rsidRPr="00065F5B">
        <w:t>eters</w:t>
      </w:r>
      <w:r w:rsidRPr="00065F5B">
        <w:t xml:space="preserve"> depth. Three additional holes have been completed to infill this new area of mineralisation, with assay results pending.</w:t>
      </w:r>
    </w:p>
    <w:p w14:paraId="7CBD7D24" w14:textId="1451F7C3" w:rsidR="00890A0D" w:rsidRPr="00065F5B" w:rsidRDefault="004314A7" w:rsidP="00B41695">
      <w:pPr>
        <w:pStyle w:val="ListParagraph"/>
        <w:keepNext/>
        <w:numPr>
          <w:ilvl w:val="0"/>
          <w:numId w:val="12"/>
        </w:numPr>
        <w:spacing w:after="0" w:line="240" w:lineRule="auto"/>
        <w:ind w:left="714" w:hanging="357"/>
        <w:jc w:val="both"/>
      </w:pPr>
      <w:r w:rsidRPr="00065F5B">
        <w:t xml:space="preserve">Follow up drilling at </w:t>
      </w:r>
      <w:proofErr w:type="spellStart"/>
      <w:r w:rsidRPr="00065F5B">
        <w:t>Authier</w:t>
      </w:r>
      <w:proofErr w:type="spellEnd"/>
      <w:r w:rsidRPr="00065F5B">
        <w:t xml:space="preserve"> will be planned after the receipt of assay results, with priority work including updated resource estimates, updated definitive feasibility study and integration of the new data with </w:t>
      </w:r>
      <w:proofErr w:type="spellStart"/>
      <w:r w:rsidRPr="00065F5B">
        <w:t>Sayona’s</w:t>
      </w:r>
      <w:proofErr w:type="spellEnd"/>
      <w:r w:rsidRPr="00065F5B">
        <w:t xml:space="preserve"> Abitibi lithium hub. </w:t>
      </w:r>
    </w:p>
    <w:p w14:paraId="7E313A0C" w14:textId="77777777" w:rsidR="00931F81" w:rsidRPr="004D0A8A" w:rsidRDefault="00931F81" w:rsidP="00B41695">
      <w:pPr>
        <w:spacing w:before="240" w:after="0" w:line="240" w:lineRule="auto"/>
        <w:jc w:val="both"/>
        <w:rPr>
          <w:b/>
          <w:bCs/>
        </w:rPr>
      </w:pPr>
      <w:proofErr w:type="spellStart"/>
      <w:r w:rsidRPr="00065F5B">
        <w:rPr>
          <w:b/>
          <w:bCs/>
        </w:rPr>
        <w:t>Graphmada</w:t>
      </w:r>
      <w:proofErr w:type="spellEnd"/>
      <w:r w:rsidRPr="004D0A8A">
        <w:rPr>
          <w:b/>
          <w:bCs/>
        </w:rPr>
        <w:t xml:space="preserve"> Graphite Royalty – 2.5% of Gross Concentrate Revenue</w:t>
      </w:r>
    </w:p>
    <w:p w14:paraId="418CE90D" w14:textId="7912D320" w:rsidR="00931F81" w:rsidRDefault="00931F81" w:rsidP="00321E17">
      <w:pPr>
        <w:spacing w:after="0" w:line="240" w:lineRule="auto"/>
        <w:jc w:val="both"/>
      </w:pPr>
      <w:proofErr w:type="spellStart"/>
      <w:r>
        <w:t>Greenwing</w:t>
      </w:r>
      <w:proofErr w:type="spellEnd"/>
      <w:r>
        <w:t xml:space="preserve"> Resources </w:t>
      </w:r>
      <w:r w:rsidR="0087739C" w:rsidRPr="0087739C">
        <w:t>(“</w:t>
      </w:r>
      <w:proofErr w:type="spellStart"/>
      <w:r w:rsidR="0087739C" w:rsidRPr="0087739C">
        <w:t>Greenwing</w:t>
      </w:r>
      <w:proofErr w:type="spellEnd"/>
      <w:r w:rsidR="0087739C" w:rsidRPr="0087739C">
        <w:t xml:space="preserve">”) </w:t>
      </w:r>
      <w:r>
        <w:t>(ASX: WR1)</w:t>
      </w:r>
      <w:r w:rsidR="0033366D">
        <w:t xml:space="preserve"> announced an </w:t>
      </w:r>
      <w:r w:rsidR="001D0DC1">
        <w:t>increase in the deposit size at it</w:t>
      </w:r>
      <w:r w:rsidR="0033366D">
        <w:t xml:space="preserve">s wholly owned </w:t>
      </w:r>
      <w:proofErr w:type="spellStart"/>
      <w:r w:rsidR="0033366D">
        <w:t>Graphmada</w:t>
      </w:r>
      <w:proofErr w:type="spellEnd"/>
      <w:r w:rsidR="0033366D">
        <w:t xml:space="preserve"> Mining Complex in Madagascar (see </w:t>
      </w:r>
      <w:proofErr w:type="spellStart"/>
      <w:r w:rsidR="0087739C">
        <w:t>Greenwing</w:t>
      </w:r>
      <w:proofErr w:type="spellEnd"/>
      <w:r w:rsidR="0087739C">
        <w:t xml:space="preserve"> </w:t>
      </w:r>
      <w:r w:rsidR="0033366D">
        <w:t>news release dated November 19, 2021).</w:t>
      </w:r>
    </w:p>
    <w:p w14:paraId="0DD3845F" w14:textId="623A6856" w:rsidR="0033366D" w:rsidRDefault="0033366D" w:rsidP="0033366D">
      <w:pPr>
        <w:pStyle w:val="ListParagraph"/>
        <w:numPr>
          <w:ilvl w:val="0"/>
          <w:numId w:val="10"/>
        </w:numPr>
        <w:spacing w:after="0" w:line="240" w:lineRule="auto"/>
        <w:jc w:val="both"/>
      </w:pPr>
      <w:r>
        <w:t xml:space="preserve">An augur program of 180 holes (2,042 meters) at the </w:t>
      </w:r>
      <w:proofErr w:type="spellStart"/>
      <w:r>
        <w:t>Ambatofafana</w:t>
      </w:r>
      <w:proofErr w:type="spellEnd"/>
      <w:r>
        <w:t xml:space="preserve"> Zone has </w:t>
      </w:r>
      <w:r w:rsidR="009E7162">
        <w:t>extended</w:t>
      </w:r>
      <w:r>
        <w:t xml:space="preserve"> the strike of the </w:t>
      </w:r>
      <w:proofErr w:type="spellStart"/>
      <w:r>
        <w:t>Graphmada</w:t>
      </w:r>
      <w:proofErr w:type="spellEnd"/>
      <w:r>
        <w:t xml:space="preserve"> </w:t>
      </w:r>
      <w:r w:rsidR="001D0DC1">
        <w:t>deposit</w:t>
      </w:r>
      <w:r>
        <w:t xml:space="preserve"> to the southern end of the mining leases. </w:t>
      </w:r>
    </w:p>
    <w:p w14:paraId="6622F225" w14:textId="5E1BA20F" w:rsidR="00A47078" w:rsidRDefault="0033366D">
      <w:pPr>
        <w:pStyle w:val="ListParagraph"/>
        <w:numPr>
          <w:ilvl w:val="0"/>
          <w:numId w:val="10"/>
        </w:numPr>
        <w:spacing w:after="0" w:line="240" w:lineRule="auto"/>
        <w:jc w:val="both"/>
      </w:pPr>
      <w:r>
        <w:t xml:space="preserve">A 3,000 meter diamond drilling program will commence this month with the aim to further increase the </w:t>
      </w:r>
      <w:r w:rsidR="001D0DC1">
        <w:t xml:space="preserve">extent of the known mineralisation at </w:t>
      </w:r>
      <w:r w:rsidR="00E320B6">
        <w:t>the project</w:t>
      </w:r>
      <w:r>
        <w:t xml:space="preserve">. </w:t>
      </w:r>
    </w:p>
    <w:p w14:paraId="4E396E4F" w14:textId="369459B7" w:rsidR="00931F81" w:rsidRPr="0083569E" w:rsidRDefault="00A47078" w:rsidP="0083569E">
      <w:pPr>
        <w:pStyle w:val="ListParagraph"/>
        <w:numPr>
          <w:ilvl w:val="0"/>
          <w:numId w:val="10"/>
        </w:numPr>
        <w:spacing w:after="0" w:line="240" w:lineRule="auto"/>
        <w:jc w:val="both"/>
      </w:pPr>
      <w:r>
        <w:t xml:space="preserve">The ongoing expansion </w:t>
      </w:r>
      <w:r w:rsidR="001D0DC1">
        <w:t>at</w:t>
      </w:r>
      <w:r>
        <w:t xml:space="preserve"> </w:t>
      </w:r>
      <w:proofErr w:type="spellStart"/>
      <w:r>
        <w:t>Graphmada</w:t>
      </w:r>
      <w:proofErr w:type="spellEnd"/>
      <w:r>
        <w:t xml:space="preserve"> together with the history of production of high quality </w:t>
      </w:r>
      <w:r w:rsidR="001D0DC1">
        <w:t xml:space="preserve">graphite </w:t>
      </w:r>
      <w:r>
        <w:t xml:space="preserve">concentrates positions </w:t>
      </w:r>
      <w:proofErr w:type="spellStart"/>
      <w:r>
        <w:t>Greenwing</w:t>
      </w:r>
      <w:proofErr w:type="spellEnd"/>
      <w:r>
        <w:t xml:space="preserve"> to rapidly progress the planning and development </w:t>
      </w:r>
      <w:r w:rsidR="001D0DC1">
        <w:t xml:space="preserve">of the project.  </w:t>
      </w:r>
      <w:r w:rsidR="00D4798A">
        <w:t>The company states that g</w:t>
      </w:r>
      <w:r w:rsidR="006B4803">
        <w:t xml:space="preserve">iven the history of production at </w:t>
      </w:r>
      <w:proofErr w:type="spellStart"/>
      <w:r w:rsidR="006B4803">
        <w:t>Graphmada</w:t>
      </w:r>
      <w:proofErr w:type="spellEnd"/>
      <w:r w:rsidR="006B4803">
        <w:t>, coupled with recent deposit expansion,</w:t>
      </w:r>
      <w:r w:rsidR="008F52F7">
        <w:t xml:space="preserve"> </w:t>
      </w:r>
      <w:r w:rsidR="00CE7619">
        <w:t xml:space="preserve">they are positioned to rapidly progress studies contemplating </w:t>
      </w:r>
      <w:r w:rsidR="008F52F7">
        <w:t>a</w:t>
      </w:r>
      <w:r w:rsidR="006B4803">
        <w:t xml:space="preserve"> f</w:t>
      </w:r>
      <w:r w:rsidR="001D0DC1">
        <w:t xml:space="preserve">uture throughput of </w:t>
      </w:r>
      <w:r>
        <w:t xml:space="preserve">up to </w:t>
      </w:r>
      <w:r w:rsidR="00B013C1">
        <w:t>40,000 tonnes per annum</w:t>
      </w:r>
      <w:r>
        <w:t xml:space="preserve"> production </w:t>
      </w:r>
      <w:r w:rsidR="001D0DC1">
        <w:t>of large flake, clean concentrate suitable for sale to the growing green energy and advanced</w:t>
      </w:r>
      <w:r w:rsidR="00CE7619">
        <w:t xml:space="preserve"> materials markets</w:t>
      </w:r>
      <w:r w:rsidR="001D0DC1">
        <w:t>.</w:t>
      </w:r>
      <w:r>
        <w:t xml:space="preserve"> </w:t>
      </w:r>
    </w:p>
    <w:p w14:paraId="0103FC0B" w14:textId="163D718A" w:rsidR="00FB5F0E" w:rsidRPr="00916291" w:rsidRDefault="00FB5F0E" w:rsidP="00FB5F0E">
      <w:pPr>
        <w:keepNext/>
        <w:spacing w:before="240" w:after="0" w:line="240" w:lineRule="auto"/>
        <w:jc w:val="both"/>
        <w:rPr>
          <w:b/>
          <w:bCs/>
          <w:shd w:val="clear" w:color="auto" w:fill="FEFEFE"/>
        </w:rPr>
      </w:pPr>
      <w:proofErr w:type="spellStart"/>
      <w:r>
        <w:rPr>
          <w:b/>
          <w:bCs/>
          <w:shd w:val="clear" w:color="auto" w:fill="FEFEFE"/>
        </w:rPr>
        <w:t>Cancet</w:t>
      </w:r>
      <w:proofErr w:type="spellEnd"/>
      <w:r>
        <w:rPr>
          <w:b/>
          <w:bCs/>
          <w:shd w:val="clear" w:color="auto" w:fill="FEFEFE"/>
        </w:rPr>
        <w:t xml:space="preserve"> Lithium Royalty – 1% of Net Smelter Revenue </w:t>
      </w:r>
    </w:p>
    <w:p w14:paraId="5A22E3E0" w14:textId="593E5172" w:rsidR="00FB5F0E" w:rsidRDefault="00FB5F0E" w:rsidP="0083569E">
      <w:pPr>
        <w:pStyle w:val="NoSpacing"/>
        <w:jc w:val="both"/>
      </w:pPr>
      <w:r>
        <w:t xml:space="preserve">Winsome Resources </w:t>
      </w:r>
      <w:r w:rsidRPr="00916291">
        <w:t>(“</w:t>
      </w:r>
      <w:r>
        <w:t>Winsome</w:t>
      </w:r>
      <w:r w:rsidRPr="00916291">
        <w:t>”</w:t>
      </w:r>
      <w:r>
        <w:t>) (ASX: WR1)</w:t>
      </w:r>
      <w:r w:rsidR="0086479D">
        <w:t xml:space="preserve"> commenced trading on the Australian Securities Exchange</w:t>
      </w:r>
      <w:r w:rsidR="002166CB">
        <w:t>,</w:t>
      </w:r>
      <w:r w:rsidR="0086479D">
        <w:t xml:space="preserve"> following an Initial Public Offering (IPO) which raised $18 million (see </w:t>
      </w:r>
      <w:r w:rsidR="0087739C">
        <w:t xml:space="preserve">Winsome </w:t>
      </w:r>
      <w:r w:rsidR="0086479D">
        <w:t xml:space="preserve">news release dated November 30, 2021). Winsome will utilise the funds for an intensive exploration and drilling campaign at its projects in the James Bay region of Quebec, Canada, concentrating its efforts on establishing a maiden resource of high quality </w:t>
      </w:r>
      <w:proofErr w:type="spellStart"/>
      <w:r w:rsidR="0086479D">
        <w:t>spodumene</w:t>
      </w:r>
      <w:proofErr w:type="spellEnd"/>
      <w:r w:rsidR="0086479D">
        <w:t xml:space="preserve"> concentrate that is suitable for conversion across multiple battery applications. </w:t>
      </w:r>
      <w:r w:rsidR="00026F51">
        <w:t>Winsome</w:t>
      </w:r>
      <w:r w:rsidR="0086479D">
        <w:t xml:space="preserve"> currently has three wholly owned projects - </w:t>
      </w:r>
      <w:proofErr w:type="spellStart"/>
      <w:r w:rsidR="0086479D">
        <w:t>Cancet</w:t>
      </w:r>
      <w:proofErr w:type="spellEnd"/>
      <w:r w:rsidR="0086479D">
        <w:t xml:space="preserve">, Adina and </w:t>
      </w:r>
      <w:proofErr w:type="spellStart"/>
      <w:r w:rsidR="00026F51">
        <w:t>Sirmac-Clapier</w:t>
      </w:r>
      <w:proofErr w:type="spellEnd"/>
      <w:r w:rsidR="0086479D">
        <w:t xml:space="preserve">. </w:t>
      </w:r>
      <w:r w:rsidR="000F77EB">
        <w:t>Drilling at t</w:t>
      </w:r>
      <w:r w:rsidR="0086479D">
        <w:t xml:space="preserve">he most advanced project, </w:t>
      </w:r>
      <w:proofErr w:type="spellStart"/>
      <w:r w:rsidR="0086479D">
        <w:t>Cancet</w:t>
      </w:r>
      <w:proofErr w:type="spellEnd"/>
      <w:r w:rsidR="0086479D">
        <w:t xml:space="preserve">, </w:t>
      </w:r>
      <w:r w:rsidR="000F77EB">
        <w:t xml:space="preserve">indicates </w:t>
      </w:r>
      <w:r w:rsidR="0086479D">
        <w:t xml:space="preserve">a </w:t>
      </w:r>
      <w:r w:rsidR="000F77EB">
        <w:t xml:space="preserve">potentially </w:t>
      </w:r>
      <w:r w:rsidR="0086479D">
        <w:t xml:space="preserve">shallow, </w:t>
      </w:r>
      <w:r w:rsidR="006B4803">
        <w:t xml:space="preserve">open </w:t>
      </w:r>
      <w:proofErr w:type="spellStart"/>
      <w:r w:rsidR="006B4803">
        <w:t>pitable</w:t>
      </w:r>
      <w:proofErr w:type="spellEnd"/>
      <w:r w:rsidR="0086479D">
        <w:t xml:space="preserve"> lithium deposit </w:t>
      </w:r>
      <w:r w:rsidR="000F77EB">
        <w:t>that would be</w:t>
      </w:r>
      <w:r w:rsidR="0086479D">
        <w:t xml:space="preserve"> located close to established</w:t>
      </w:r>
      <w:r w:rsidR="0076708F">
        <w:t xml:space="preserve"> road and power</w:t>
      </w:r>
      <w:r w:rsidR="0086479D">
        <w:t xml:space="preserve"> infrastructure.</w:t>
      </w:r>
    </w:p>
    <w:p w14:paraId="575120A6" w14:textId="37ED43A5" w:rsidR="00FB5F0E" w:rsidRPr="00916291" w:rsidRDefault="00FB5F0E" w:rsidP="00FB5F0E">
      <w:pPr>
        <w:keepNext/>
        <w:spacing w:before="240" w:after="0" w:line="240" w:lineRule="auto"/>
        <w:jc w:val="both"/>
        <w:rPr>
          <w:b/>
          <w:bCs/>
          <w:shd w:val="clear" w:color="auto" w:fill="FEFEFE"/>
        </w:rPr>
      </w:pPr>
      <w:r>
        <w:rPr>
          <w:b/>
          <w:bCs/>
          <w:shd w:val="clear" w:color="auto" w:fill="FEFEFE"/>
        </w:rPr>
        <w:lastRenderedPageBreak/>
        <w:t xml:space="preserve">Seymour Lake Lithium Royalty – 1.5% of Net Smelter Revenue </w:t>
      </w:r>
    </w:p>
    <w:p w14:paraId="1DA215CF" w14:textId="149C28DD" w:rsidR="007B1F76" w:rsidRDefault="00FB5F0E" w:rsidP="00E76AB4">
      <w:pPr>
        <w:pStyle w:val="NoSpacing"/>
        <w:spacing w:after="120"/>
        <w:jc w:val="both"/>
      </w:pPr>
      <w:r>
        <w:t xml:space="preserve">Green Technology Metals </w:t>
      </w:r>
      <w:r w:rsidR="0087739C" w:rsidRPr="0087739C">
        <w:t xml:space="preserve">(“Green Technology”) </w:t>
      </w:r>
      <w:r>
        <w:t>(ASX: GT1)</w:t>
      </w:r>
      <w:r w:rsidR="00DD0F95">
        <w:t xml:space="preserve"> </w:t>
      </w:r>
      <w:r w:rsidR="00026F51">
        <w:t>raised</w:t>
      </w:r>
      <w:r w:rsidR="00DD0F95">
        <w:t xml:space="preserve"> gross proceeds </w:t>
      </w:r>
      <w:r w:rsidR="00F93641">
        <w:t xml:space="preserve">of </w:t>
      </w:r>
      <w:r w:rsidR="00DD0F95">
        <w:t>A$24 million to advance the Seymour Lake project</w:t>
      </w:r>
      <w:r w:rsidR="007B1F76">
        <w:t xml:space="preserve">. </w:t>
      </w:r>
      <w:r w:rsidR="0087739C" w:rsidRPr="0087739C">
        <w:t xml:space="preserve">Green Technology </w:t>
      </w:r>
      <w:r w:rsidR="00DD0F95">
        <w:t xml:space="preserve">is now successfully trading on the Australian Stock Exchange (see </w:t>
      </w:r>
      <w:r w:rsidR="0087739C">
        <w:t xml:space="preserve">Green Technology </w:t>
      </w:r>
      <w:r w:rsidR="00DD0F95">
        <w:t>news release dated November 8, 2021).</w:t>
      </w:r>
      <w:r w:rsidR="00E76AB4">
        <w:t xml:space="preserve"> </w:t>
      </w:r>
    </w:p>
    <w:p w14:paraId="5AD6EA52" w14:textId="7326413F" w:rsidR="00DD0F95" w:rsidRDefault="00DD0F95" w:rsidP="00E76AB4">
      <w:pPr>
        <w:pStyle w:val="NoSpacing"/>
        <w:spacing w:after="120"/>
        <w:jc w:val="both"/>
      </w:pPr>
      <w:r>
        <w:t xml:space="preserve">In addition, </w:t>
      </w:r>
      <w:r w:rsidR="0087739C" w:rsidRPr="0087739C">
        <w:t xml:space="preserve">Green Technology </w:t>
      </w:r>
      <w:r>
        <w:t xml:space="preserve">has announced that </w:t>
      </w:r>
      <w:r w:rsidR="00F93641">
        <w:t>a s</w:t>
      </w:r>
      <w:r w:rsidR="00F93641" w:rsidRPr="0083569E">
        <w:t>tep-out, 11-hole, 3,500</w:t>
      </w:r>
      <w:r w:rsidR="00F93641">
        <w:t xml:space="preserve"> </w:t>
      </w:r>
      <w:r w:rsidR="00F93641" w:rsidRPr="0083569E">
        <w:t>m</w:t>
      </w:r>
      <w:r w:rsidR="00F93641">
        <w:t>eter</w:t>
      </w:r>
      <w:r w:rsidR="00F93641" w:rsidRPr="0083569E">
        <w:t xml:space="preserve"> diamond drilling program at Seymour </w:t>
      </w:r>
      <w:r w:rsidR="00F93641">
        <w:t xml:space="preserve">is </w:t>
      </w:r>
      <w:r w:rsidR="00F93641" w:rsidRPr="0083569E">
        <w:t xml:space="preserve">to commence in </w:t>
      </w:r>
      <w:r w:rsidR="00F93641">
        <w:t xml:space="preserve">the </w:t>
      </w:r>
      <w:r w:rsidR="00F93641" w:rsidRPr="0083569E">
        <w:t>coming weeks</w:t>
      </w:r>
      <w:r w:rsidR="00F93641">
        <w:t xml:space="preserve"> and the program is targeting a substantial increase in the extent of the existing deposit</w:t>
      </w:r>
      <w:r>
        <w:t xml:space="preserve"> (see </w:t>
      </w:r>
      <w:r w:rsidR="0087739C">
        <w:t xml:space="preserve">Green Technology </w:t>
      </w:r>
      <w:r>
        <w:t xml:space="preserve">news release dated November 18, 2021). </w:t>
      </w:r>
    </w:p>
    <w:p w14:paraId="5416A823" w14:textId="18FBE979" w:rsidR="00916291" w:rsidRPr="00701C76" w:rsidRDefault="00207C96" w:rsidP="00321E17">
      <w:pPr>
        <w:pStyle w:val="NoSpacing"/>
        <w:spacing w:before="240"/>
        <w:rPr>
          <w:b/>
        </w:rPr>
      </w:pPr>
      <w:proofErr w:type="spellStart"/>
      <w:r w:rsidRPr="00701C76">
        <w:rPr>
          <w:b/>
        </w:rPr>
        <w:t>Bisset</w:t>
      </w:r>
      <w:r w:rsidR="00A5192C" w:rsidRPr="00701C76">
        <w:rPr>
          <w:b/>
        </w:rPr>
        <w:t>t</w:t>
      </w:r>
      <w:proofErr w:type="spellEnd"/>
      <w:r w:rsidRPr="00701C76">
        <w:rPr>
          <w:b/>
        </w:rPr>
        <w:t xml:space="preserve"> Creek Graphite </w:t>
      </w:r>
      <w:r w:rsidR="00916291" w:rsidRPr="00701C76">
        <w:rPr>
          <w:b/>
        </w:rPr>
        <w:t>Royalty</w:t>
      </w:r>
      <w:r w:rsidR="00E83EE1" w:rsidRPr="00701C76">
        <w:rPr>
          <w:b/>
        </w:rPr>
        <w:t xml:space="preserve"> – 1%</w:t>
      </w:r>
      <w:r w:rsidR="00973201" w:rsidRPr="00701C76">
        <w:rPr>
          <w:b/>
        </w:rPr>
        <w:t xml:space="preserve"> of</w:t>
      </w:r>
      <w:r w:rsidR="00E83EE1" w:rsidRPr="00701C76">
        <w:rPr>
          <w:b/>
        </w:rPr>
        <w:t xml:space="preserve"> Gross Revenue </w:t>
      </w:r>
      <w:r w:rsidR="008C7689" w:rsidRPr="00701C76">
        <w:rPr>
          <w:b/>
        </w:rPr>
        <w:t xml:space="preserve">and an option to increase the royalty by </w:t>
      </w:r>
      <w:r w:rsidR="00973201" w:rsidRPr="00701C76">
        <w:rPr>
          <w:b/>
        </w:rPr>
        <w:t>0.5</w:t>
      </w:r>
      <w:r w:rsidR="008C7689" w:rsidRPr="00701C76">
        <w:rPr>
          <w:b/>
        </w:rPr>
        <w:t xml:space="preserve">% </w:t>
      </w:r>
    </w:p>
    <w:p w14:paraId="2427F150" w14:textId="5A9D9318" w:rsidR="00D810EF" w:rsidRDefault="00207C96" w:rsidP="00321E17">
      <w:pPr>
        <w:spacing w:after="120" w:line="240" w:lineRule="auto"/>
        <w:jc w:val="both"/>
        <w:rPr>
          <w:shd w:val="clear" w:color="auto" w:fill="FEFEFE"/>
        </w:rPr>
      </w:pPr>
      <w:r w:rsidRPr="00207C96">
        <w:rPr>
          <w:shd w:val="clear" w:color="auto" w:fill="FEFEFE"/>
        </w:rPr>
        <w:t xml:space="preserve">Northern Graphite Corporation </w:t>
      </w:r>
      <w:r w:rsidR="0027753E">
        <w:rPr>
          <w:shd w:val="clear" w:color="auto" w:fill="FEFEFE"/>
        </w:rPr>
        <w:t xml:space="preserve">(“Northern Graphite”) </w:t>
      </w:r>
      <w:r w:rsidR="00067E04">
        <w:rPr>
          <w:shd w:val="clear" w:color="auto" w:fill="FEFEFE"/>
        </w:rPr>
        <w:t xml:space="preserve">(TSXV: NGC) </w:t>
      </w:r>
      <w:r w:rsidR="001D664D">
        <w:rPr>
          <w:shd w:val="clear" w:color="auto" w:fill="FEFEFE"/>
        </w:rPr>
        <w:t>announced the signing of binding purchase and sale agreements to acquire 100% ownership of t</w:t>
      </w:r>
      <w:r w:rsidR="001D664D" w:rsidRPr="001D664D">
        <w:rPr>
          <w:shd w:val="clear" w:color="auto" w:fill="FEFEFE"/>
        </w:rPr>
        <w:t>he producing Lac des Iles graphite mine in Quebec</w:t>
      </w:r>
      <w:r w:rsidR="00F93641">
        <w:rPr>
          <w:shd w:val="clear" w:color="auto" w:fill="FEFEFE"/>
        </w:rPr>
        <w:t xml:space="preserve"> from the </w:t>
      </w:r>
      <w:proofErr w:type="spellStart"/>
      <w:r w:rsidR="00F93641">
        <w:rPr>
          <w:shd w:val="clear" w:color="auto" w:fill="FEFEFE"/>
        </w:rPr>
        <w:t>Imerys</w:t>
      </w:r>
      <w:proofErr w:type="spellEnd"/>
      <w:r w:rsidR="00F93641">
        <w:rPr>
          <w:shd w:val="clear" w:color="auto" w:fill="FEFEFE"/>
        </w:rPr>
        <w:t xml:space="preserve"> Group</w:t>
      </w:r>
      <w:r w:rsidR="001D664D" w:rsidRPr="001D664D">
        <w:rPr>
          <w:shd w:val="clear" w:color="auto" w:fill="FEFEFE"/>
        </w:rPr>
        <w:t xml:space="preserve"> and the </w:t>
      </w:r>
      <w:proofErr w:type="spellStart"/>
      <w:r w:rsidR="001D664D" w:rsidRPr="001D664D">
        <w:rPr>
          <w:shd w:val="clear" w:color="auto" w:fill="FEFEFE"/>
        </w:rPr>
        <w:t>Okanjande</w:t>
      </w:r>
      <w:proofErr w:type="spellEnd"/>
      <w:r w:rsidR="001D664D" w:rsidRPr="001D664D">
        <w:rPr>
          <w:shd w:val="clear" w:color="auto" w:fill="FEFEFE"/>
        </w:rPr>
        <w:t xml:space="preserve"> graphite deposit/</w:t>
      </w:r>
      <w:proofErr w:type="spellStart"/>
      <w:r w:rsidR="001D664D" w:rsidRPr="001D664D">
        <w:rPr>
          <w:shd w:val="clear" w:color="auto" w:fill="FEFEFE"/>
        </w:rPr>
        <w:t>Okorusu</w:t>
      </w:r>
      <w:proofErr w:type="spellEnd"/>
      <w:r w:rsidR="001D664D" w:rsidRPr="001D664D">
        <w:rPr>
          <w:shd w:val="clear" w:color="auto" w:fill="FEFEFE"/>
        </w:rPr>
        <w:t xml:space="preserve"> processing plant in Namibia from </w:t>
      </w:r>
      <w:r w:rsidR="000D24E6">
        <w:rPr>
          <w:shd w:val="clear" w:color="auto" w:fill="FEFEFE"/>
        </w:rPr>
        <w:t xml:space="preserve">the </w:t>
      </w:r>
      <w:proofErr w:type="spellStart"/>
      <w:r w:rsidR="001D664D" w:rsidRPr="001D664D">
        <w:rPr>
          <w:shd w:val="clear" w:color="auto" w:fill="FEFEFE"/>
        </w:rPr>
        <w:t>Imerys</w:t>
      </w:r>
      <w:proofErr w:type="spellEnd"/>
      <w:r w:rsidR="001D664D" w:rsidRPr="001D664D">
        <w:rPr>
          <w:shd w:val="clear" w:color="auto" w:fill="FEFEFE"/>
        </w:rPr>
        <w:t xml:space="preserve"> </w:t>
      </w:r>
      <w:r w:rsidR="000D24E6">
        <w:rPr>
          <w:shd w:val="clear" w:color="auto" w:fill="FEFEFE"/>
        </w:rPr>
        <w:t xml:space="preserve">Group </w:t>
      </w:r>
      <w:r w:rsidR="00B41695">
        <w:rPr>
          <w:shd w:val="clear" w:color="auto" w:fill="FEFEFE"/>
        </w:rPr>
        <w:t xml:space="preserve">and its joint venture partner </w:t>
      </w:r>
      <w:r w:rsidR="001D664D" w:rsidRPr="001D664D">
        <w:rPr>
          <w:shd w:val="clear" w:color="auto" w:fill="FEFEFE"/>
        </w:rPr>
        <w:t>for approximately US$40 million</w:t>
      </w:r>
      <w:r w:rsidR="001D664D">
        <w:rPr>
          <w:shd w:val="clear" w:color="auto" w:fill="FEFEFE"/>
        </w:rPr>
        <w:t xml:space="preserve"> (see </w:t>
      </w:r>
      <w:r w:rsidR="0087739C" w:rsidRPr="0087739C">
        <w:rPr>
          <w:shd w:val="clear" w:color="auto" w:fill="FEFEFE"/>
        </w:rPr>
        <w:t xml:space="preserve">Northern Graphite </w:t>
      </w:r>
      <w:r w:rsidR="001D664D">
        <w:rPr>
          <w:shd w:val="clear" w:color="auto" w:fill="FEFEFE"/>
        </w:rPr>
        <w:t xml:space="preserve">news release dated December 2, 2021). </w:t>
      </w:r>
      <w:r w:rsidR="000D24E6">
        <w:rPr>
          <w:shd w:val="clear" w:color="auto" w:fill="FEFEFE"/>
        </w:rPr>
        <w:t xml:space="preserve">Northern Graphite </w:t>
      </w:r>
      <w:r w:rsidR="001D664D" w:rsidRPr="001D664D">
        <w:rPr>
          <w:shd w:val="clear" w:color="auto" w:fill="FEFEFE"/>
        </w:rPr>
        <w:t>will become the only significant North American graphite producer and will acquire an existing customer base and market share</w:t>
      </w:r>
      <w:r w:rsidR="00D810EF">
        <w:rPr>
          <w:shd w:val="clear" w:color="auto" w:fill="FEFEFE"/>
        </w:rPr>
        <w:t>. T</w:t>
      </w:r>
      <w:r w:rsidR="000D24E6">
        <w:rPr>
          <w:shd w:val="clear" w:color="auto" w:fill="FEFEFE"/>
        </w:rPr>
        <w:t xml:space="preserve">he </w:t>
      </w:r>
      <w:r w:rsidR="008A046A">
        <w:rPr>
          <w:shd w:val="clear" w:color="auto" w:fill="FEFEFE"/>
        </w:rPr>
        <w:t>acquisitions</w:t>
      </w:r>
      <w:r w:rsidR="000D24E6">
        <w:rPr>
          <w:shd w:val="clear" w:color="auto" w:fill="FEFEFE"/>
        </w:rPr>
        <w:t xml:space="preserve"> </w:t>
      </w:r>
      <w:r w:rsidR="001D664D" w:rsidRPr="00BE755B">
        <w:rPr>
          <w:shd w:val="clear" w:color="auto" w:fill="FEFEFE"/>
        </w:rPr>
        <w:t xml:space="preserve">provide a platform from which to finance and develop </w:t>
      </w:r>
      <w:r w:rsidR="00D810EF">
        <w:rPr>
          <w:shd w:val="clear" w:color="auto" w:fill="FEFEFE"/>
        </w:rPr>
        <w:t xml:space="preserve">Northern Graphite’s </w:t>
      </w:r>
      <w:proofErr w:type="spellStart"/>
      <w:r w:rsidR="001D664D" w:rsidRPr="00BE755B">
        <w:rPr>
          <w:shd w:val="clear" w:color="auto" w:fill="FEFEFE"/>
        </w:rPr>
        <w:t>Bissett</w:t>
      </w:r>
      <w:proofErr w:type="spellEnd"/>
      <w:r w:rsidR="001D664D" w:rsidRPr="00BE755B">
        <w:rPr>
          <w:shd w:val="clear" w:color="auto" w:fill="FEFEFE"/>
        </w:rPr>
        <w:t xml:space="preserve"> Creek deposit</w:t>
      </w:r>
      <w:r w:rsidR="0059710F">
        <w:rPr>
          <w:shd w:val="clear" w:color="auto" w:fill="FEFEFE"/>
        </w:rPr>
        <w:t xml:space="preserve">.  </w:t>
      </w:r>
    </w:p>
    <w:p w14:paraId="1BE2E54F" w14:textId="475924DA" w:rsidR="0086479D" w:rsidRPr="0086479D" w:rsidRDefault="004314A7" w:rsidP="00D810EF">
      <w:pPr>
        <w:spacing w:after="120" w:line="240" w:lineRule="auto"/>
        <w:jc w:val="both"/>
        <w:rPr>
          <w:shd w:val="clear" w:color="auto" w:fill="FEFEFE"/>
        </w:rPr>
      </w:pPr>
      <w:r>
        <w:rPr>
          <w:shd w:val="clear" w:color="auto" w:fill="FEFEFE"/>
        </w:rPr>
        <w:t xml:space="preserve">Northern Graphite also announced </w:t>
      </w:r>
      <w:r w:rsidR="0086479D" w:rsidRPr="0086479D">
        <w:rPr>
          <w:shd w:val="clear" w:color="auto" w:fill="FEFEFE"/>
        </w:rPr>
        <w:t xml:space="preserve">that battery anode material ("BAM") manufactured from its </w:t>
      </w:r>
      <w:proofErr w:type="spellStart"/>
      <w:r w:rsidR="0086479D" w:rsidRPr="0086479D">
        <w:rPr>
          <w:shd w:val="clear" w:color="auto" w:fill="FEFEFE"/>
        </w:rPr>
        <w:t>Bissett</w:t>
      </w:r>
      <w:proofErr w:type="spellEnd"/>
      <w:r w:rsidR="0086479D" w:rsidRPr="0086479D">
        <w:rPr>
          <w:shd w:val="clear" w:color="auto" w:fill="FEFEFE"/>
        </w:rPr>
        <w:t xml:space="preserve"> Creek concentrates demonstrated excellent electrochemical performance during recent battery testing by </w:t>
      </w:r>
      <w:proofErr w:type="spellStart"/>
      <w:r w:rsidR="0086479D" w:rsidRPr="0086479D">
        <w:rPr>
          <w:shd w:val="clear" w:color="auto" w:fill="FEFEFE"/>
        </w:rPr>
        <w:t>ProGraphite</w:t>
      </w:r>
      <w:proofErr w:type="spellEnd"/>
      <w:r w:rsidR="0086479D" w:rsidRPr="0086479D">
        <w:rPr>
          <w:shd w:val="clear" w:color="auto" w:fill="FEFEFE"/>
        </w:rPr>
        <w:t xml:space="preserve"> in Germany. </w:t>
      </w:r>
      <w:proofErr w:type="spellStart"/>
      <w:r w:rsidR="0086479D" w:rsidRPr="0086479D">
        <w:rPr>
          <w:shd w:val="clear" w:color="auto" w:fill="FEFEFE"/>
        </w:rPr>
        <w:t>ProGraphite</w:t>
      </w:r>
      <w:proofErr w:type="spellEnd"/>
      <w:r w:rsidR="0086479D" w:rsidRPr="0086479D">
        <w:rPr>
          <w:shd w:val="clear" w:color="auto" w:fill="FEFEFE"/>
        </w:rPr>
        <w:t xml:space="preserve"> concluded that Northern</w:t>
      </w:r>
      <w:r w:rsidR="00026F51">
        <w:rPr>
          <w:shd w:val="clear" w:color="auto" w:fill="FEFEFE"/>
        </w:rPr>
        <w:t xml:space="preserve"> Graphite</w:t>
      </w:r>
      <w:r w:rsidR="0086479D" w:rsidRPr="0086479D">
        <w:rPr>
          <w:shd w:val="clear" w:color="auto" w:fill="FEFEFE"/>
        </w:rPr>
        <w:t xml:space="preserve">'s </w:t>
      </w:r>
      <w:r w:rsidR="005E056F">
        <w:rPr>
          <w:shd w:val="clear" w:color="auto" w:fill="FEFEFE"/>
        </w:rPr>
        <w:t xml:space="preserve">high purity </w:t>
      </w:r>
      <w:r w:rsidR="0086479D" w:rsidRPr="0086479D">
        <w:rPr>
          <w:shd w:val="clear" w:color="auto" w:fill="FEFEFE"/>
        </w:rPr>
        <w:t xml:space="preserve">anode material is very well suited for the manufacture of high capacity, durable, </w:t>
      </w:r>
      <w:proofErr w:type="gramStart"/>
      <w:r w:rsidR="0086479D" w:rsidRPr="0086479D">
        <w:rPr>
          <w:shd w:val="clear" w:color="auto" w:fill="FEFEFE"/>
        </w:rPr>
        <w:t>long</w:t>
      </w:r>
      <w:proofErr w:type="gramEnd"/>
      <w:r w:rsidR="0086479D" w:rsidRPr="0086479D">
        <w:rPr>
          <w:shd w:val="clear" w:color="auto" w:fill="FEFEFE"/>
        </w:rPr>
        <w:t>-life lithium-ion batteries</w:t>
      </w:r>
      <w:r w:rsidR="0086479D">
        <w:rPr>
          <w:shd w:val="clear" w:color="auto" w:fill="FEFEFE"/>
        </w:rPr>
        <w:t xml:space="preserve"> (see </w:t>
      </w:r>
      <w:r w:rsidR="0087739C" w:rsidRPr="0087739C">
        <w:rPr>
          <w:shd w:val="clear" w:color="auto" w:fill="FEFEFE"/>
        </w:rPr>
        <w:t xml:space="preserve">Northern Graphite </w:t>
      </w:r>
      <w:r w:rsidR="0086479D">
        <w:rPr>
          <w:shd w:val="clear" w:color="auto" w:fill="FEFEFE"/>
        </w:rPr>
        <w:t>news release dated November 11, 2021)</w:t>
      </w:r>
      <w:r w:rsidR="0086479D" w:rsidRPr="0086479D">
        <w:rPr>
          <w:shd w:val="clear" w:color="auto" w:fill="FEFEFE"/>
        </w:rPr>
        <w:t>.</w:t>
      </w:r>
    </w:p>
    <w:p w14:paraId="52F1FBEE" w14:textId="43DB89E9" w:rsidR="00202D9C" w:rsidRPr="00916291" w:rsidRDefault="00202D9C" w:rsidP="008201FE">
      <w:pPr>
        <w:keepNext/>
        <w:spacing w:before="240" w:after="0" w:line="240" w:lineRule="auto"/>
        <w:jc w:val="both"/>
        <w:rPr>
          <w:b/>
          <w:bCs/>
          <w:shd w:val="clear" w:color="auto" w:fill="FEFEFE"/>
        </w:rPr>
      </w:pPr>
      <w:r w:rsidRPr="00916291">
        <w:rPr>
          <w:b/>
          <w:bCs/>
          <w:shd w:val="clear" w:color="auto" w:fill="FEFEFE"/>
        </w:rPr>
        <w:t xml:space="preserve">Battery Hill Manganese </w:t>
      </w:r>
      <w:r w:rsidR="00916291" w:rsidRPr="00916291">
        <w:rPr>
          <w:b/>
          <w:bCs/>
          <w:shd w:val="clear" w:color="auto" w:fill="FEFEFE"/>
        </w:rPr>
        <w:t>Royalty</w:t>
      </w:r>
      <w:r w:rsidR="00E83EE1">
        <w:rPr>
          <w:b/>
          <w:bCs/>
          <w:shd w:val="clear" w:color="auto" w:fill="FEFEFE"/>
        </w:rPr>
        <w:t xml:space="preserve"> – 2% </w:t>
      </w:r>
      <w:r w:rsidR="00973201">
        <w:rPr>
          <w:b/>
          <w:bCs/>
          <w:shd w:val="clear" w:color="auto" w:fill="FEFEFE"/>
        </w:rPr>
        <w:t xml:space="preserve">of </w:t>
      </w:r>
      <w:r w:rsidR="00E83EE1">
        <w:rPr>
          <w:b/>
          <w:bCs/>
          <w:shd w:val="clear" w:color="auto" w:fill="FEFEFE"/>
        </w:rPr>
        <w:t xml:space="preserve">Gross Revenue </w:t>
      </w:r>
    </w:p>
    <w:p w14:paraId="15219ED5" w14:textId="5F86AB0E" w:rsidR="0083569E" w:rsidRDefault="002B2C32" w:rsidP="00321E17">
      <w:pPr>
        <w:keepNext/>
        <w:spacing w:after="0" w:line="240" w:lineRule="auto"/>
        <w:jc w:val="both"/>
      </w:pPr>
      <w:r>
        <w:t xml:space="preserve">Manganese X Energy Corp. </w:t>
      </w:r>
      <w:r w:rsidR="00916291" w:rsidRPr="00916291">
        <w:t>(“Manganese X</w:t>
      </w:r>
      <w:r w:rsidR="00060620">
        <w:t xml:space="preserve"> Energy</w:t>
      </w:r>
      <w:r w:rsidR="00916291" w:rsidRPr="00916291">
        <w:t>”</w:t>
      </w:r>
      <w:r>
        <w:t>)</w:t>
      </w:r>
      <w:r w:rsidR="007C7C5F">
        <w:t xml:space="preserve"> </w:t>
      </w:r>
      <w:r w:rsidR="00701C76">
        <w:t>(TSXV: MN)</w:t>
      </w:r>
      <w:r w:rsidR="007727F1">
        <w:t xml:space="preserve"> announced that recent processing and metallurgical work has resulted in significant cost reductions in the production of high-grade battery material (see </w:t>
      </w:r>
      <w:r w:rsidR="0087739C" w:rsidRPr="0087739C">
        <w:t xml:space="preserve">Manganese X Energy </w:t>
      </w:r>
      <w:r w:rsidR="007727F1">
        <w:t xml:space="preserve">news release dated October 12, 2021).  </w:t>
      </w:r>
      <w:r w:rsidR="0083569E" w:rsidRPr="0083569E">
        <w:t xml:space="preserve">This work is an integral part of </w:t>
      </w:r>
      <w:r w:rsidR="007727F1">
        <w:t>the</w:t>
      </w:r>
      <w:r w:rsidR="008A046A" w:rsidRPr="0083569E">
        <w:t xml:space="preserve"> </w:t>
      </w:r>
      <w:r w:rsidR="0083569E" w:rsidRPr="0083569E">
        <w:t xml:space="preserve">upcoming PEA, as the metallurgical processing is a key economic component of the project. The PEA will characterize and assess the economic and commercial viability of producing high-purity, battery-grade manganese products from the Battery Hill project located near Woodstock, </w:t>
      </w:r>
      <w:r w:rsidR="00B41695">
        <w:t xml:space="preserve">New </w:t>
      </w:r>
      <w:r w:rsidR="0083569E" w:rsidRPr="0083569E">
        <w:t>B</w:t>
      </w:r>
      <w:r w:rsidR="00B41695">
        <w:t>runswick</w:t>
      </w:r>
      <w:r w:rsidR="0083569E" w:rsidRPr="0083569E">
        <w:t>.</w:t>
      </w:r>
    </w:p>
    <w:p w14:paraId="678480C4" w14:textId="0A9ACCF6" w:rsidR="0083569E" w:rsidRPr="008A046A" w:rsidRDefault="0083569E">
      <w:pPr>
        <w:pStyle w:val="ListParagraph"/>
        <w:keepNext/>
        <w:numPr>
          <w:ilvl w:val="0"/>
          <w:numId w:val="14"/>
        </w:numPr>
        <w:spacing w:after="120" w:line="240" w:lineRule="auto"/>
        <w:jc w:val="both"/>
        <w:rPr>
          <w:b/>
          <w:bCs/>
          <w:shd w:val="clear" w:color="auto" w:fill="FEFEFE"/>
        </w:rPr>
      </w:pPr>
      <w:proofErr w:type="spellStart"/>
      <w:r w:rsidRPr="0083569E">
        <w:t>Kemetco</w:t>
      </w:r>
      <w:proofErr w:type="spellEnd"/>
      <w:r w:rsidR="007727F1">
        <w:t xml:space="preserve"> Research</w:t>
      </w:r>
      <w:r w:rsidRPr="0083569E">
        <w:t xml:space="preserve"> has completed a major milestone </w:t>
      </w:r>
      <w:r w:rsidR="007727F1">
        <w:t xml:space="preserve">for Battery Hill </w:t>
      </w:r>
      <w:r w:rsidRPr="0083569E">
        <w:t xml:space="preserve">with </w:t>
      </w:r>
      <w:r w:rsidR="007727F1">
        <w:t xml:space="preserve">the </w:t>
      </w:r>
      <w:r w:rsidRPr="0083569E">
        <w:t>delivery of a complete process flowsheet</w:t>
      </w:r>
      <w:r w:rsidR="007727F1">
        <w:t>.  L</w:t>
      </w:r>
      <w:r w:rsidRPr="0083569E">
        <w:t>ocked-cycle testing</w:t>
      </w:r>
      <w:r w:rsidR="007727F1">
        <w:t xml:space="preserve"> has been in</w:t>
      </w:r>
      <w:r w:rsidR="00CB663D">
        <w:t>i</w:t>
      </w:r>
      <w:r w:rsidR="007727F1">
        <w:t>tiated</w:t>
      </w:r>
      <w:r w:rsidRPr="0083569E">
        <w:t xml:space="preserve"> to confirm the high projected recovery rate of leached manganese into a high purity manganese sulphate monohydrate (HPMSM) product.</w:t>
      </w:r>
    </w:p>
    <w:p w14:paraId="2C12981F" w14:textId="6FB5AF17" w:rsidR="0083569E" w:rsidRPr="0083569E" w:rsidRDefault="0083569E" w:rsidP="00321E17">
      <w:pPr>
        <w:pStyle w:val="ListParagraph"/>
        <w:keepNext/>
        <w:numPr>
          <w:ilvl w:val="0"/>
          <w:numId w:val="14"/>
        </w:numPr>
        <w:spacing w:after="0" w:line="240" w:lineRule="auto"/>
        <w:ind w:left="714" w:hanging="357"/>
        <w:jc w:val="both"/>
        <w:rPr>
          <w:b/>
          <w:bCs/>
          <w:shd w:val="clear" w:color="auto" w:fill="FEFEFE"/>
        </w:rPr>
      </w:pPr>
      <w:r w:rsidRPr="0083569E">
        <w:t xml:space="preserve">Subsequent testing has focused on an innovative purification process to maximize recovery of the extracted manganese </w:t>
      </w:r>
      <w:r w:rsidR="007335E4">
        <w:t>and to</w:t>
      </w:r>
      <w:r w:rsidRPr="0083569E">
        <w:t xml:space="preserve"> reduce costs and improve the environmental footprint.</w:t>
      </w:r>
    </w:p>
    <w:p w14:paraId="4DC37ED3" w14:textId="35BD0061" w:rsidR="00F2560E" w:rsidRPr="00BE755B" w:rsidRDefault="003C25C1" w:rsidP="00321E17">
      <w:pPr>
        <w:spacing w:before="240" w:after="0" w:line="240" w:lineRule="auto"/>
        <w:jc w:val="both"/>
        <w:rPr>
          <w:lang w:val="en-US"/>
        </w:rPr>
      </w:pPr>
      <w:r w:rsidRPr="002F09C3">
        <w:rPr>
          <w:lang w:val="en-US"/>
        </w:rPr>
        <w:t xml:space="preserve">David Gaunt, </w:t>
      </w:r>
      <w:proofErr w:type="spellStart"/>
      <w:proofErr w:type="gramStart"/>
      <w:r w:rsidRPr="002F09C3">
        <w:rPr>
          <w:lang w:val="en-US"/>
        </w:rPr>
        <w:t>P.Geo</w:t>
      </w:r>
      <w:proofErr w:type="spellEnd"/>
      <w:r w:rsidRPr="002F09C3">
        <w:rPr>
          <w:lang w:val="en-US"/>
        </w:rPr>
        <w:t>.,</w:t>
      </w:r>
      <w:proofErr w:type="gramEnd"/>
      <w:r w:rsidRPr="002F09C3">
        <w:rPr>
          <w:lang w:val="en-US"/>
        </w:rPr>
        <w:t xml:space="preserve"> a qualified person who is not independent of Electric Royalties, has reviewed and approved the technical information in this release.</w:t>
      </w:r>
    </w:p>
    <w:p w14:paraId="3790930B" w14:textId="77777777" w:rsidR="002C11DB" w:rsidRPr="002C11DB" w:rsidRDefault="002C11DB" w:rsidP="00F2560E">
      <w:pPr>
        <w:autoSpaceDE w:val="0"/>
        <w:autoSpaceDN w:val="0"/>
        <w:adjustRightInd w:val="0"/>
        <w:spacing w:after="0" w:line="240" w:lineRule="auto"/>
        <w:rPr>
          <w:rFonts w:ascii="Calibri" w:eastAsia="Calibri" w:hAnsi="Calibri" w:cs="Calibri"/>
          <w:lang w:eastAsia="en-CA"/>
        </w:rPr>
      </w:pPr>
    </w:p>
    <w:p w14:paraId="4065D886" w14:textId="77777777" w:rsidR="002C11DB" w:rsidRPr="002C11DB" w:rsidRDefault="002C11DB" w:rsidP="00541702">
      <w:pPr>
        <w:keepNext/>
        <w:spacing w:after="120" w:line="240" w:lineRule="auto"/>
        <w:rPr>
          <w:rFonts w:ascii="Calibri" w:eastAsia="Calibri" w:hAnsi="Calibri" w:cs="Calibri"/>
          <w:lang w:eastAsia="en-CA"/>
        </w:rPr>
      </w:pPr>
      <w:r w:rsidRPr="002C11DB">
        <w:rPr>
          <w:rFonts w:ascii="Calibri" w:eastAsia="Times New Roman" w:hAnsi="Calibri" w:cs="Calibri"/>
          <w:b/>
          <w:lang w:eastAsia="en-CA"/>
        </w:rPr>
        <w:t>About Electric Royalties Ltd</w:t>
      </w:r>
      <w:r w:rsidRPr="002C11DB">
        <w:rPr>
          <w:rFonts w:ascii="Calibri" w:eastAsia="Calibri" w:hAnsi="Calibri" w:cs="Calibri"/>
          <w:lang w:eastAsia="en-CA"/>
        </w:rPr>
        <w:t>.</w:t>
      </w:r>
    </w:p>
    <w:p w14:paraId="1E306A1E" w14:textId="77777777" w:rsidR="002C11DB" w:rsidRPr="002C11DB" w:rsidRDefault="002C11DB" w:rsidP="0087739C">
      <w:pPr>
        <w:keepNext/>
        <w:widowControl w:val="0"/>
        <w:autoSpaceDE w:val="0"/>
        <w:autoSpaceDN w:val="0"/>
        <w:spacing w:after="120" w:line="240" w:lineRule="auto"/>
        <w:jc w:val="both"/>
        <w:rPr>
          <w:rFonts w:ascii="Calibri" w:eastAsia="Times New Roman" w:hAnsi="Calibri" w:cs="Calibri"/>
          <w:bCs/>
          <w:lang w:eastAsia="en-CA"/>
        </w:rPr>
      </w:pPr>
      <w:r w:rsidRPr="002C11DB">
        <w:rPr>
          <w:rFonts w:ascii="Calibri" w:eastAsia="Times New Roman" w:hAnsi="Calibri" w:cs="Calibri"/>
          <w:bCs/>
          <w:lang w:eastAsia="en-CA"/>
        </w:rPr>
        <w:t xml:space="preserve">Electric Royalties is a royalty company established to take advantage of the demand for a wide range of commodities (lithium, vanadium, manganese, tin, graphite, cobalt, nickel, zinc &amp; copper) that will benefit from the drive toward electrification of a variety of consumer products: cars, rechargeable batteries, large scale energy storage, renewable energy generation and other applications. </w:t>
      </w:r>
    </w:p>
    <w:p w14:paraId="4263C7C8" w14:textId="77777777" w:rsidR="002C11DB" w:rsidRPr="002C11DB" w:rsidRDefault="002C11DB" w:rsidP="00F2560E">
      <w:pPr>
        <w:widowControl w:val="0"/>
        <w:autoSpaceDE w:val="0"/>
        <w:autoSpaceDN w:val="0"/>
        <w:spacing w:after="120" w:line="240" w:lineRule="auto"/>
        <w:jc w:val="both"/>
        <w:rPr>
          <w:rFonts w:ascii="Calibri" w:eastAsia="Times New Roman" w:hAnsi="Calibri" w:cs="Calibri"/>
          <w:bCs/>
          <w:lang w:eastAsia="en-CA"/>
        </w:rPr>
      </w:pPr>
      <w:r w:rsidRPr="002C11DB">
        <w:rPr>
          <w:rFonts w:ascii="Calibri" w:eastAsia="Times New Roman" w:hAnsi="Calibri" w:cs="Calibri"/>
          <w:bCs/>
          <w:lang w:eastAsia="en-CA"/>
        </w:rPr>
        <w:t xml:space="preserve">Electric vehicle sales, battery production capacity and renewable energy generation are slated to increase </w:t>
      </w:r>
      <w:r w:rsidRPr="002C11DB">
        <w:rPr>
          <w:rFonts w:ascii="Calibri" w:eastAsia="Times New Roman" w:hAnsi="Calibri" w:cs="Calibri"/>
          <w:bCs/>
          <w:lang w:eastAsia="en-CA"/>
        </w:rPr>
        <w:lastRenderedPageBreak/>
        <w:t>significantly over the next several years and with it, the demand for these targeted commodities. This creates a unique opportunity to invest in and acquire royalties over the mines and projects that will supply the materials needed to feed the electric revolution.</w:t>
      </w:r>
    </w:p>
    <w:p w14:paraId="08F4170E" w14:textId="2A084A76" w:rsidR="002C11DB" w:rsidRPr="00541702" w:rsidRDefault="002C11DB" w:rsidP="00F2560E">
      <w:pPr>
        <w:widowControl w:val="0"/>
        <w:autoSpaceDE w:val="0"/>
        <w:autoSpaceDN w:val="0"/>
        <w:spacing w:after="0" w:line="240" w:lineRule="auto"/>
        <w:jc w:val="both"/>
        <w:rPr>
          <w:rFonts w:ascii="Calibri" w:hAnsi="Calibri"/>
        </w:rPr>
      </w:pPr>
      <w:r w:rsidRPr="002C11DB">
        <w:rPr>
          <w:rFonts w:ascii="Calibri" w:eastAsia="Times New Roman" w:hAnsi="Calibri" w:cs="Calibri"/>
          <w:bCs/>
          <w:lang w:eastAsia="en-CA"/>
        </w:rPr>
        <w:t xml:space="preserve">Electric Royalties </w:t>
      </w:r>
      <w:r w:rsidR="00665471">
        <w:rPr>
          <w:rFonts w:ascii="Calibri" w:eastAsia="Times New Roman" w:hAnsi="Calibri" w:cs="Calibri"/>
          <w:bCs/>
          <w:lang w:eastAsia="en-CA"/>
        </w:rPr>
        <w:t>has</w:t>
      </w:r>
      <w:r w:rsidRPr="002C11DB">
        <w:rPr>
          <w:rFonts w:ascii="Calibri" w:eastAsia="Times New Roman" w:hAnsi="Calibri" w:cs="Calibri"/>
          <w:bCs/>
          <w:lang w:eastAsia="en-CA"/>
        </w:rPr>
        <w:t xml:space="preserve"> a growing portfolio of 17 royalties</w:t>
      </w:r>
      <w:r w:rsidR="002B535F" w:rsidRPr="00D449FB">
        <w:rPr>
          <w:lang w:eastAsia="en-CA"/>
        </w:rPr>
        <w:t>, including one royalty that currently generates revenue</w:t>
      </w:r>
      <w:r w:rsidR="00CE1D3C">
        <w:rPr>
          <w:lang w:eastAsia="en-CA"/>
        </w:rPr>
        <w:t>, with an additional royalty acquisition in progress</w:t>
      </w:r>
      <w:r w:rsidR="00C4114D">
        <w:rPr>
          <w:rFonts w:ascii="Calibri" w:eastAsia="Times New Roman" w:hAnsi="Calibri" w:cs="Calibri"/>
          <w:bCs/>
          <w:lang w:eastAsia="en-CA"/>
        </w:rPr>
        <w:t>.  The Company</w:t>
      </w:r>
      <w:r w:rsidRPr="002C11DB">
        <w:rPr>
          <w:rFonts w:ascii="Calibri" w:eastAsia="Times New Roman" w:hAnsi="Calibri" w:cs="Calibri"/>
          <w:bCs/>
          <w:lang w:eastAsia="en-CA"/>
        </w:rPr>
        <w:t xml:space="preserve"> is focused predominantly on acquiring royalties on advanced stage and operating projects to build a diversified portfolio located in jurisdictions with low geopolitical risk</w:t>
      </w:r>
      <w:r w:rsidR="00C4114D">
        <w:rPr>
          <w:rFonts w:ascii="Calibri" w:eastAsia="Times New Roman" w:hAnsi="Calibri" w:cs="Calibri"/>
          <w:bCs/>
          <w:lang w:eastAsia="en-CA"/>
        </w:rPr>
        <w:t>,</w:t>
      </w:r>
      <w:r w:rsidRPr="002C11DB">
        <w:rPr>
          <w:rFonts w:ascii="Calibri" w:eastAsia="Times New Roman" w:hAnsi="Calibri" w:cs="Calibri"/>
          <w:bCs/>
          <w:lang w:eastAsia="en-CA"/>
        </w:rPr>
        <w:t xml:space="preserve"> which offers investors exposure to the clean energy transition via the underlying commodities required to rebuild the global infrastructure over the next several decades towards a decarbonized global economy.  </w:t>
      </w:r>
    </w:p>
    <w:p w14:paraId="02DF9087" w14:textId="3A4AA75A" w:rsidR="00CE1D3C" w:rsidRDefault="00CE1D3C" w:rsidP="00F2560E">
      <w:pPr>
        <w:widowControl w:val="0"/>
        <w:autoSpaceDE w:val="0"/>
        <w:autoSpaceDN w:val="0"/>
        <w:spacing w:after="0" w:line="240" w:lineRule="auto"/>
        <w:jc w:val="both"/>
        <w:rPr>
          <w:rFonts w:ascii="Calibri" w:eastAsia="Times New Roman" w:hAnsi="Calibri" w:cs="Calibri"/>
          <w:bCs/>
          <w:lang w:eastAsia="en-CA"/>
        </w:rPr>
      </w:pPr>
    </w:p>
    <w:p w14:paraId="05AE5509" w14:textId="77777777" w:rsidR="00CE1D3C" w:rsidRPr="002C11DB" w:rsidRDefault="00CE1D3C" w:rsidP="00541702">
      <w:pPr>
        <w:autoSpaceDE w:val="0"/>
        <w:autoSpaceDN w:val="0"/>
        <w:adjustRightInd w:val="0"/>
        <w:spacing w:after="0" w:line="240" w:lineRule="auto"/>
        <w:rPr>
          <w:rFonts w:ascii="Calibri" w:eastAsia="Calibri" w:hAnsi="Calibri" w:cs="Calibri"/>
          <w:lang w:eastAsia="en-CA"/>
        </w:rPr>
      </w:pPr>
      <w:r w:rsidRPr="002C11DB">
        <w:rPr>
          <w:rFonts w:ascii="Calibri" w:eastAsia="Calibri" w:hAnsi="Calibri" w:cs="Calibri"/>
          <w:lang w:eastAsia="en-CA"/>
        </w:rPr>
        <w:t>On Behalf of the Board of Directors,</w:t>
      </w:r>
    </w:p>
    <w:p w14:paraId="0C00F7DD" w14:textId="77777777" w:rsidR="00CE1D3C" w:rsidRPr="002C11DB" w:rsidRDefault="00CE1D3C" w:rsidP="00CE1D3C">
      <w:pPr>
        <w:autoSpaceDE w:val="0"/>
        <w:autoSpaceDN w:val="0"/>
        <w:adjustRightInd w:val="0"/>
        <w:spacing w:after="0" w:line="240" w:lineRule="auto"/>
        <w:rPr>
          <w:rFonts w:ascii="Calibri" w:eastAsia="Calibri" w:hAnsi="Calibri" w:cs="Calibri"/>
          <w:lang w:eastAsia="en-CA"/>
        </w:rPr>
      </w:pPr>
      <w:r w:rsidRPr="002C11DB">
        <w:rPr>
          <w:rFonts w:ascii="Calibri" w:eastAsia="Calibri" w:hAnsi="Calibri" w:cs="Calibri"/>
          <w:lang w:eastAsia="en-CA"/>
        </w:rPr>
        <w:t>Brendan Yurik</w:t>
      </w:r>
    </w:p>
    <w:p w14:paraId="1C31989A" w14:textId="77777777" w:rsidR="00CE1D3C" w:rsidRPr="002C11DB" w:rsidRDefault="00CE1D3C" w:rsidP="00CE1D3C">
      <w:pPr>
        <w:autoSpaceDE w:val="0"/>
        <w:autoSpaceDN w:val="0"/>
        <w:adjustRightInd w:val="0"/>
        <w:spacing w:after="0" w:line="240" w:lineRule="auto"/>
        <w:rPr>
          <w:rFonts w:ascii="Calibri" w:eastAsia="Calibri" w:hAnsi="Calibri" w:cs="Calibri"/>
          <w:lang w:eastAsia="en-CA"/>
        </w:rPr>
      </w:pPr>
      <w:r w:rsidRPr="002C11DB">
        <w:rPr>
          <w:rFonts w:ascii="Calibri" w:eastAsia="Calibri" w:hAnsi="Calibri" w:cs="Calibri"/>
          <w:lang w:eastAsia="en-CA"/>
        </w:rPr>
        <w:t>CEO</w:t>
      </w:r>
    </w:p>
    <w:p w14:paraId="3ABF8D16" w14:textId="77777777" w:rsidR="002C11DB" w:rsidRPr="002C11DB" w:rsidRDefault="002C11DB" w:rsidP="00F2560E">
      <w:pPr>
        <w:keepNext/>
        <w:shd w:val="clear" w:color="auto" w:fill="FFFFFF"/>
        <w:spacing w:before="240" w:after="0" w:line="240" w:lineRule="auto"/>
        <w:jc w:val="both"/>
        <w:textAlignment w:val="baseline"/>
        <w:rPr>
          <w:rFonts w:ascii="Calibri" w:eastAsia="Times New Roman" w:hAnsi="Calibri" w:cs="Calibri"/>
          <w:lang w:eastAsia="en-CA"/>
        </w:rPr>
      </w:pPr>
      <w:r w:rsidRPr="002C11DB">
        <w:rPr>
          <w:rFonts w:ascii="Calibri" w:eastAsia="Times New Roman" w:hAnsi="Calibri" w:cs="Calibri"/>
          <w:b/>
          <w:bCs/>
          <w:bdr w:val="none" w:sz="0" w:space="0" w:color="auto" w:frame="1"/>
          <w:lang w:eastAsia="en-CA"/>
        </w:rPr>
        <w:t>For further information, please contact:</w:t>
      </w:r>
    </w:p>
    <w:p w14:paraId="619452FE" w14:textId="77777777" w:rsidR="002C11DB" w:rsidRPr="002C11DB" w:rsidRDefault="002C11DB" w:rsidP="00F2560E">
      <w:pPr>
        <w:shd w:val="clear" w:color="auto" w:fill="FFFFFF"/>
        <w:spacing w:after="0" w:line="240" w:lineRule="auto"/>
        <w:jc w:val="both"/>
        <w:textAlignment w:val="baseline"/>
        <w:rPr>
          <w:rFonts w:ascii="Calibri" w:eastAsia="Times New Roman" w:hAnsi="Calibri" w:cs="Calibri"/>
          <w:lang w:eastAsia="en-CA"/>
        </w:rPr>
      </w:pPr>
      <w:r w:rsidRPr="002C11DB">
        <w:rPr>
          <w:rFonts w:ascii="Calibri" w:eastAsia="Times New Roman" w:hAnsi="Calibri" w:cs="Calibri"/>
          <w:lang w:eastAsia="en-CA"/>
        </w:rPr>
        <w:t xml:space="preserve">Brendan Yurik Tel: (604) 364‐3540 </w:t>
      </w:r>
    </w:p>
    <w:p w14:paraId="1240B77D" w14:textId="77777777" w:rsidR="002C11DB" w:rsidRPr="002C11DB" w:rsidRDefault="002C11DB" w:rsidP="00F2560E">
      <w:pPr>
        <w:shd w:val="clear" w:color="auto" w:fill="FFFFFF"/>
        <w:spacing w:after="0" w:line="240" w:lineRule="auto"/>
        <w:jc w:val="both"/>
        <w:textAlignment w:val="baseline"/>
        <w:rPr>
          <w:rFonts w:ascii="Calibri" w:eastAsia="Times New Roman" w:hAnsi="Calibri" w:cs="Calibri"/>
          <w:lang w:eastAsia="en-CA"/>
        </w:rPr>
      </w:pPr>
      <w:r w:rsidRPr="002C11DB">
        <w:rPr>
          <w:rFonts w:ascii="Calibri" w:eastAsia="Times New Roman" w:hAnsi="Calibri" w:cs="Calibri"/>
          <w:lang w:eastAsia="en-CA"/>
        </w:rPr>
        <w:t>Brendan.yurik@electricroyalties.com</w:t>
      </w:r>
    </w:p>
    <w:p w14:paraId="57CBE863" w14:textId="77777777" w:rsidR="002C11DB" w:rsidRPr="002C11DB" w:rsidRDefault="00A55303" w:rsidP="00F2560E">
      <w:pPr>
        <w:shd w:val="clear" w:color="auto" w:fill="FFFFFF"/>
        <w:spacing w:after="0" w:line="240" w:lineRule="auto"/>
        <w:jc w:val="both"/>
        <w:textAlignment w:val="baseline"/>
        <w:rPr>
          <w:rFonts w:ascii="Calibri" w:eastAsia="Times New Roman" w:hAnsi="Calibri" w:cs="Calibri"/>
          <w:lang w:eastAsia="en-CA"/>
        </w:rPr>
      </w:pPr>
      <w:hyperlink r:id="rId12" w:history="1">
        <w:r w:rsidR="002C11DB" w:rsidRPr="002C11DB">
          <w:rPr>
            <w:rFonts w:ascii="Calibri" w:eastAsia="Times New Roman" w:hAnsi="Calibri" w:cs="Calibri"/>
            <w:color w:val="0000FF"/>
            <w:u w:val="single"/>
            <w:lang w:eastAsia="en-CA"/>
          </w:rPr>
          <w:t>www.electricroyalties.com</w:t>
        </w:r>
      </w:hyperlink>
      <w:r w:rsidR="002C11DB" w:rsidRPr="002C11DB">
        <w:rPr>
          <w:rFonts w:ascii="Calibri" w:eastAsia="Times New Roman" w:hAnsi="Calibri" w:cs="Calibri"/>
          <w:lang w:eastAsia="en-CA"/>
        </w:rPr>
        <w:t xml:space="preserve">  </w:t>
      </w:r>
    </w:p>
    <w:p w14:paraId="449EFDB9" w14:textId="77777777" w:rsidR="002C11DB" w:rsidRPr="002C11DB" w:rsidRDefault="002C11DB" w:rsidP="00F2560E">
      <w:pPr>
        <w:shd w:val="clear" w:color="auto" w:fill="FFFFFF"/>
        <w:spacing w:after="0" w:line="240" w:lineRule="auto"/>
        <w:jc w:val="both"/>
        <w:textAlignment w:val="baseline"/>
        <w:rPr>
          <w:rFonts w:ascii="Calibri" w:eastAsia="Times New Roman" w:hAnsi="Calibri" w:cs="Calibri"/>
          <w:lang w:eastAsia="en-CA"/>
        </w:rPr>
      </w:pPr>
    </w:p>
    <w:p w14:paraId="2278814B" w14:textId="785842B9" w:rsidR="002C11DB" w:rsidRPr="002C11DB" w:rsidRDefault="002C11DB" w:rsidP="00F2560E">
      <w:pPr>
        <w:shd w:val="clear" w:color="auto" w:fill="FFFFFF"/>
        <w:spacing w:after="0" w:line="240" w:lineRule="auto"/>
        <w:jc w:val="both"/>
        <w:textAlignment w:val="baseline"/>
        <w:rPr>
          <w:rFonts w:ascii="Calibri" w:eastAsia="Times New Roman" w:hAnsi="Calibri" w:cs="Calibri"/>
          <w:lang w:eastAsia="en-CA"/>
        </w:rPr>
      </w:pPr>
      <w:r w:rsidRPr="002C11DB">
        <w:rPr>
          <w:rFonts w:ascii="Calibri" w:eastAsia="Times New Roman" w:hAnsi="Calibri" w:cs="Calibri"/>
          <w:lang w:eastAsia="en-CA"/>
        </w:rPr>
        <w:t>Neither the TSX Venture Exchange nor its Regulation Services Provider (as that term is defined in the policies of the TSX Venture Exchange)</w:t>
      </w:r>
      <w:r w:rsidR="00172A55">
        <w:rPr>
          <w:rFonts w:ascii="Calibri" w:eastAsia="Times New Roman" w:hAnsi="Calibri" w:cs="Calibri"/>
          <w:lang w:eastAsia="en-CA"/>
        </w:rPr>
        <w:t>,</w:t>
      </w:r>
      <w:r w:rsidRPr="002C11DB">
        <w:rPr>
          <w:rFonts w:ascii="Calibri" w:eastAsia="Times New Roman" w:hAnsi="Calibri" w:cs="Calibri"/>
          <w:lang w:eastAsia="en-CA"/>
        </w:rPr>
        <w:t xml:space="preserve"> </w:t>
      </w:r>
      <w:r w:rsidR="00172A55">
        <w:rPr>
          <w:rFonts w:ascii="Calibri" w:eastAsia="Times New Roman" w:hAnsi="Calibri" w:cs="Calibri"/>
          <w:lang w:eastAsia="en-CA"/>
        </w:rPr>
        <w:t xml:space="preserve">nor any other regulatory body or securities exchange platform, </w:t>
      </w:r>
      <w:r w:rsidRPr="002C11DB">
        <w:rPr>
          <w:rFonts w:ascii="Calibri" w:eastAsia="Times New Roman" w:hAnsi="Calibri" w:cs="Calibri"/>
          <w:lang w:eastAsia="en-CA"/>
        </w:rPr>
        <w:t>accepts responsibility for the adequacy or accuracy of this release.</w:t>
      </w:r>
    </w:p>
    <w:p w14:paraId="0404E0FB" w14:textId="77777777" w:rsidR="002C11DB" w:rsidRPr="002C11DB" w:rsidRDefault="002C11DB" w:rsidP="00F2560E">
      <w:pPr>
        <w:widowControl w:val="0"/>
        <w:autoSpaceDE w:val="0"/>
        <w:autoSpaceDN w:val="0"/>
        <w:spacing w:after="0" w:line="240" w:lineRule="auto"/>
        <w:jc w:val="both"/>
        <w:rPr>
          <w:rFonts w:ascii="Calibri" w:eastAsia="Times New Roman" w:hAnsi="Calibri" w:cs="Calibri"/>
          <w:bCs/>
          <w:lang w:eastAsia="en-CA"/>
        </w:rPr>
      </w:pPr>
    </w:p>
    <w:p w14:paraId="4A37C2A4" w14:textId="77777777" w:rsidR="002C11DB" w:rsidRPr="002C11DB" w:rsidRDefault="002C11DB" w:rsidP="00F2560E">
      <w:pPr>
        <w:keepNext/>
        <w:spacing w:after="180" w:line="240" w:lineRule="auto"/>
        <w:jc w:val="both"/>
        <w:rPr>
          <w:rFonts w:ascii="Calibri" w:eastAsia="Times New Roman" w:hAnsi="Calibri" w:cs="Calibri"/>
          <w:lang w:eastAsia="en-CA"/>
        </w:rPr>
      </w:pPr>
      <w:r w:rsidRPr="002C11DB">
        <w:rPr>
          <w:rFonts w:ascii="Calibri" w:eastAsia="Times New Roman" w:hAnsi="Calibri" w:cs="Calibri"/>
          <w:b/>
          <w:bCs/>
          <w:lang w:eastAsia="en-CA"/>
        </w:rPr>
        <w:t xml:space="preserve">Cautionary Statements Regarding Forward-Looking Information and Other Company Information </w:t>
      </w:r>
    </w:p>
    <w:p w14:paraId="5832F607" w14:textId="4D7FCB32" w:rsidR="002C11DB" w:rsidRPr="007B1F76" w:rsidRDefault="002C11DB" w:rsidP="00F2560E">
      <w:pPr>
        <w:keepNext/>
        <w:spacing w:after="180" w:line="240" w:lineRule="auto"/>
        <w:jc w:val="both"/>
        <w:rPr>
          <w:rFonts w:ascii="Calibri" w:eastAsia="Times New Roman" w:hAnsi="Calibri" w:cs="Calibri"/>
          <w:iCs/>
          <w:lang w:eastAsia="en-CA"/>
        </w:rPr>
      </w:pPr>
      <w:r w:rsidRPr="007B1F76">
        <w:rPr>
          <w:rFonts w:ascii="Calibri" w:eastAsia="Times New Roman" w:hAnsi="Calibri" w:cs="Calibri"/>
          <w:i/>
          <w:shd w:val="clear" w:color="auto" w:fill="FFFFFF"/>
          <w:lang w:eastAsia="en-CA"/>
        </w:rPr>
        <w:t>This news release includes forward-looking information and forward-looking statements (collectively, "forward-looking information") with respect to the Company within the meaning of Canadian securities laws. Forward looking information is typically identified by words such as: believe, expect, anticipate, intend, estimate, postulate and similar expressions, or are those, which, by their nature, refer to future events. This information represents predictions and actual events or results may differ materially. Forward-looking information may relate to the Company’s future outlook and anticipated events and may include statements regarding the financial results, future financial position, expected growth of cash flows, business strategy, budgets, projected costs, projected capital expenditures, taxes, plans, objectives, industry trends and growth opportunities of the Company and the projects in which it holds royalty interests</w:t>
      </w:r>
      <w:r w:rsidR="00E15F14" w:rsidRPr="007B1F76">
        <w:rPr>
          <w:rFonts w:ascii="Calibri" w:eastAsia="Times New Roman" w:hAnsi="Calibri" w:cs="Calibri"/>
          <w:i/>
          <w:shd w:val="clear" w:color="auto" w:fill="FFFFFF"/>
          <w:lang w:eastAsia="en-CA"/>
        </w:rPr>
        <w:t xml:space="preserve"> and the companies that own or operate said projects</w:t>
      </w:r>
      <w:r w:rsidRPr="007B1F76">
        <w:rPr>
          <w:rFonts w:ascii="Calibri" w:eastAsia="Times New Roman" w:hAnsi="Calibri" w:cs="Calibri"/>
          <w:i/>
          <w:shd w:val="clear" w:color="auto" w:fill="FFFFFF"/>
          <w:lang w:eastAsia="en-CA"/>
        </w:rPr>
        <w:t>.</w:t>
      </w:r>
    </w:p>
    <w:p w14:paraId="36154C53" w14:textId="77777777" w:rsidR="002C11DB" w:rsidRPr="007B1F76" w:rsidRDefault="002C11DB" w:rsidP="00F2560E">
      <w:pPr>
        <w:shd w:val="clear" w:color="auto" w:fill="FFFFFF"/>
        <w:spacing w:after="0" w:line="240" w:lineRule="auto"/>
        <w:jc w:val="both"/>
        <w:textAlignment w:val="baseline"/>
        <w:rPr>
          <w:rFonts w:ascii="Calibri" w:eastAsia="Times New Roman" w:hAnsi="Calibri" w:cs="Calibri"/>
          <w:i/>
          <w:lang w:eastAsia="en-CA"/>
        </w:rPr>
      </w:pPr>
      <w:r w:rsidRPr="007B1F76">
        <w:rPr>
          <w:rFonts w:ascii="Calibri" w:eastAsia="Times New Roman" w:hAnsi="Calibri" w:cs="Calibri"/>
          <w:i/>
          <w:lang w:eastAsia="en-CA"/>
        </w:rPr>
        <w:t>While management considers these assumptions to be reasonable, based on information available, they may prove to be incorrect. Forward-looking statements involve known and unknown risks, uncertainties and other factors which may cause the actual results, performance or achievements of the Company or these projects to be materially different from any future results, performance or achievements expressed or implied by the forward-looking statements. These risks, uncertainties and other factors include, but are not limited to risks associated with general economic conditions; adverse industry events; marketing costs; loss of markets; future legislative and regulatory developments involving the renewable energy industry; inability to access sufficient capital from internal and external sources, and/or inability to access sufficient capital on favourable terms; the mining industry generally, the Covid-19 pandemic, recent market volatility, income tax and regulatory matters; the ability of the Company or the owners of these projects to implement their business strategies including expansion plans; competition; currency and interest rate fluctuations, and the other risks.</w:t>
      </w:r>
    </w:p>
    <w:p w14:paraId="6A1DE790" w14:textId="77777777" w:rsidR="002C11DB" w:rsidRPr="007B1F76" w:rsidRDefault="002C11DB" w:rsidP="00F2560E">
      <w:pPr>
        <w:shd w:val="clear" w:color="auto" w:fill="FFFFFF"/>
        <w:spacing w:after="0" w:line="240" w:lineRule="auto"/>
        <w:jc w:val="both"/>
        <w:textAlignment w:val="baseline"/>
        <w:rPr>
          <w:rFonts w:ascii="Calibri" w:eastAsia="Times New Roman" w:hAnsi="Calibri" w:cs="Calibri"/>
          <w:i/>
          <w:lang w:eastAsia="en-CA"/>
        </w:rPr>
      </w:pPr>
    </w:p>
    <w:p w14:paraId="571AD08D" w14:textId="332280C8" w:rsidR="002C11DB" w:rsidRPr="007B1F76" w:rsidRDefault="002C11DB" w:rsidP="00F2560E">
      <w:pPr>
        <w:spacing w:line="240" w:lineRule="auto"/>
        <w:jc w:val="both"/>
      </w:pPr>
      <w:r w:rsidRPr="007B1F76">
        <w:rPr>
          <w:rFonts w:ascii="Calibri" w:eastAsia="Times New Roman" w:hAnsi="Calibri" w:cs="Calibri"/>
          <w:i/>
          <w:lang w:eastAsia="en-CA"/>
        </w:rPr>
        <w:t>The reader is referred to the Company’s most recent filings on SEDAR</w:t>
      </w:r>
      <w:r w:rsidR="00172A55" w:rsidRPr="007B1F76">
        <w:rPr>
          <w:rFonts w:ascii="Calibri" w:eastAsia="Times New Roman" w:hAnsi="Calibri" w:cs="Calibri"/>
          <w:i/>
          <w:lang w:eastAsia="en-CA"/>
        </w:rPr>
        <w:t xml:space="preserve"> as well as other information filed with the OTC Markets</w:t>
      </w:r>
      <w:r w:rsidRPr="007B1F76">
        <w:rPr>
          <w:rFonts w:ascii="Calibri" w:eastAsia="Times New Roman" w:hAnsi="Calibri" w:cs="Calibri"/>
          <w:i/>
          <w:lang w:eastAsia="en-CA"/>
        </w:rPr>
        <w:t xml:space="preserve"> for a more complete discussion of all applicable risk factors and their potential effects, copies of which may be accessed through the Company’s profile page at </w:t>
      </w:r>
      <w:hyperlink r:id="rId13" w:history="1">
        <w:r w:rsidR="00172A55" w:rsidRPr="007B1F76">
          <w:rPr>
            <w:rStyle w:val="Hyperlink"/>
            <w:rFonts w:ascii="Calibri" w:eastAsia="Times New Roman" w:hAnsi="Calibri" w:cs="Calibri"/>
            <w:i/>
            <w:lang w:eastAsia="en-CA"/>
          </w:rPr>
          <w:t>www.sedar.com</w:t>
        </w:r>
      </w:hyperlink>
      <w:r w:rsidR="00172A55" w:rsidRPr="007B1F76">
        <w:rPr>
          <w:rFonts w:ascii="Calibri" w:eastAsia="Times New Roman" w:hAnsi="Calibri" w:cs="Calibri"/>
          <w:i/>
          <w:lang w:eastAsia="en-CA"/>
        </w:rPr>
        <w:t xml:space="preserve"> and at otcmarkets.com</w:t>
      </w:r>
      <w:r w:rsidRPr="007B1F76">
        <w:rPr>
          <w:rFonts w:ascii="Calibri" w:eastAsia="Times New Roman" w:hAnsi="Calibri" w:cs="Calibri"/>
          <w:i/>
          <w:lang w:eastAsia="en-CA"/>
        </w:rPr>
        <w:t>.</w:t>
      </w:r>
    </w:p>
    <w:sectPr w:rsidR="002C11DB" w:rsidRPr="007B1F76">
      <w:headerReference w:type="default" r:id="rId14"/>
      <w:footerReference w:type="default" r:id="rId15"/>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BC1D" w16cex:dateUtc="2021-12-06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CB64D" w16cid:durableId="2559BC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1A00" w14:textId="77777777" w:rsidR="00321E17" w:rsidRDefault="00321E17" w:rsidP="002C11DB">
      <w:pPr>
        <w:spacing w:after="0" w:line="240" w:lineRule="auto"/>
      </w:pPr>
      <w:r>
        <w:separator/>
      </w:r>
    </w:p>
  </w:endnote>
  <w:endnote w:type="continuationSeparator" w:id="0">
    <w:p w14:paraId="77BAB288" w14:textId="77777777" w:rsidR="00321E17" w:rsidRDefault="00321E17" w:rsidP="002C11DB">
      <w:pPr>
        <w:spacing w:after="0" w:line="240" w:lineRule="auto"/>
      </w:pPr>
      <w:r>
        <w:continuationSeparator/>
      </w:r>
    </w:p>
  </w:endnote>
  <w:endnote w:type="continuationNotice" w:id="1">
    <w:p w14:paraId="0CDB91C1" w14:textId="77777777" w:rsidR="00321E17" w:rsidRDefault="00321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592700"/>
      <w:docPartObj>
        <w:docPartGallery w:val="Page Numbers (Bottom of Page)"/>
        <w:docPartUnique/>
      </w:docPartObj>
    </w:sdtPr>
    <w:sdtEndPr>
      <w:rPr>
        <w:noProof/>
      </w:rPr>
    </w:sdtEndPr>
    <w:sdtContent>
      <w:p w14:paraId="3DDC28FD" w14:textId="7E664BE0" w:rsidR="008201FE" w:rsidRDefault="008201FE">
        <w:pPr>
          <w:pStyle w:val="Footer"/>
          <w:jc w:val="center"/>
        </w:pPr>
        <w:r>
          <w:fldChar w:fldCharType="begin"/>
        </w:r>
        <w:r>
          <w:instrText xml:space="preserve"> PAGE   \* MERGEFORMAT </w:instrText>
        </w:r>
        <w:r>
          <w:fldChar w:fldCharType="separate"/>
        </w:r>
        <w:r w:rsidR="00A55303">
          <w:rPr>
            <w:noProof/>
          </w:rPr>
          <w:t>5</w:t>
        </w:r>
        <w:r>
          <w:rPr>
            <w:noProof/>
          </w:rPr>
          <w:fldChar w:fldCharType="end"/>
        </w:r>
      </w:p>
    </w:sdtContent>
  </w:sdt>
  <w:p w14:paraId="45066ABF" w14:textId="77777777" w:rsidR="008201FE" w:rsidRDefault="008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F9C6F" w14:textId="77777777" w:rsidR="00321E17" w:rsidRDefault="00321E17" w:rsidP="002C11DB">
      <w:pPr>
        <w:spacing w:after="0" w:line="240" w:lineRule="auto"/>
      </w:pPr>
      <w:r>
        <w:separator/>
      </w:r>
    </w:p>
  </w:footnote>
  <w:footnote w:type="continuationSeparator" w:id="0">
    <w:p w14:paraId="498916D9" w14:textId="77777777" w:rsidR="00321E17" w:rsidRDefault="00321E17" w:rsidP="002C11DB">
      <w:pPr>
        <w:spacing w:after="0" w:line="240" w:lineRule="auto"/>
      </w:pPr>
      <w:r>
        <w:continuationSeparator/>
      </w:r>
    </w:p>
  </w:footnote>
  <w:footnote w:type="continuationNotice" w:id="1">
    <w:p w14:paraId="1510E628" w14:textId="77777777" w:rsidR="00321E17" w:rsidRDefault="00321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2572" w14:textId="16934A1F" w:rsidR="002C11DB" w:rsidRDefault="002C11D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2C8"/>
    <w:multiLevelType w:val="hybridMultilevel"/>
    <w:tmpl w:val="36BC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1117B"/>
    <w:multiLevelType w:val="hybridMultilevel"/>
    <w:tmpl w:val="7D3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F69F9"/>
    <w:multiLevelType w:val="hybridMultilevel"/>
    <w:tmpl w:val="65E0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843CA"/>
    <w:multiLevelType w:val="multilevel"/>
    <w:tmpl w:val="A34C2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619B9"/>
    <w:multiLevelType w:val="hybridMultilevel"/>
    <w:tmpl w:val="04BA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4010D"/>
    <w:multiLevelType w:val="hybridMultilevel"/>
    <w:tmpl w:val="F5A44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A23632"/>
    <w:multiLevelType w:val="hybridMultilevel"/>
    <w:tmpl w:val="C08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3E2B"/>
    <w:multiLevelType w:val="hybridMultilevel"/>
    <w:tmpl w:val="6D5CF9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933E1C"/>
    <w:multiLevelType w:val="hybridMultilevel"/>
    <w:tmpl w:val="BCB89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20E9C"/>
    <w:multiLevelType w:val="hybridMultilevel"/>
    <w:tmpl w:val="3EA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22F08"/>
    <w:multiLevelType w:val="hybridMultilevel"/>
    <w:tmpl w:val="D4E60A0A"/>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59375DD1"/>
    <w:multiLevelType w:val="hybridMultilevel"/>
    <w:tmpl w:val="D714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F0676"/>
    <w:multiLevelType w:val="hybridMultilevel"/>
    <w:tmpl w:val="124E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17E99"/>
    <w:multiLevelType w:val="hybridMultilevel"/>
    <w:tmpl w:val="E60E696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70BB0E02"/>
    <w:multiLevelType w:val="hybridMultilevel"/>
    <w:tmpl w:val="2428580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CAA6823"/>
    <w:multiLevelType w:val="hybridMultilevel"/>
    <w:tmpl w:val="ABA6A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4"/>
  </w:num>
  <w:num w:numId="4">
    <w:abstractNumId w:val="13"/>
  </w:num>
  <w:num w:numId="5">
    <w:abstractNumId w:val="8"/>
  </w:num>
  <w:num w:numId="6">
    <w:abstractNumId w:val="10"/>
  </w:num>
  <w:num w:numId="7">
    <w:abstractNumId w:val="0"/>
  </w:num>
  <w:num w:numId="8">
    <w:abstractNumId w:val="5"/>
  </w:num>
  <w:num w:numId="9">
    <w:abstractNumId w:val="2"/>
  </w:num>
  <w:num w:numId="10">
    <w:abstractNumId w:val="1"/>
  </w:num>
  <w:num w:numId="11">
    <w:abstractNumId w:val="12"/>
  </w:num>
  <w:num w:numId="12">
    <w:abstractNumId w:val="6"/>
  </w:num>
  <w:num w:numId="13">
    <w:abstractNumId w:val="11"/>
  </w:num>
  <w:num w:numId="14">
    <w:abstractNumId w:val="9"/>
  </w:num>
  <w:num w:numId="15">
    <w:abstractNumId w:val="7"/>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0D"/>
    <w:rsid w:val="0000385B"/>
    <w:rsid w:val="00026F51"/>
    <w:rsid w:val="000527EA"/>
    <w:rsid w:val="00060620"/>
    <w:rsid w:val="00061EDC"/>
    <w:rsid w:val="00062E0E"/>
    <w:rsid w:val="00065F5B"/>
    <w:rsid w:val="00067E04"/>
    <w:rsid w:val="00070431"/>
    <w:rsid w:val="00071690"/>
    <w:rsid w:val="0008460A"/>
    <w:rsid w:val="00091CCE"/>
    <w:rsid w:val="00097E00"/>
    <w:rsid w:val="000D24E6"/>
    <w:rsid w:val="000E5583"/>
    <w:rsid w:val="000E5AEE"/>
    <w:rsid w:val="000E65DD"/>
    <w:rsid w:val="000F77EB"/>
    <w:rsid w:val="00120ECC"/>
    <w:rsid w:val="00172A55"/>
    <w:rsid w:val="00192763"/>
    <w:rsid w:val="0019496F"/>
    <w:rsid w:val="001A115D"/>
    <w:rsid w:val="001B121A"/>
    <w:rsid w:val="001B6C43"/>
    <w:rsid w:val="001D0DC1"/>
    <w:rsid w:val="001D664D"/>
    <w:rsid w:val="001E0B5A"/>
    <w:rsid w:val="001F4967"/>
    <w:rsid w:val="001F5E7B"/>
    <w:rsid w:val="001F7785"/>
    <w:rsid w:val="00202D9C"/>
    <w:rsid w:val="00207C96"/>
    <w:rsid w:val="002166CB"/>
    <w:rsid w:val="00253699"/>
    <w:rsid w:val="0027753E"/>
    <w:rsid w:val="002B2C32"/>
    <w:rsid w:val="002B535F"/>
    <w:rsid w:val="002C11DB"/>
    <w:rsid w:val="002D72D8"/>
    <w:rsid w:val="002E0A00"/>
    <w:rsid w:val="002E7C79"/>
    <w:rsid w:val="002F09C3"/>
    <w:rsid w:val="00316CF2"/>
    <w:rsid w:val="00317F49"/>
    <w:rsid w:val="00321E17"/>
    <w:rsid w:val="00325290"/>
    <w:rsid w:val="0033366D"/>
    <w:rsid w:val="00340B9C"/>
    <w:rsid w:val="00347CE1"/>
    <w:rsid w:val="00353CD4"/>
    <w:rsid w:val="00377A7A"/>
    <w:rsid w:val="0039262C"/>
    <w:rsid w:val="003A4A1E"/>
    <w:rsid w:val="003C25C1"/>
    <w:rsid w:val="003C70D7"/>
    <w:rsid w:val="003C711E"/>
    <w:rsid w:val="003D3BEA"/>
    <w:rsid w:val="00416C6D"/>
    <w:rsid w:val="004314A7"/>
    <w:rsid w:val="004550D3"/>
    <w:rsid w:val="0046559A"/>
    <w:rsid w:val="00486083"/>
    <w:rsid w:val="00490B45"/>
    <w:rsid w:val="004D0A8A"/>
    <w:rsid w:val="004D24FD"/>
    <w:rsid w:val="004D629D"/>
    <w:rsid w:val="004E5583"/>
    <w:rsid w:val="004F2AD1"/>
    <w:rsid w:val="004F3AD1"/>
    <w:rsid w:val="0051497C"/>
    <w:rsid w:val="00520D95"/>
    <w:rsid w:val="00541702"/>
    <w:rsid w:val="00557177"/>
    <w:rsid w:val="005659DB"/>
    <w:rsid w:val="00571491"/>
    <w:rsid w:val="0059710F"/>
    <w:rsid w:val="005A30DC"/>
    <w:rsid w:val="005E056F"/>
    <w:rsid w:val="005F6445"/>
    <w:rsid w:val="006435E1"/>
    <w:rsid w:val="00665471"/>
    <w:rsid w:val="006B4803"/>
    <w:rsid w:val="006E2987"/>
    <w:rsid w:val="0070056C"/>
    <w:rsid w:val="007017D3"/>
    <w:rsid w:val="00701C76"/>
    <w:rsid w:val="007245EF"/>
    <w:rsid w:val="007335E4"/>
    <w:rsid w:val="00742DBB"/>
    <w:rsid w:val="0076708F"/>
    <w:rsid w:val="007727F1"/>
    <w:rsid w:val="0078787C"/>
    <w:rsid w:val="00797FE5"/>
    <w:rsid w:val="007A6A4F"/>
    <w:rsid w:val="007B1F76"/>
    <w:rsid w:val="007C7C5F"/>
    <w:rsid w:val="007D0E0F"/>
    <w:rsid w:val="007E767D"/>
    <w:rsid w:val="00800B0E"/>
    <w:rsid w:val="008201FE"/>
    <w:rsid w:val="00820E3D"/>
    <w:rsid w:val="0083569E"/>
    <w:rsid w:val="0086479D"/>
    <w:rsid w:val="0087739C"/>
    <w:rsid w:val="00890A0D"/>
    <w:rsid w:val="008A046A"/>
    <w:rsid w:val="008C7689"/>
    <w:rsid w:val="008F52F7"/>
    <w:rsid w:val="00904B2D"/>
    <w:rsid w:val="00916291"/>
    <w:rsid w:val="009268D0"/>
    <w:rsid w:val="00931D42"/>
    <w:rsid w:val="00931F81"/>
    <w:rsid w:val="00960AEC"/>
    <w:rsid w:val="00973201"/>
    <w:rsid w:val="0099619A"/>
    <w:rsid w:val="0099741C"/>
    <w:rsid w:val="009C710F"/>
    <w:rsid w:val="009D2322"/>
    <w:rsid w:val="009D39F6"/>
    <w:rsid w:val="009E7162"/>
    <w:rsid w:val="00A06647"/>
    <w:rsid w:val="00A16666"/>
    <w:rsid w:val="00A47078"/>
    <w:rsid w:val="00A5192C"/>
    <w:rsid w:val="00A55303"/>
    <w:rsid w:val="00A56490"/>
    <w:rsid w:val="00A878D0"/>
    <w:rsid w:val="00A94FEB"/>
    <w:rsid w:val="00AC4BC6"/>
    <w:rsid w:val="00AE5308"/>
    <w:rsid w:val="00B013C1"/>
    <w:rsid w:val="00B2649D"/>
    <w:rsid w:val="00B36D17"/>
    <w:rsid w:val="00B376CF"/>
    <w:rsid w:val="00B41695"/>
    <w:rsid w:val="00B54A16"/>
    <w:rsid w:val="00B743CC"/>
    <w:rsid w:val="00BB071C"/>
    <w:rsid w:val="00BC6DB7"/>
    <w:rsid w:val="00BD1844"/>
    <w:rsid w:val="00BD3CC4"/>
    <w:rsid w:val="00BD403B"/>
    <w:rsid w:val="00BE755B"/>
    <w:rsid w:val="00C4114D"/>
    <w:rsid w:val="00C45B5A"/>
    <w:rsid w:val="00C65B7F"/>
    <w:rsid w:val="00C708DD"/>
    <w:rsid w:val="00CA5145"/>
    <w:rsid w:val="00CB663D"/>
    <w:rsid w:val="00CC26CE"/>
    <w:rsid w:val="00CE1D3C"/>
    <w:rsid w:val="00CE1DD3"/>
    <w:rsid w:val="00CE33A1"/>
    <w:rsid w:val="00CE7619"/>
    <w:rsid w:val="00CF15D7"/>
    <w:rsid w:val="00CF22EB"/>
    <w:rsid w:val="00D00D2C"/>
    <w:rsid w:val="00D2237C"/>
    <w:rsid w:val="00D233ED"/>
    <w:rsid w:val="00D4798A"/>
    <w:rsid w:val="00D561A2"/>
    <w:rsid w:val="00D701D4"/>
    <w:rsid w:val="00D810EF"/>
    <w:rsid w:val="00D8195E"/>
    <w:rsid w:val="00DA7386"/>
    <w:rsid w:val="00DD0F95"/>
    <w:rsid w:val="00DE164C"/>
    <w:rsid w:val="00DE3670"/>
    <w:rsid w:val="00DE41D9"/>
    <w:rsid w:val="00DE5C68"/>
    <w:rsid w:val="00DF06ED"/>
    <w:rsid w:val="00DF4F21"/>
    <w:rsid w:val="00E10907"/>
    <w:rsid w:val="00E15F14"/>
    <w:rsid w:val="00E15F15"/>
    <w:rsid w:val="00E31B1B"/>
    <w:rsid w:val="00E320B6"/>
    <w:rsid w:val="00E3736B"/>
    <w:rsid w:val="00E5104D"/>
    <w:rsid w:val="00E57DE8"/>
    <w:rsid w:val="00E76AB4"/>
    <w:rsid w:val="00E83EE1"/>
    <w:rsid w:val="00E957BC"/>
    <w:rsid w:val="00E97B0B"/>
    <w:rsid w:val="00EA2E56"/>
    <w:rsid w:val="00ED1439"/>
    <w:rsid w:val="00F116F4"/>
    <w:rsid w:val="00F2560E"/>
    <w:rsid w:val="00F26711"/>
    <w:rsid w:val="00F300EC"/>
    <w:rsid w:val="00F4025D"/>
    <w:rsid w:val="00F44634"/>
    <w:rsid w:val="00F93641"/>
    <w:rsid w:val="00FB5F0E"/>
    <w:rsid w:val="00FD1A4A"/>
    <w:rsid w:val="00FF4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8E05"/>
  <w15:chartTrackingRefBased/>
  <w15:docId w15:val="{F373B1C5-4ECB-4CB5-9F02-F5918F53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70"/>
  </w:style>
  <w:style w:type="paragraph" w:styleId="Heading2">
    <w:name w:val="heading 2"/>
    <w:basedOn w:val="Normal"/>
    <w:link w:val="Heading2Char"/>
    <w:uiPriority w:val="9"/>
    <w:semiHidden/>
    <w:unhideWhenUsed/>
    <w:qFormat/>
    <w:rsid w:val="002B2C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A0D"/>
    <w:pPr>
      <w:spacing w:after="0" w:line="240" w:lineRule="auto"/>
    </w:pPr>
  </w:style>
  <w:style w:type="character" w:styleId="Strong">
    <w:name w:val="Strong"/>
    <w:basedOn w:val="DefaultParagraphFont"/>
    <w:uiPriority w:val="22"/>
    <w:qFormat/>
    <w:rsid w:val="00207C96"/>
    <w:rPr>
      <w:b/>
      <w:bCs/>
    </w:rPr>
  </w:style>
  <w:style w:type="paragraph" w:styleId="NormalWeb">
    <w:name w:val="Normal (Web)"/>
    <w:basedOn w:val="Normal"/>
    <w:uiPriority w:val="99"/>
    <w:unhideWhenUsed/>
    <w:rsid w:val="00916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6291"/>
    <w:pPr>
      <w:ind w:left="720"/>
      <w:contextualSpacing/>
    </w:pPr>
  </w:style>
  <w:style w:type="paragraph" w:styleId="Header">
    <w:name w:val="header"/>
    <w:basedOn w:val="Normal"/>
    <w:link w:val="HeaderChar"/>
    <w:uiPriority w:val="99"/>
    <w:unhideWhenUsed/>
    <w:rsid w:val="002C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1DB"/>
  </w:style>
  <w:style w:type="paragraph" w:styleId="Footer">
    <w:name w:val="footer"/>
    <w:basedOn w:val="Normal"/>
    <w:link w:val="FooterChar"/>
    <w:uiPriority w:val="99"/>
    <w:unhideWhenUsed/>
    <w:rsid w:val="002C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1DB"/>
  </w:style>
  <w:style w:type="paragraph" w:styleId="BalloonText">
    <w:name w:val="Balloon Text"/>
    <w:basedOn w:val="Normal"/>
    <w:link w:val="BalloonTextChar"/>
    <w:uiPriority w:val="99"/>
    <w:semiHidden/>
    <w:unhideWhenUsed/>
    <w:rsid w:val="002B2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32"/>
    <w:rPr>
      <w:rFonts w:ascii="Segoe UI" w:hAnsi="Segoe UI" w:cs="Segoe UI"/>
      <w:sz w:val="18"/>
      <w:szCs w:val="18"/>
    </w:rPr>
  </w:style>
  <w:style w:type="character" w:styleId="Hyperlink">
    <w:name w:val="Hyperlink"/>
    <w:basedOn w:val="DefaultParagraphFont"/>
    <w:uiPriority w:val="99"/>
    <w:unhideWhenUsed/>
    <w:rsid w:val="002B2C32"/>
    <w:rPr>
      <w:color w:val="0563C1" w:themeColor="hyperlink"/>
      <w:u w:val="single"/>
    </w:rPr>
  </w:style>
  <w:style w:type="character" w:customStyle="1" w:styleId="Heading2Char">
    <w:name w:val="Heading 2 Char"/>
    <w:basedOn w:val="DefaultParagraphFont"/>
    <w:link w:val="Heading2"/>
    <w:uiPriority w:val="9"/>
    <w:semiHidden/>
    <w:rsid w:val="002B2C3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F22EB"/>
    <w:rPr>
      <w:sz w:val="16"/>
      <w:szCs w:val="16"/>
    </w:rPr>
  </w:style>
  <w:style w:type="paragraph" w:styleId="CommentText">
    <w:name w:val="annotation text"/>
    <w:basedOn w:val="Normal"/>
    <w:link w:val="CommentTextChar"/>
    <w:uiPriority w:val="99"/>
    <w:semiHidden/>
    <w:unhideWhenUsed/>
    <w:rsid w:val="00CF22EB"/>
    <w:pPr>
      <w:spacing w:line="240" w:lineRule="auto"/>
    </w:pPr>
    <w:rPr>
      <w:sz w:val="20"/>
      <w:szCs w:val="20"/>
    </w:rPr>
  </w:style>
  <w:style w:type="character" w:customStyle="1" w:styleId="CommentTextChar">
    <w:name w:val="Comment Text Char"/>
    <w:basedOn w:val="DefaultParagraphFont"/>
    <w:link w:val="CommentText"/>
    <w:uiPriority w:val="99"/>
    <w:semiHidden/>
    <w:rsid w:val="00CF22EB"/>
    <w:rPr>
      <w:sz w:val="20"/>
      <w:szCs w:val="20"/>
    </w:rPr>
  </w:style>
  <w:style w:type="paragraph" w:styleId="CommentSubject">
    <w:name w:val="annotation subject"/>
    <w:basedOn w:val="CommentText"/>
    <w:next w:val="CommentText"/>
    <w:link w:val="CommentSubjectChar"/>
    <w:uiPriority w:val="99"/>
    <w:semiHidden/>
    <w:unhideWhenUsed/>
    <w:rsid w:val="00CF22EB"/>
    <w:rPr>
      <w:b/>
      <w:bCs/>
    </w:rPr>
  </w:style>
  <w:style w:type="character" w:customStyle="1" w:styleId="CommentSubjectChar">
    <w:name w:val="Comment Subject Char"/>
    <w:basedOn w:val="CommentTextChar"/>
    <w:link w:val="CommentSubject"/>
    <w:uiPriority w:val="99"/>
    <w:semiHidden/>
    <w:rsid w:val="00CF22EB"/>
    <w:rPr>
      <w:b/>
      <w:bCs/>
      <w:sz w:val="20"/>
      <w:szCs w:val="20"/>
    </w:rPr>
  </w:style>
  <w:style w:type="paragraph" w:styleId="FootnoteText">
    <w:name w:val="footnote text"/>
    <w:basedOn w:val="Normal"/>
    <w:link w:val="FootnoteTextChar"/>
    <w:uiPriority w:val="99"/>
    <w:semiHidden/>
    <w:unhideWhenUsed/>
    <w:rsid w:val="005149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97C"/>
    <w:rPr>
      <w:sz w:val="20"/>
      <w:szCs w:val="20"/>
    </w:rPr>
  </w:style>
  <w:style w:type="character" w:styleId="FootnoteReference">
    <w:name w:val="footnote reference"/>
    <w:basedOn w:val="DefaultParagraphFont"/>
    <w:uiPriority w:val="99"/>
    <w:semiHidden/>
    <w:unhideWhenUsed/>
    <w:rsid w:val="0051497C"/>
    <w:rPr>
      <w:vertAlign w:val="superscript"/>
    </w:rPr>
  </w:style>
  <w:style w:type="paragraph" w:styleId="Revision">
    <w:name w:val="Revision"/>
    <w:hidden/>
    <w:uiPriority w:val="99"/>
    <w:semiHidden/>
    <w:rsid w:val="00F40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97524">
      <w:bodyDiv w:val="1"/>
      <w:marLeft w:val="0"/>
      <w:marRight w:val="0"/>
      <w:marTop w:val="0"/>
      <w:marBottom w:val="0"/>
      <w:divBdr>
        <w:top w:val="none" w:sz="0" w:space="0" w:color="auto"/>
        <w:left w:val="none" w:sz="0" w:space="0" w:color="auto"/>
        <w:bottom w:val="none" w:sz="0" w:space="0" w:color="auto"/>
        <w:right w:val="none" w:sz="0" w:space="0" w:color="auto"/>
      </w:divBdr>
    </w:div>
    <w:div w:id="17839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com"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electricroyalti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7A6EE73A2BF349971201D9E040086A" ma:contentTypeVersion="13" ma:contentTypeDescription="Create a new document." ma:contentTypeScope="" ma:versionID="b46adb7d080a04dc7cd6b99b36917e14">
  <xsd:schema xmlns:xsd="http://www.w3.org/2001/XMLSchema" xmlns:xs="http://www.w3.org/2001/XMLSchema" xmlns:p="http://schemas.microsoft.com/office/2006/metadata/properties" xmlns:ns3="047d125f-5082-4c54-9137-cc01dd06c1a1" xmlns:ns4="e7fb0a7b-29e9-4b6d-9dec-c5fcd2d14dd3" targetNamespace="http://schemas.microsoft.com/office/2006/metadata/properties" ma:root="true" ma:fieldsID="8399ca927dacb6141a6935aa4b2ceca5" ns3:_="" ns4:_="">
    <xsd:import namespace="047d125f-5082-4c54-9137-cc01dd06c1a1"/>
    <xsd:import namespace="e7fb0a7b-29e9-4b6d-9dec-c5fcd2d14d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d125f-5082-4c54-9137-cc01dd06c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b0a7b-29e9-4b6d-9dec-c5fcd2d14d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A2EC8-CB99-4368-BF60-F59D47BF577B}">
  <ds:schemaRefs>
    <ds:schemaRef ds:uri="http://schemas.microsoft.com/sharepoint/v3/contenttype/forms"/>
  </ds:schemaRefs>
</ds:datastoreItem>
</file>

<file path=customXml/itemProps2.xml><?xml version="1.0" encoding="utf-8"?>
<ds:datastoreItem xmlns:ds="http://schemas.openxmlformats.org/officeDocument/2006/customXml" ds:itemID="{CBD5EACF-16DF-4C5A-A8B9-E5EBFBB8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d125f-5082-4c54-9137-cc01dd06c1a1"/>
    <ds:schemaRef ds:uri="e7fb0a7b-29e9-4b6d-9dec-c5fcd2d14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7C00C-F390-4A36-B914-F0BC92748612}">
  <ds:schemaRefs>
    <ds:schemaRef ds:uri="http://purl.org/dc/dcmitype/"/>
    <ds:schemaRef ds:uri="047d125f-5082-4c54-9137-cc01dd06c1a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7fb0a7b-29e9-4b6d-9dec-c5fcd2d14dd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35D2EF5-EB83-421D-89CB-9DC797E0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Marchand Snyman</dc:creator>
  <cp:keywords/>
  <dc:description/>
  <cp:lastModifiedBy>Shari Gardiner</cp:lastModifiedBy>
  <cp:revision>5</cp:revision>
  <dcterms:created xsi:type="dcterms:W3CDTF">2021-12-07T23:52:00Z</dcterms:created>
  <dcterms:modified xsi:type="dcterms:W3CDTF">2021-12-08T00:18:00Z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0x010100DB7A6EE73A2BF349971201D9E040086A</vt:lpwstr>
  </property>
</Properties>
</file>