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3511D" w14:textId="77777777" w:rsidR="00602E0C" w:rsidRPr="00B13AD3" w:rsidRDefault="00602E0C" w:rsidP="00602E0C">
      <w:pPr>
        <w:keepNext/>
        <w:jc w:val="center"/>
        <w:outlineLvl w:val="1"/>
        <w:rPr>
          <w:b/>
          <w:bCs/>
          <w:lang w:val="en-CA" w:eastAsia="en-CA"/>
        </w:rPr>
      </w:pPr>
      <w:r w:rsidRPr="00B13AD3">
        <w:rPr>
          <w:b/>
          <w:bCs/>
          <w:lang w:val="en-CA" w:eastAsia="en-CA"/>
        </w:rPr>
        <w:t>EMGOLD MINING CORPORATION</w:t>
      </w:r>
    </w:p>
    <w:p w14:paraId="1EBBA7D8" w14:textId="3EE8AD16" w:rsidR="00602E0C" w:rsidRPr="00B13AD3" w:rsidRDefault="00602E0C" w:rsidP="00602E0C">
      <w:pPr>
        <w:jc w:val="center"/>
        <w:rPr>
          <w:sz w:val="22"/>
          <w:szCs w:val="22"/>
          <w:lang w:val="en-CA" w:eastAsia="en-CA"/>
        </w:rPr>
      </w:pPr>
      <w:r w:rsidRPr="00B13AD3">
        <w:rPr>
          <w:sz w:val="22"/>
          <w:szCs w:val="22"/>
          <w:lang w:val="en-CA" w:eastAsia="en-CA"/>
        </w:rPr>
        <w:t xml:space="preserve">Suite </w:t>
      </w:r>
      <w:r w:rsidR="00D1705F">
        <w:rPr>
          <w:sz w:val="22"/>
          <w:szCs w:val="22"/>
          <w:lang w:val="en-CA" w:eastAsia="en-CA"/>
        </w:rPr>
        <w:t>101</w:t>
      </w:r>
      <w:r w:rsidR="004B6BBE">
        <w:rPr>
          <w:sz w:val="22"/>
          <w:szCs w:val="22"/>
          <w:lang w:val="en-CA" w:eastAsia="en-CA"/>
        </w:rPr>
        <w:t>0</w:t>
      </w:r>
      <w:r w:rsidRPr="00B13AD3">
        <w:rPr>
          <w:sz w:val="22"/>
          <w:szCs w:val="22"/>
          <w:lang w:val="en-CA" w:eastAsia="en-CA"/>
        </w:rPr>
        <w:t xml:space="preserve"> – </w:t>
      </w:r>
      <w:r w:rsidR="00D1705F">
        <w:rPr>
          <w:sz w:val="22"/>
          <w:szCs w:val="22"/>
          <w:lang w:val="en-CA" w:eastAsia="en-CA"/>
        </w:rPr>
        <w:t>789 West Pender Street</w:t>
      </w:r>
    </w:p>
    <w:p w14:paraId="2022C8EF" w14:textId="77777777" w:rsidR="00602E0C" w:rsidRPr="00B13AD3" w:rsidRDefault="00602E0C" w:rsidP="00602E0C">
      <w:pPr>
        <w:jc w:val="center"/>
        <w:rPr>
          <w:sz w:val="22"/>
          <w:szCs w:val="22"/>
          <w:lang w:val="fr-FR" w:eastAsia="en-CA"/>
        </w:rPr>
      </w:pPr>
      <w:r w:rsidRPr="00B13AD3">
        <w:rPr>
          <w:sz w:val="22"/>
          <w:szCs w:val="22"/>
          <w:lang w:val="fr-FR" w:eastAsia="en-CA"/>
        </w:rPr>
        <w:t>Vancouver, B.C.  V</w:t>
      </w:r>
      <w:r w:rsidR="00D1705F">
        <w:rPr>
          <w:sz w:val="22"/>
          <w:szCs w:val="22"/>
          <w:lang w:val="fr-FR" w:eastAsia="en-CA"/>
        </w:rPr>
        <w:t>6C 1H2</w:t>
      </w:r>
    </w:p>
    <w:p w14:paraId="77AC1C66" w14:textId="38356363" w:rsidR="004B6BBE" w:rsidRPr="00B13AD3" w:rsidRDefault="000A1C5A" w:rsidP="00602E0C">
      <w:pPr>
        <w:jc w:val="center"/>
        <w:rPr>
          <w:sz w:val="22"/>
          <w:szCs w:val="22"/>
          <w:lang w:val="fr-FR" w:eastAsia="en-CA"/>
        </w:rPr>
      </w:pPr>
      <w:hyperlink r:id="rId9" w:history="1">
        <w:r w:rsidR="004B6BBE" w:rsidRPr="00CA10C7">
          <w:rPr>
            <w:rStyle w:val="Hyperlink"/>
            <w:sz w:val="22"/>
            <w:szCs w:val="22"/>
            <w:lang w:val="fr-FR" w:eastAsia="en-CA"/>
          </w:rPr>
          <w:t>www.emgold.com</w:t>
        </w:r>
      </w:hyperlink>
    </w:p>
    <w:p w14:paraId="5529BF63" w14:textId="77777777" w:rsidR="00602E0C" w:rsidRPr="00B13AD3" w:rsidRDefault="00602E0C" w:rsidP="00602E0C">
      <w:pPr>
        <w:rPr>
          <w:sz w:val="22"/>
          <w:szCs w:val="22"/>
          <w:lang w:val="fr-FR" w:eastAsia="en-CA"/>
        </w:rPr>
      </w:pPr>
    </w:p>
    <w:tbl>
      <w:tblPr>
        <w:tblW w:w="0" w:type="auto"/>
        <w:tblLook w:val="04A0" w:firstRow="1" w:lastRow="0" w:firstColumn="1" w:lastColumn="0" w:noHBand="0" w:noVBand="1"/>
      </w:tblPr>
      <w:tblGrid>
        <w:gridCol w:w="4676"/>
        <w:gridCol w:w="4684"/>
      </w:tblGrid>
      <w:tr w:rsidR="00602E0C" w:rsidRPr="00B13AD3" w14:paraId="2CF2D3F7" w14:textId="77777777" w:rsidTr="00975F2C">
        <w:tc>
          <w:tcPr>
            <w:tcW w:w="4932" w:type="dxa"/>
            <w:shd w:val="clear" w:color="auto" w:fill="auto"/>
          </w:tcPr>
          <w:p w14:paraId="3DA01CD8" w14:textId="3FB16F04" w:rsidR="00602E0C" w:rsidRPr="00A1202D" w:rsidRDefault="00A1202D" w:rsidP="00130F31">
            <w:pPr>
              <w:rPr>
                <w:lang w:val="en-CA" w:eastAsia="en-CA"/>
              </w:rPr>
            </w:pPr>
            <w:r w:rsidRPr="00A1202D">
              <w:rPr>
                <w:sz w:val="22"/>
                <w:szCs w:val="22"/>
                <w:lang w:val="en-CA" w:eastAsia="en-CA"/>
              </w:rPr>
              <w:t xml:space="preserve">December </w:t>
            </w:r>
            <w:r w:rsidR="004B6BBE">
              <w:rPr>
                <w:sz w:val="22"/>
                <w:szCs w:val="22"/>
                <w:lang w:val="en-CA" w:eastAsia="en-CA"/>
              </w:rPr>
              <w:t>9</w:t>
            </w:r>
            <w:r w:rsidR="009C506D" w:rsidRPr="00A1202D">
              <w:rPr>
                <w:sz w:val="22"/>
                <w:szCs w:val="22"/>
                <w:lang w:val="en-CA" w:eastAsia="en-CA"/>
              </w:rPr>
              <w:t>,</w:t>
            </w:r>
            <w:r w:rsidR="00216A2C" w:rsidRPr="00A1202D">
              <w:rPr>
                <w:sz w:val="22"/>
                <w:szCs w:val="22"/>
                <w:lang w:val="en-CA" w:eastAsia="en-CA"/>
              </w:rPr>
              <w:t xml:space="preserve"> 20</w:t>
            </w:r>
            <w:r w:rsidR="00474D96" w:rsidRPr="00A1202D">
              <w:rPr>
                <w:sz w:val="22"/>
                <w:szCs w:val="22"/>
                <w:lang w:val="en-CA" w:eastAsia="en-CA"/>
              </w:rPr>
              <w:t>2</w:t>
            </w:r>
            <w:r w:rsidR="004B6BBE">
              <w:rPr>
                <w:sz w:val="22"/>
                <w:szCs w:val="22"/>
                <w:lang w:val="en-CA" w:eastAsia="en-CA"/>
              </w:rPr>
              <w:t>1</w:t>
            </w:r>
          </w:p>
        </w:tc>
        <w:tc>
          <w:tcPr>
            <w:tcW w:w="4932" w:type="dxa"/>
            <w:shd w:val="clear" w:color="auto" w:fill="auto"/>
          </w:tcPr>
          <w:p w14:paraId="427F692E" w14:textId="572F4FF5" w:rsidR="00602E0C" w:rsidRPr="00B13AD3" w:rsidRDefault="00602E0C" w:rsidP="00975F2C">
            <w:pPr>
              <w:jc w:val="right"/>
              <w:rPr>
                <w:lang w:val="fr-FR" w:eastAsia="en-CA"/>
              </w:rPr>
            </w:pPr>
            <w:r w:rsidRPr="00B13AD3">
              <w:rPr>
                <w:sz w:val="22"/>
                <w:szCs w:val="22"/>
                <w:lang w:val="fr-FR" w:eastAsia="en-CA"/>
              </w:rPr>
              <w:t>T</w:t>
            </w:r>
            <w:r>
              <w:rPr>
                <w:sz w:val="22"/>
                <w:szCs w:val="22"/>
                <w:lang w:val="fr-FR" w:eastAsia="en-CA"/>
              </w:rPr>
              <w:t>SX</w:t>
            </w:r>
            <w:r w:rsidRPr="00B13AD3">
              <w:rPr>
                <w:sz w:val="22"/>
                <w:szCs w:val="22"/>
                <w:lang w:val="fr-FR" w:eastAsia="en-CA"/>
              </w:rPr>
              <w:t xml:space="preserve"> Venture Exchange:  </w:t>
            </w:r>
            <w:r w:rsidRPr="00B13AD3">
              <w:rPr>
                <w:b/>
                <w:sz w:val="22"/>
                <w:szCs w:val="22"/>
                <w:lang w:val="fr-FR" w:eastAsia="en-CA"/>
              </w:rPr>
              <w:t>EMR</w:t>
            </w:r>
          </w:p>
        </w:tc>
      </w:tr>
      <w:tr w:rsidR="00602E0C" w:rsidRPr="00B13AD3" w14:paraId="73E7AB40" w14:textId="77777777" w:rsidTr="00975F2C">
        <w:tc>
          <w:tcPr>
            <w:tcW w:w="4932" w:type="dxa"/>
            <w:shd w:val="clear" w:color="auto" w:fill="auto"/>
          </w:tcPr>
          <w:p w14:paraId="7ABA84CB" w14:textId="77777777" w:rsidR="00602E0C" w:rsidRPr="00B13AD3" w:rsidRDefault="00602E0C" w:rsidP="00975F2C">
            <w:pPr>
              <w:rPr>
                <w:lang w:val="fr-FR" w:eastAsia="en-CA"/>
              </w:rPr>
            </w:pPr>
          </w:p>
        </w:tc>
        <w:tc>
          <w:tcPr>
            <w:tcW w:w="4932" w:type="dxa"/>
            <w:shd w:val="clear" w:color="auto" w:fill="auto"/>
          </w:tcPr>
          <w:p w14:paraId="60854652" w14:textId="4D1B5381" w:rsidR="00602E0C" w:rsidRPr="00B13AD3" w:rsidRDefault="00602E0C" w:rsidP="00975F2C">
            <w:pPr>
              <w:jc w:val="right"/>
              <w:rPr>
                <w:lang w:val="fr-FR" w:eastAsia="en-CA"/>
              </w:rPr>
            </w:pPr>
            <w:r w:rsidRPr="00B13AD3">
              <w:rPr>
                <w:sz w:val="22"/>
                <w:szCs w:val="22"/>
                <w:lang w:val="fr-FR" w:eastAsia="en-CA"/>
              </w:rPr>
              <w:t xml:space="preserve">OTC:  </w:t>
            </w:r>
            <w:r w:rsidRPr="00B13AD3">
              <w:rPr>
                <w:b/>
                <w:sz w:val="22"/>
                <w:szCs w:val="22"/>
                <w:lang w:val="fr-FR" w:eastAsia="en-CA"/>
              </w:rPr>
              <w:t>EGMCF</w:t>
            </w:r>
          </w:p>
        </w:tc>
      </w:tr>
      <w:tr w:rsidR="00602E0C" w:rsidRPr="00B13AD3" w14:paraId="7F1F0116" w14:textId="77777777" w:rsidTr="00975F2C">
        <w:tc>
          <w:tcPr>
            <w:tcW w:w="4932" w:type="dxa"/>
            <w:shd w:val="clear" w:color="auto" w:fill="auto"/>
          </w:tcPr>
          <w:p w14:paraId="19A1B2EF" w14:textId="77777777" w:rsidR="00602E0C" w:rsidRPr="00B13AD3" w:rsidRDefault="00602E0C" w:rsidP="00975F2C">
            <w:pPr>
              <w:rPr>
                <w:lang w:val="fr-FR" w:eastAsia="en-CA"/>
              </w:rPr>
            </w:pPr>
          </w:p>
        </w:tc>
        <w:tc>
          <w:tcPr>
            <w:tcW w:w="4932" w:type="dxa"/>
            <w:shd w:val="clear" w:color="auto" w:fill="auto"/>
          </w:tcPr>
          <w:p w14:paraId="6B5A37E3" w14:textId="3C1A18A8" w:rsidR="00602E0C" w:rsidRPr="004B6BBE" w:rsidRDefault="00602E0C" w:rsidP="00975F2C">
            <w:pPr>
              <w:jc w:val="right"/>
              <w:rPr>
                <w:lang w:eastAsia="en-CA"/>
              </w:rPr>
            </w:pPr>
            <w:r w:rsidRPr="004B6BBE">
              <w:rPr>
                <w:sz w:val="22"/>
                <w:szCs w:val="22"/>
                <w:lang w:eastAsia="en-CA"/>
              </w:rPr>
              <w:t xml:space="preserve">Frankfurt </w:t>
            </w:r>
            <w:r w:rsidR="00474D96" w:rsidRPr="004B6BBE">
              <w:rPr>
                <w:sz w:val="22"/>
                <w:szCs w:val="22"/>
                <w:lang w:eastAsia="en-CA"/>
              </w:rPr>
              <w:t>and Berlin Exchanges</w:t>
            </w:r>
            <w:r w:rsidRPr="004B6BBE">
              <w:rPr>
                <w:sz w:val="22"/>
                <w:szCs w:val="22"/>
                <w:lang w:eastAsia="en-CA"/>
              </w:rPr>
              <w:t xml:space="preserve">:  </w:t>
            </w:r>
            <w:r w:rsidRPr="004B6BBE">
              <w:rPr>
                <w:b/>
                <w:sz w:val="22"/>
                <w:szCs w:val="22"/>
                <w:lang w:eastAsia="en-CA"/>
              </w:rPr>
              <w:t>EMLN</w:t>
            </w:r>
          </w:p>
        </w:tc>
      </w:tr>
    </w:tbl>
    <w:p w14:paraId="6379B27C" w14:textId="77777777" w:rsidR="00602E0C" w:rsidRPr="00FC0988" w:rsidRDefault="00602E0C" w:rsidP="00602E0C">
      <w:pPr>
        <w:tabs>
          <w:tab w:val="right" w:pos="9360"/>
        </w:tabs>
        <w:jc w:val="center"/>
        <w:rPr>
          <w:b/>
          <w:sz w:val="22"/>
          <w:szCs w:val="22"/>
          <w:lang w:val="en-CA" w:eastAsia="en-CA"/>
        </w:rPr>
        <w:sectPr w:rsidR="00602E0C" w:rsidRPr="00FC0988" w:rsidSect="00975F2C">
          <w:headerReference w:type="default" r:id="rId10"/>
          <w:footerReference w:type="default" r:id="rId11"/>
          <w:footerReference w:type="first" r:id="rId12"/>
          <w:pgSz w:w="12240" w:h="15840" w:code="1"/>
          <w:pgMar w:top="1008" w:right="1440" w:bottom="1008" w:left="1440" w:header="720" w:footer="720" w:gutter="0"/>
          <w:cols w:space="720"/>
          <w:titlePg/>
          <w:docGrid w:linePitch="360"/>
        </w:sectPr>
      </w:pPr>
    </w:p>
    <w:p w14:paraId="4EC124E0" w14:textId="77777777" w:rsidR="00602E0C" w:rsidRPr="00B13AD3" w:rsidRDefault="00602E0C" w:rsidP="00602E0C">
      <w:pPr>
        <w:tabs>
          <w:tab w:val="left" w:pos="5760"/>
        </w:tabs>
        <w:jc w:val="center"/>
        <w:rPr>
          <w:b/>
          <w:bCs/>
          <w:sz w:val="22"/>
          <w:szCs w:val="22"/>
          <w:lang w:val="en-CA" w:eastAsia="en-CA"/>
        </w:rPr>
      </w:pPr>
    </w:p>
    <w:p w14:paraId="62B07971" w14:textId="2ACE4C29" w:rsidR="007F4C68" w:rsidRDefault="00602E0C" w:rsidP="00130F31">
      <w:pPr>
        <w:jc w:val="center"/>
        <w:rPr>
          <w:b/>
        </w:rPr>
      </w:pPr>
      <w:r w:rsidRPr="00545AC0">
        <w:rPr>
          <w:b/>
        </w:rPr>
        <w:t>EMGOLD</w:t>
      </w:r>
      <w:r w:rsidR="00812740" w:rsidRPr="00545AC0">
        <w:rPr>
          <w:b/>
        </w:rPr>
        <w:t xml:space="preserve"> </w:t>
      </w:r>
      <w:r w:rsidR="00A1202D">
        <w:rPr>
          <w:b/>
        </w:rPr>
        <w:t>ANNOUNCES AGM RESULTS</w:t>
      </w:r>
    </w:p>
    <w:p w14:paraId="55018482" w14:textId="1D6FAFAF" w:rsidR="00474D96" w:rsidRDefault="00CB6F34" w:rsidP="002A6AFF">
      <w:pPr>
        <w:shd w:val="clear" w:color="auto" w:fill="FFFFFF"/>
        <w:spacing w:before="100" w:beforeAutospacing="1" w:after="120"/>
        <w:jc w:val="both"/>
        <w:rPr>
          <w:sz w:val="22"/>
          <w:szCs w:val="22"/>
        </w:rPr>
      </w:pPr>
      <w:r w:rsidRPr="00CA0C55">
        <w:rPr>
          <w:b/>
          <w:sz w:val="22"/>
          <w:szCs w:val="22"/>
        </w:rPr>
        <w:t>Vancouver, British Columbia</w:t>
      </w:r>
      <w:r w:rsidR="004B6BBE">
        <w:rPr>
          <w:b/>
          <w:sz w:val="22"/>
          <w:szCs w:val="22"/>
        </w:rPr>
        <w:t>, December 9, 2021</w:t>
      </w:r>
      <w:r w:rsidRPr="00CA0C55">
        <w:rPr>
          <w:b/>
          <w:sz w:val="22"/>
          <w:szCs w:val="22"/>
        </w:rPr>
        <w:t xml:space="preserve"> - </w:t>
      </w:r>
      <w:r w:rsidR="00602E0C" w:rsidRPr="00CA0C55">
        <w:rPr>
          <w:b/>
          <w:sz w:val="22"/>
          <w:szCs w:val="22"/>
        </w:rPr>
        <w:t>Emgold Mining Corporation (TSX-V: EMR) (</w:t>
      </w:r>
      <w:r w:rsidR="00333ECE" w:rsidRPr="00333ECE">
        <w:rPr>
          <w:sz w:val="22"/>
          <w:szCs w:val="22"/>
        </w:rPr>
        <w:t>“</w:t>
      </w:r>
      <w:r w:rsidR="00602E0C" w:rsidRPr="00CA0C55">
        <w:rPr>
          <w:b/>
          <w:sz w:val="22"/>
          <w:szCs w:val="22"/>
        </w:rPr>
        <w:t>Emgold</w:t>
      </w:r>
      <w:r w:rsidR="00333ECE" w:rsidRPr="00333ECE">
        <w:rPr>
          <w:sz w:val="22"/>
          <w:szCs w:val="22"/>
        </w:rPr>
        <w:t>”</w:t>
      </w:r>
      <w:r w:rsidR="00602E0C" w:rsidRPr="00CA0C55">
        <w:rPr>
          <w:sz w:val="22"/>
          <w:szCs w:val="22"/>
        </w:rPr>
        <w:t xml:space="preserve"> or the </w:t>
      </w:r>
      <w:r w:rsidR="00602E0C" w:rsidRPr="00F07A11">
        <w:rPr>
          <w:sz w:val="22"/>
          <w:szCs w:val="22"/>
        </w:rPr>
        <w:t>"</w:t>
      </w:r>
      <w:r w:rsidR="00602E0C" w:rsidRPr="00F07A11">
        <w:rPr>
          <w:b/>
          <w:sz w:val="22"/>
          <w:szCs w:val="22"/>
        </w:rPr>
        <w:t>Company</w:t>
      </w:r>
      <w:r w:rsidR="00602E0C" w:rsidRPr="00F07A11">
        <w:rPr>
          <w:sz w:val="22"/>
          <w:szCs w:val="22"/>
        </w:rPr>
        <w:t>")</w:t>
      </w:r>
      <w:r w:rsidR="00602E0C" w:rsidRPr="00CA0C55">
        <w:rPr>
          <w:sz w:val="22"/>
          <w:szCs w:val="22"/>
        </w:rPr>
        <w:t xml:space="preserve"> </w:t>
      </w:r>
      <w:r w:rsidR="00110122">
        <w:rPr>
          <w:sz w:val="22"/>
          <w:szCs w:val="22"/>
        </w:rPr>
        <w:t>is pleased to announce the results of its Annual General Meeting (</w:t>
      </w:r>
      <w:r w:rsidR="006F44A0">
        <w:rPr>
          <w:sz w:val="22"/>
          <w:szCs w:val="22"/>
        </w:rPr>
        <w:t>“</w:t>
      </w:r>
      <w:r w:rsidR="00110122" w:rsidRPr="006F44A0">
        <w:rPr>
          <w:b/>
          <w:bCs/>
          <w:sz w:val="22"/>
          <w:szCs w:val="22"/>
        </w:rPr>
        <w:t>AGM</w:t>
      </w:r>
      <w:r w:rsidR="00110122">
        <w:rPr>
          <w:sz w:val="22"/>
          <w:szCs w:val="22"/>
        </w:rPr>
        <w:t xml:space="preserve">”) held on December </w:t>
      </w:r>
      <w:r w:rsidR="004B6BBE">
        <w:rPr>
          <w:sz w:val="22"/>
          <w:szCs w:val="22"/>
        </w:rPr>
        <w:t>8</w:t>
      </w:r>
      <w:r w:rsidR="00110122">
        <w:rPr>
          <w:sz w:val="22"/>
          <w:szCs w:val="22"/>
        </w:rPr>
        <w:t>, 202</w:t>
      </w:r>
      <w:r w:rsidR="004B6BBE">
        <w:rPr>
          <w:sz w:val="22"/>
          <w:szCs w:val="22"/>
        </w:rPr>
        <w:t>1</w:t>
      </w:r>
      <w:r w:rsidR="00110122">
        <w:rPr>
          <w:sz w:val="22"/>
          <w:szCs w:val="22"/>
        </w:rPr>
        <w:t xml:space="preserve">.  All resolutions presented to the shareholders were </w:t>
      </w:r>
      <w:r w:rsidR="00422167">
        <w:rPr>
          <w:sz w:val="22"/>
          <w:szCs w:val="22"/>
        </w:rPr>
        <w:t>approved (</w:t>
      </w:r>
      <w:r w:rsidR="004B03EA">
        <w:rPr>
          <w:sz w:val="22"/>
          <w:szCs w:val="22"/>
        </w:rPr>
        <w:t>please refer to the</w:t>
      </w:r>
      <w:r w:rsidR="00422167">
        <w:rPr>
          <w:sz w:val="22"/>
          <w:szCs w:val="22"/>
        </w:rPr>
        <w:t xml:space="preserve"> SEDAR filing of the Company’s Information Circular dated </w:t>
      </w:r>
      <w:r w:rsidR="004B6BBE">
        <w:rPr>
          <w:sz w:val="22"/>
          <w:szCs w:val="22"/>
        </w:rPr>
        <w:t>November 8, 2020</w:t>
      </w:r>
      <w:r w:rsidR="009F04A9">
        <w:rPr>
          <w:sz w:val="22"/>
          <w:szCs w:val="22"/>
        </w:rPr>
        <w:t>)</w:t>
      </w:r>
      <w:r w:rsidR="001C7477">
        <w:rPr>
          <w:sz w:val="22"/>
          <w:szCs w:val="22"/>
        </w:rPr>
        <w:t>.  As a result, the number of Directors was set at f</w:t>
      </w:r>
      <w:r w:rsidR="004B6BBE">
        <w:rPr>
          <w:sz w:val="22"/>
          <w:szCs w:val="22"/>
        </w:rPr>
        <w:t>ive</w:t>
      </w:r>
      <w:r w:rsidR="001C7477">
        <w:rPr>
          <w:sz w:val="22"/>
          <w:szCs w:val="22"/>
        </w:rPr>
        <w:t xml:space="preserve"> with the following nominees elected as </w:t>
      </w:r>
      <w:r w:rsidR="00CF2056">
        <w:rPr>
          <w:sz w:val="22"/>
          <w:szCs w:val="22"/>
        </w:rPr>
        <w:t xml:space="preserve">Directors:  David Watkinson, Robert Rosner, Andrew MacRitchie, </w:t>
      </w:r>
      <w:r w:rsidR="006F44A0">
        <w:rPr>
          <w:sz w:val="22"/>
          <w:szCs w:val="22"/>
        </w:rPr>
        <w:t>Vincent Garibaldi</w:t>
      </w:r>
      <w:r w:rsidR="004B6BBE">
        <w:rPr>
          <w:sz w:val="22"/>
          <w:szCs w:val="22"/>
        </w:rPr>
        <w:t>, and Julien Davy</w:t>
      </w:r>
      <w:r w:rsidR="006F44A0">
        <w:rPr>
          <w:sz w:val="22"/>
          <w:szCs w:val="22"/>
        </w:rPr>
        <w:t>.  MNP LLP</w:t>
      </w:r>
      <w:r w:rsidR="00B23BF8">
        <w:rPr>
          <w:sz w:val="22"/>
          <w:szCs w:val="22"/>
        </w:rPr>
        <w:t>, Chartered Professional Accountants</w:t>
      </w:r>
      <w:r w:rsidR="006F44A0">
        <w:rPr>
          <w:sz w:val="22"/>
          <w:szCs w:val="22"/>
        </w:rPr>
        <w:t xml:space="preserve"> w</w:t>
      </w:r>
      <w:r w:rsidR="00B23BF8">
        <w:rPr>
          <w:sz w:val="22"/>
          <w:szCs w:val="22"/>
        </w:rPr>
        <w:t>ere</w:t>
      </w:r>
      <w:r w:rsidR="006F44A0">
        <w:rPr>
          <w:sz w:val="22"/>
          <w:szCs w:val="22"/>
        </w:rPr>
        <w:t xml:space="preserve"> re-appointed as the auditor of the Company.  The Company’s Incentive Stock Option Plan was re-approved.</w:t>
      </w:r>
    </w:p>
    <w:p w14:paraId="349D0BFB" w14:textId="587E0FD0" w:rsidR="00474D96" w:rsidRDefault="00474D96" w:rsidP="00474D96">
      <w:pPr>
        <w:shd w:val="clear" w:color="auto" w:fill="FFFFFF"/>
        <w:jc w:val="both"/>
        <w:rPr>
          <w:b/>
          <w:sz w:val="22"/>
          <w:szCs w:val="22"/>
          <w:u w:val="single"/>
          <w:lang w:val="en-CA"/>
        </w:rPr>
      </w:pPr>
      <w:r w:rsidRPr="0074200D">
        <w:rPr>
          <w:b/>
          <w:sz w:val="22"/>
          <w:szCs w:val="22"/>
          <w:u w:val="single"/>
          <w:lang w:val="en-CA"/>
        </w:rPr>
        <w:t>About Emgold</w:t>
      </w:r>
    </w:p>
    <w:p w14:paraId="07E15F79" w14:textId="54C07FD2" w:rsidR="00474D96" w:rsidRDefault="00474D96" w:rsidP="00474D96">
      <w:pPr>
        <w:shd w:val="clear" w:color="auto" w:fill="FFFFFF"/>
        <w:jc w:val="both"/>
        <w:rPr>
          <w:b/>
          <w:sz w:val="22"/>
          <w:szCs w:val="22"/>
          <w:u w:val="single"/>
          <w:lang w:val="en-CA"/>
        </w:rPr>
      </w:pPr>
    </w:p>
    <w:p w14:paraId="7952383E" w14:textId="77777777" w:rsidR="004B6BBE" w:rsidRPr="001A1B2E" w:rsidRDefault="004B6BBE" w:rsidP="004B6BBE">
      <w:pPr>
        <w:spacing w:line="260" w:lineRule="exact"/>
        <w:jc w:val="both"/>
        <w:rPr>
          <w:sz w:val="22"/>
          <w:szCs w:val="22"/>
          <w:shd w:val="clear" w:color="auto" w:fill="FFFFFF"/>
        </w:rPr>
      </w:pPr>
      <w:proofErr w:type="spellStart"/>
      <w:r w:rsidRPr="001A1B2E">
        <w:rPr>
          <w:sz w:val="22"/>
          <w:szCs w:val="22"/>
          <w:shd w:val="clear" w:color="auto" w:fill="FFFFFF"/>
        </w:rPr>
        <w:t>Emgold</w:t>
      </w:r>
      <w:proofErr w:type="spellEnd"/>
      <w:r w:rsidRPr="001A1B2E">
        <w:rPr>
          <w:sz w:val="22"/>
          <w:szCs w:val="22"/>
          <w:shd w:val="clear" w:color="auto" w:fill="FFFFFF"/>
        </w:rPr>
        <w:t xml:space="preserve"> is a gold and base metal exploration company focused on Nevada and Quebec. The Company’s strategy is to look for quality acquisitions, add value to these assets through exploration, and monetize them through sale, joint ventures, option, royalty, and other transactions to create value for our shareholders (acquisition and divestiture (A&amp;D) business model).  </w:t>
      </w:r>
    </w:p>
    <w:p w14:paraId="62449670" w14:textId="77777777" w:rsidR="004B6BBE" w:rsidRPr="001A1B2E" w:rsidRDefault="004B6BBE" w:rsidP="004B6BBE">
      <w:pPr>
        <w:spacing w:line="260" w:lineRule="exact"/>
        <w:jc w:val="both"/>
        <w:rPr>
          <w:sz w:val="22"/>
          <w:szCs w:val="22"/>
          <w:shd w:val="clear" w:color="auto" w:fill="FFFFFF"/>
        </w:rPr>
      </w:pPr>
    </w:p>
    <w:p w14:paraId="7C4C2086" w14:textId="77777777" w:rsidR="004B6BBE" w:rsidRPr="001A1B2E" w:rsidRDefault="004B6BBE" w:rsidP="004B6BBE">
      <w:pPr>
        <w:spacing w:line="260" w:lineRule="exact"/>
        <w:jc w:val="both"/>
        <w:rPr>
          <w:sz w:val="22"/>
          <w:szCs w:val="22"/>
          <w:shd w:val="clear" w:color="auto" w:fill="FFFFFF"/>
        </w:rPr>
      </w:pPr>
      <w:r w:rsidRPr="001A1B2E">
        <w:rPr>
          <w:sz w:val="22"/>
          <w:szCs w:val="22"/>
          <w:shd w:val="clear" w:color="auto" w:fill="FFFFFF"/>
        </w:rPr>
        <w:t xml:space="preserve">In Nevada, </w:t>
      </w:r>
      <w:proofErr w:type="spellStart"/>
      <w:r w:rsidRPr="001A1B2E">
        <w:rPr>
          <w:sz w:val="22"/>
          <w:szCs w:val="22"/>
          <w:shd w:val="clear" w:color="auto" w:fill="FFFFFF"/>
        </w:rPr>
        <w:t>Emgold’s</w:t>
      </w:r>
      <w:proofErr w:type="spellEnd"/>
      <w:r w:rsidRPr="001A1B2E">
        <w:rPr>
          <w:sz w:val="22"/>
          <w:szCs w:val="22"/>
          <w:shd w:val="clear" w:color="auto" w:fill="FFFFFF"/>
        </w:rPr>
        <w:t xml:space="preserve"> Golden Arrow Property, the core asset of the Company, is an advanced stage gold and silver property with a well-defined measured and indicated resource.  New York Canyon is a base metal property subject to an Earn-in with Option to Joint Venture Agreement with Kennecott Exploration, a subsidiary of Rio Tinto Plc (</w:t>
      </w:r>
      <w:proofErr w:type="gramStart"/>
      <w:r w:rsidRPr="001A1B2E">
        <w:rPr>
          <w:b/>
          <w:bCs/>
          <w:sz w:val="22"/>
          <w:szCs w:val="22"/>
          <w:shd w:val="clear" w:color="auto" w:fill="FFFFFF"/>
        </w:rPr>
        <w:t>NYSE:RIO</w:t>
      </w:r>
      <w:proofErr w:type="gramEnd"/>
      <w:r w:rsidRPr="001A1B2E">
        <w:rPr>
          <w:sz w:val="22"/>
          <w:szCs w:val="22"/>
          <w:shd w:val="clear" w:color="auto" w:fill="FFFFFF"/>
        </w:rPr>
        <w:t xml:space="preserve">).  The </w:t>
      </w:r>
      <w:proofErr w:type="spellStart"/>
      <w:r w:rsidRPr="001A1B2E">
        <w:rPr>
          <w:sz w:val="22"/>
          <w:szCs w:val="22"/>
          <w:shd w:val="clear" w:color="auto" w:fill="FFFFFF"/>
        </w:rPr>
        <w:t>Mindora</w:t>
      </w:r>
      <w:proofErr w:type="spellEnd"/>
      <w:r w:rsidRPr="001A1B2E">
        <w:rPr>
          <w:sz w:val="22"/>
          <w:szCs w:val="22"/>
          <w:shd w:val="clear" w:color="auto" w:fill="FFFFFF"/>
        </w:rPr>
        <w:t xml:space="preserve"> Property is a gold, silver, and base metal property located 12 miles from New York Canyon.  Buckskin Rawhide East is a gold and silver property leased to Rawhide Mining LLC, operators of the adjacent Rawhide Mine. </w:t>
      </w:r>
    </w:p>
    <w:p w14:paraId="0F88ACB8" w14:textId="77777777" w:rsidR="004B6BBE" w:rsidRPr="001A1B2E" w:rsidRDefault="004B6BBE" w:rsidP="004B6BBE">
      <w:pPr>
        <w:spacing w:line="260" w:lineRule="exact"/>
        <w:jc w:val="both"/>
        <w:rPr>
          <w:sz w:val="22"/>
          <w:szCs w:val="22"/>
          <w:shd w:val="clear" w:color="auto" w:fill="FFFFFF"/>
        </w:rPr>
      </w:pPr>
    </w:p>
    <w:p w14:paraId="0956C206" w14:textId="77777777" w:rsidR="004B6BBE" w:rsidRPr="001A1B2E" w:rsidRDefault="004B6BBE" w:rsidP="004B6BBE">
      <w:pPr>
        <w:spacing w:line="260" w:lineRule="exact"/>
        <w:jc w:val="both"/>
        <w:rPr>
          <w:sz w:val="22"/>
          <w:szCs w:val="22"/>
          <w:shd w:val="clear" w:color="auto" w:fill="FFFFFF"/>
        </w:rPr>
      </w:pPr>
      <w:r w:rsidRPr="001A1B2E">
        <w:rPr>
          <w:sz w:val="22"/>
          <w:szCs w:val="22"/>
          <w:shd w:val="clear" w:color="auto" w:fill="FFFFFF"/>
        </w:rPr>
        <w:t>In Quebec, the Casa South Property, is an early-stage gold property adjacent to Hecla Mining Corporation’s (</w:t>
      </w:r>
      <w:proofErr w:type="gramStart"/>
      <w:r w:rsidRPr="001A1B2E">
        <w:rPr>
          <w:b/>
          <w:bCs/>
          <w:sz w:val="22"/>
          <w:szCs w:val="22"/>
          <w:shd w:val="clear" w:color="auto" w:fill="FFFFFF"/>
        </w:rPr>
        <w:t>NYSE:HL</w:t>
      </w:r>
      <w:proofErr w:type="gramEnd"/>
      <w:r w:rsidRPr="001A1B2E">
        <w:rPr>
          <w:sz w:val="22"/>
          <w:szCs w:val="22"/>
          <w:shd w:val="clear" w:color="auto" w:fill="FFFFFF"/>
        </w:rPr>
        <w:t xml:space="preserve">) operating Casa Berardi Mine.  The East-West Property is a gold property adjacent to and on strike with </w:t>
      </w:r>
      <w:proofErr w:type="spellStart"/>
      <w:r w:rsidRPr="001A1B2E">
        <w:rPr>
          <w:sz w:val="22"/>
          <w:szCs w:val="22"/>
          <w:shd w:val="clear" w:color="auto" w:fill="FFFFFF"/>
        </w:rPr>
        <w:t>Wesdome</w:t>
      </w:r>
      <w:proofErr w:type="spellEnd"/>
      <w:r w:rsidRPr="001A1B2E">
        <w:rPr>
          <w:sz w:val="22"/>
          <w:szCs w:val="22"/>
          <w:shd w:val="clear" w:color="auto" w:fill="FFFFFF"/>
        </w:rPr>
        <w:t xml:space="preserve"> Gold Mine Ltd.’s (</w:t>
      </w:r>
      <w:proofErr w:type="gramStart"/>
      <w:r w:rsidRPr="001A1B2E">
        <w:rPr>
          <w:b/>
          <w:bCs/>
          <w:sz w:val="22"/>
          <w:szCs w:val="22"/>
          <w:shd w:val="clear" w:color="auto" w:fill="FFFFFF"/>
        </w:rPr>
        <w:t>TSX:WDO</w:t>
      </w:r>
      <w:proofErr w:type="gramEnd"/>
      <w:r w:rsidRPr="001A1B2E">
        <w:rPr>
          <w:sz w:val="22"/>
          <w:szCs w:val="22"/>
          <w:shd w:val="clear" w:color="auto" w:fill="FFFFFF"/>
        </w:rPr>
        <w:t xml:space="preserve">) </w:t>
      </w:r>
      <w:proofErr w:type="spellStart"/>
      <w:r w:rsidRPr="001A1B2E">
        <w:rPr>
          <w:sz w:val="22"/>
          <w:szCs w:val="22"/>
          <w:shd w:val="clear" w:color="auto" w:fill="FFFFFF"/>
        </w:rPr>
        <w:t>Kiena</w:t>
      </w:r>
      <w:proofErr w:type="spellEnd"/>
      <w:r w:rsidRPr="001A1B2E">
        <w:rPr>
          <w:sz w:val="22"/>
          <w:szCs w:val="22"/>
          <w:shd w:val="clear" w:color="auto" w:fill="FFFFFF"/>
        </w:rPr>
        <w:t xml:space="preserve"> Complex and O3 Mining Corporation’s (</w:t>
      </w:r>
      <w:r w:rsidRPr="001A1B2E">
        <w:rPr>
          <w:b/>
          <w:bCs/>
          <w:sz w:val="22"/>
          <w:szCs w:val="22"/>
          <w:shd w:val="clear" w:color="auto" w:fill="FFFFFF"/>
        </w:rPr>
        <w:t>TSX:OIII</w:t>
      </w:r>
      <w:r w:rsidRPr="001A1B2E">
        <w:rPr>
          <w:sz w:val="22"/>
          <w:szCs w:val="22"/>
          <w:shd w:val="clear" w:color="auto" w:fill="FFFFFF"/>
        </w:rPr>
        <w:t xml:space="preserve">) </w:t>
      </w:r>
      <w:proofErr w:type="spellStart"/>
      <w:r w:rsidRPr="001A1B2E">
        <w:rPr>
          <w:sz w:val="22"/>
          <w:szCs w:val="22"/>
          <w:shd w:val="clear" w:color="auto" w:fill="FFFFFF"/>
        </w:rPr>
        <w:t>Malarctic</w:t>
      </w:r>
      <w:proofErr w:type="spellEnd"/>
      <w:r w:rsidRPr="001A1B2E">
        <w:rPr>
          <w:sz w:val="22"/>
          <w:szCs w:val="22"/>
          <w:shd w:val="clear" w:color="auto" w:fill="FFFFFF"/>
        </w:rPr>
        <w:t xml:space="preserve"> Property (</w:t>
      </w:r>
      <w:proofErr w:type="spellStart"/>
      <w:r w:rsidRPr="001A1B2E">
        <w:rPr>
          <w:sz w:val="22"/>
          <w:szCs w:val="22"/>
          <w:shd w:val="clear" w:color="auto" w:fill="FFFFFF"/>
        </w:rPr>
        <w:t>Marban</w:t>
      </w:r>
      <w:proofErr w:type="spellEnd"/>
      <w:r w:rsidRPr="001A1B2E">
        <w:rPr>
          <w:sz w:val="22"/>
          <w:szCs w:val="22"/>
          <w:shd w:val="clear" w:color="auto" w:fill="FFFFFF"/>
        </w:rPr>
        <w:t xml:space="preserve"> Project).  </w:t>
      </w:r>
      <w:r>
        <w:rPr>
          <w:sz w:val="22"/>
          <w:szCs w:val="22"/>
          <w:shd w:val="clear" w:color="auto" w:fill="FFFFFF"/>
        </w:rPr>
        <w:t xml:space="preserve">The </w:t>
      </w:r>
      <w:proofErr w:type="spellStart"/>
      <w:r>
        <w:rPr>
          <w:sz w:val="22"/>
          <w:szCs w:val="22"/>
          <w:shd w:val="clear" w:color="auto" w:fill="FFFFFF"/>
        </w:rPr>
        <w:t>Trecesson</w:t>
      </w:r>
      <w:proofErr w:type="spellEnd"/>
      <w:r>
        <w:rPr>
          <w:sz w:val="22"/>
          <w:szCs w:val="22"/>
          <w:shd w:val="clear" w:color="auto" w:fill="FFFFFF"/>
        </w:rPr>
        <w:t xml:space="preserve"> Property is located 50 km north of Val d’Or Mining Camp.  </w:t>
      </w:r>
      <w:proofErr w:type="spellStart"/>
      <w:r w:rsidRPr="001A1B2E">
        <w:rPr>
          <w:sz w:val="22"/>
          <w:szCs w:val="22"/>
          <w:shd w:val="clear" w:color="auto" w:fill="FFFFFF"/>
        </w:rPr>
        <w:t>Emgold</w:t>
      </w:r>
      <w:proofErr w:type="spellEnd"/>
      <w:r w:rsidRPr="001A1B2E">
        <w:rPr>
          <w:sz w:val="22"/>
          <w:szCs w:val="22"/>
          <w:shd w:val="clear" w:color="auto" w:fill="FFFFFF"/>
        </w:rPr>
        <w:t xml:space="preserve"> also has a 1% NSR in the Troilus North Property, part of the Troilus Mine Property being explored by Troilus Gold Corporation (</w:t>
      </w:r>
      <w:proofErr w:type="gramStart"/>
      <w:r w:rsidRPr="001A1B2E">
        <w:rPr>
          <w:b/>
          <w:sz w:val="22"/>
          <w:szCs w:val="22"/>
          <w:shd w:val="clear" w:color="auto" w:fill="FFFFFF"/>
        </w:rPr>
        <w:t>TSX:TLG</w:t>
      </w:r>
      <w:proofErr w:type="gramEnd"/>
      <w:r w:rsidRPr="001A1B2E">
        <w:rPr>
          <w:sz w:val="22"/>
          <w:szCs w:val="22"/>
          <w:shd w:val="clear" w:color="auto" w:fill="FFFFFF"/>
        </w:rPr>
        <w:t xml:space="preserve">).  </w:t>
      </w:r>
    </w:p>
    <w:p w14:paraId="605E15FA" w14:textId="77777777" w:rsidR="004B6BBE" w:rsidRPr="001A1B2E" w:rsidRDefault="004B6BBE" w:rsidP="004B6BBE">
      <w:pPr>
        <w:spacing w:line="260" w:lineRule="exact"/>
        <w:jc w:val="both"/>
        <w:rPr>
          <w:sz w:val="22"/>
          <w:szCs w:val="22"/>
          <w:shd w:val="clear" w:color="auto" w:fill="FFFFFF"/>
        </w:rPr>
      </w:pPr>
    </w:p>
    <w:p w14:paraId="147E01B2" w14:textId="77777777" w:rsidR="004B6BBE" w:rsidRPr="001A1B2E" w:rsidRDefault="004B6BBE" w:rsidP="004B6BBE">
      <w:pPr>
        <w:spacing w:line="260" w:lineRule="exact"/>
        <w:jc w:val="both"/>
        <w:rPr>
          <w:b/>
          <w:sz w:val="22"/>
          <w:szCs w:val="22"/>
          <w:u w:val="single"/>
        </w:rPr>
      </w:pPr>
      <w:r w:rsidRPr="001A1B2E">
        <w:rPr>
          <w:sz w:val="22"/>
          <w:szCs w:val="22"/>
          <w:shd w:val="clear" w:color="auto" w:fill="FFFFFF"/>
        </w:rPr>
        <w:t xml:space="preserve">Note that the location of </w:t>
      </w:r>
      <w:proofErr w:type="spellStart"/>
      <w:r w:rsidRPr="001A1B2E">
        <w:rPr>
          <w:sz w:val="22"/>
          <w:szCs w:val="22"/>
          <w:shd w:val="clear" w:color="auto" w:fill="FFFFFF"/>
        </w:rPr>
        <w:t>Emgold’s</w:t>
      </w:r>
      <w:proofErr w:type="spellEnd"/>
      <w:r w:rsidRPr="001A1B2E">
        <w:rPr>
          <w:sz w:val="22"/>
          <w:szCs w:val="22"/>
          <w:shd w:val="clear" w:color="auto" w:fill="FFFFFF"/>
        </w:rPr>
        <w:t xml:space="preserve"> properties adjacent to producing or past producing mines does not guarantee exploration success at </w:t>
      </w:r>
      <w:proofErr w:type="spellStart"/>
      <w:r w:rsidRPr="001A1B2E">
        <w:rPr>
          <w:sz w:val="22"/>
          <w:szCs w:val="22"/>
          <w:shd w:val="clear" w:color="auto" w:fill="FFFFFF"/>
        </w:rPr>
        <w:t>Emgold’s</w:t>
      </w:r>
      <w:proofErr w:type="spellEnd"/>
      <w:r w:rsidRPr="001A1B2E">
        <w:rPr>
          <w:sz w:val="22"/>
          <w:szCs w:val="22"/>
          <w:shd w:val="clear" w:color="auto" w:fill="FFFFFF"/>
        </w:rPr>
        <w:t xml:space="preserve"> properties or that mineral resources or reserves will be delineated.  For more information on the Company, investors should review the Company’s website at </w:t>
      </w:r>
      <w:hyperlink r:id="rId13" w:history="1">
        <w:r w:rsidRPr="000A58F1">
          <w:rPr>
            <w:rStyle w:val="Hyperlink"/>
            <w:sz w:val="22"/>
            <w:szCs w:val="22"/>
            <w:bdr w:val="none" w:sz="0" w:space="0" w:color="auto" w:frame="1"/>
            <w:shd w:val="clear" w:color="auto" w:fill="FFFFFF"/>
          </w:rPr>
          <w:t>www.emgold.com</w:t>
        </w:r>
      </w:hyperlink>
      <w:r w:rsidRPr="001A1B2E">
        <w:rPr>
          <w:rStyle w:val="s2"/>
          <w:sz w:val="22"/>
          <w:szCs w:val="22"/>
          <w:bdr w:val="none" w:sz="0" w:space="0" w:color="auto" w:frame="1"/>
          <w:shd w:val="clear" w:color="auto" w:fill="FFFFFF"/>
        </w:rPr>
        <w:t> </w:t>
      </w:r>
      <w:r w:rsidRPr="001A1B2E">
        <w:rPr>
          <w:sz w:val="22"/>
          <w:szCs w:val="22"/>
          <w:shd w:val="clear" w:color="auto" w:fill="FFFFFF"/>
        </w:rPr>
        <w:t>or view the Company’s filings available at </w:t>
      </w:r>
      <w:hyperlink r:id="rId14" w:history="1">
        <w:r w:rsidRPr="001A1B2E">
          <w:rPr>
            <w:rStyle w:val="Hyperlink"/>
            <w:sz w:val="22"/>
            <w:szCs w:val="22"/>
            <w:bdr w:val="none" w:sz="0" w:space="0" w:color="auto" w:frame="1"/>
            <w:shd w:val="clear" w:color="auto" w:fill="FFFFFF"/>
          </w:rPr>
          <w:t>www.sedar.com</w:t>
        </w:r>
      </w:hyperlink>
      <w:r w:rsidRPr="001A1B2E">
        <w:rPr>
          <w:sz w:val="22"/>
          <w:szCs w:val="22"/>
          <w:shd w:val="clear" w:color="auto" w:fill="FFFFFF"/>
        </w:rPr>
        <w:t>.</w:t>
      </w:r>
    </w:p>
    <w:p w14:paraId="317B2EAF" w14:textId="77777777" w:rsidR="00F22956" w:rsidRDefault="00474D96" w:rsidP="00474D96">
      <w:pPr>
        <w:shd w:val="clear" w:color="auto" w:fill="FFFFFF"/>
        <w:spacing w:before="100" w:beforeAutospacing="1" w:after="120" w:line="240" w:lineRule="atLeast"/>
        <w:jc w:val="center"/>
        <w:rPr>
          <w:sz w:val="22"/>
        </w:rPr>
      </w:pPr>
      <w:r>
        <w:rPr>
          <w:b/>
          <w:sz w:val="22"/>
          <w:u w:val="single"/>
        </w:rPr>
        <w:t>On</w:t>
      </w:r>
      <w:r w:rsidRPr="00D26C38">
        <w:rPr>
          <w:b/>
          <w:sz w:val="22"/>
          <w:u w:val="single"/>
        </w:rPr>
        <w:t xml:space="preserve"> behalf of the Board of Directors</w:t>
      </w:r>
      <w:r w:rsidRPr="00D26C38">
        <w:rPr>
          <w:b/>
          <w:sz w:val="22"/>
          <w:u w:val="single"/>
        </w:rPr>
        <w:br/>
        <w:t>David G. Watkinson, P.Eng.</w:t>
      </w:r>
      <w:r w:rsidRPr="00D26C38">
        <w:rPr>
          <w:b/>
          <w:sz w:val="22"/>
          <w:u w:val="single"/>
        </w:rPr>
        <w:br/>
        <w:t>President &amp; CEO</w:t>
      </w:r>
      <w:r w:rsidRPr="00D26C38">
        <w:rPr>
          <w:b/>
          <w:sz w:val="22"/>
          <w:u w:val="single"/>
        </w:rPr>
        <w:br/>
      </w:r>
      <w:r w:rsidRPr="00D26C38">
        <w:rPr>
          <w:b/>
          <w:sz w:val="22"/>
          <w:u w:val="single"/>
        </w:rPr>
        <w:br/>
      </w:r>
    </w:p>
    <w:p w14:paraId="71015D69" w14:textId="77FFF587" w:rsidR="00474D96" w:rsidRPr="00D26C38" w:rsidRDefault="00474D96" w:rsidP="00474D96">
      <w:pPr>
        <w:shd w:val="clear" w:color="auto" w:fill="FFFFFF"/>
        <w:spacing w:before="100" w:beforeAutospacing="1" w:after="120" w:line="240" w:lineRule="atLeast"/>
        <w:jc w:val="center"/>
        <w:rPr>
          <w:b/>
          <w:sz w:val="22"/>
          <w:u w:val="single"/>
        </w:rPr>
      </w:pPr>
      <w:r w:rsidRPr="00663660">
        <w:rPr>
          <w:sz w:val="22"/>
        </w:rPr>
        <w:lastRenderedPageBreak/>
        <w:t>For further information</w:t>
      </w:r>
      <w:r w:rsidRPr="00663660">
        <w:rPr>
          <w:sz w:val="22"/>
          <w:szCs w:val="22"/>
        </w:rPr>
        <w:t>,</w:t>
      </w:r>
      <w:r w:rsidRPr="00663660">
        <w:rPr>
          <w:sz w:val="22"/>
        </w:rPr>
        <w:t xml:space="preserve"> please contact:</w:t>
      </w:r>
    </w:p>
    <w:p w14:paraId="5C697E9A" w14:textId="77777777" w:rsidR="00474D96" w:rsidRPr="007028EC" w:rsidRDefault="00474D96" w:rsidP="00474D96">
      <w:pPr>
        <w:jc w:val="center"/>
        <w:rPr>
          <w:sz w:val="22"/>
          <w:szCs w:val="22"/>
        </w:rPr>
      </w:pPr>
      <w:r w:rsidRPr="001A090A">
        <w:rPr>
          <w:color w:val="000000"/>
          <w:sz w:val="22"/>
          <w:szCs w:val="22"/>
        </w:rPr>
        <w:t>David G. Watkinson, P.Eng.</w:t>
      </w:r>
      <w:r w:rsidRPr="008F75AA">
        <w:rPr>
          <w:color w:val="000000"/>
          <w:sz w:val="22"/>
          <w:szCs w:val="22"/>
        </w:rPr>
        <w:br/>
        <w:t xml:space="preserve">Tel: </w:t>
      </w:r>
      <w:r>
        <w:rPr>
          <w:color w:val="000000"/>
          <w:sz w:val="22"/>
          <w:szCs w:val="22"/>
        </w:rPr>
        <w:t>530</w:t>
      </w:r>
      <w:r w:rsidRPr="008F75AA">
        <w:rPr>
          <w:color w:val="000000"/>
          <w:sz w:val="22"/>
          <w:szCs w:val="22"/>
        </w:rPr>
        <w:t>-</w:t>
      </w:r>
      <w:r>
        <w:rPr>
          <w:color w:val="000000"/>
          <w:sz w:val="22"/>
          <w:szCs w:val="22"/>
        </w:rPr>
        <w:t>271</w:t>
      </w:r>
      <w:r w:rsidRPr="008F75AA">
        <w:rPr>
          <w:color w:val="000000"/>
          <w:sz w:val="22"/>
          <w:szCs w:val="22"/>
        </w:rPr>
        <w:t>-</w:t>
      </w:r>
      <w:r>
        <w:rPr>
          <w:color w:val="000000"/>
          <w:sz w:val="22"/>
          <w:szCs w:val="22"/>
        </w:rPr>
        <w:t>0679 Ext 101</w:t>
      </w:r>
      <w:r w:rsidRPr="008F75AA">
        <w:rPr>
          <w:color w:val="000000"/>
          <w:sz w:val="22"/>
          <w:szCs w:val="22"/>
        </w:rPr>
        <w:br/>
      </w:r>
      <w:r w:rsidRPr="007028EC">
        <w:rPr>
          <w:sz w:val="22"/>
          <w:szCs w:val="22"/>
        </w:rPr>
        <w:t xml:space="preserve">Email: </w:t>
      </w:r>
      <w:hyperlink r:id="rId15" w:history="1">
        <w:r w:rsidRPr="007028EC">
          <w:rPr>
            <w:sz w:val="22"/>
            <w:szCs w:val="22"/>
            <w:u w:val="single"/>
          </w:rPr>
          <w:t>info@emgold.com</w:t>
        </w:r>
      </w:hyperlink>
    </w:p>
    <w:p w14:paraId="562AC4B8" w14:textId="77777777" w:rsidR="00474D96" w:rsidRPr="00B13AD3" w:rsidRDefault="00474D96" w:rsidP="00474D96">
      <w:pPr>
        <w:jc w:val="both"/>
        <w:rPr>
          <w:sz w:val="20"/>
          <w:szCs w:val="20"/>
        </w:rPr>
      </w:pPr>
    </w:p>
    <w:p w14:paraId="41C99A77" w14:textId="77777777" w:rsidR="00474D96" w:rsidRPr="00DD2BA9" w:rsidRDefault="00474D96" w:rsidP="00474D96">
      <w:pPr>
        <w:pStyle w:val="BodyText"/>
        <w:tabs>
          <w:tab w:val="left" w:pos="6480"/>
        </w:tabs>
        <w:spacing w:after="120"/>
        <w:rPr>
          <w:b/>
          <w:szCs w:val="18"/>
        </w:rPr>
      </w:pPr>
      <w:r w:rsidRPr="002C0268">
        <w:rPr>
          <w:b/>
          <w:szCs w:val="18"/>
        </w:rPr>
        <w:t xml:space="preserve">Neither TSX Venture Exchange nor its Regulation Services Provider (as the term is defined in the policies of the TSX Venture Exchange) accepts responsibility for the adequacy or accuracy of this release.  </w:t>
      </w:r>
    </w:p>
    <w:p w14:paraId="6E3795FA" w14:textId="77777777" w:rsidR="00474D96" w:rsidRDefault="00474D96" w:rsidP="00474D96">
      <w:pPr>
        <w:pStyle w:val="BodyText"/>
        <w:tabs>
          <w:tab w:val="left" w:pos="6480"/>
        </w:tabs>
        <w:rPr>
          <w:b/>
          <w:i/>
          <w:sz w:val="18"/>
          <w:szCs w:val="18"/>
        </w:rPr>
      </w:pPr>
    </w:p>
    <w:p w14:paraId="65819459" w14:textId="77777777" w:rsidR="00474D96" w:rsidRPr="00765DB1" w:rsidRDefault="00474D96" w:rsidP="00474D96">
      <w:pPr>
        <w:pStyle w:val="BodyText"/>
        <w:tabs>
          <w:tab w:val="left" w:pos="6480"/>
        </w:tabs>
        <w:rPr>
          <w:b/>
          <w:i/>
          <w:sz w:val="18"/>
          <w:szCs w:val="18"/>
        </w:rPr>
      </w:pPr>
      <w:r w:rsidRPr="00765DB1">
        <w:rPr>
          <w:b/>
          <w:i/>
          <w:sz w:val="18"/>
          <w:szCs w:val="18"/>
        </w:rPr>
        <w:t>Cautionary Note on Forward-Looking Statements</w:t>
      </w:r>
    </w:p>
    <w:p w14:paraId="37251657" w14:textId="77777777" w:rsidR="00474D96" w:rsidRPr="00765DB1" w:rsidRDefault="00474D96" w:rsidP="00474D96">
      <w:pPr>
        <w:jc w:val="both"/>
        <w:rPr>
          <w:sz w:val="18"/>
          <w:szCs w:val="18"/>
        </w:rPr>
      </w:pPr>
    </w:p>
    <w:p w14:paraId="24D6D2B0" w14:textId="77777777" w:rsidR="00474D96" w:rsidRPr="00765DB1" w:rsidRDefault="00474D96" w:rsidP="00474D96">
      <w:pPr>
        <w:pStyle w:val="BodyText"/>
        <w:tabs>
          <w:tab w:val="left" w:pos="6480"/>
        </w:tabs>
        <w:spacing w:after="120"/>
        <w:rPr>
          <w:sz w:val="18"/>
          <w:szCs w:val="18"/>
        </w:rPr>
      </w:pPr>
      <w:r w:rsidRPr="00A9198F">
        <w:rPr>
          <w:iCs/>
          <w:sz w:val="18"/>
          <w:szCs w:val="18"/>
          <w:shd w:val="clear" w:color="auto" w:fill="FFFFFF"/>
        </w:rPr>
        <w:t>Certain statements made and information contained herein may constitute “forward looking information” and “forward looking statements” within the meaning of applicable Canadian and United States securities legislation. These statements and information are based on facts currently available to the Company and there is no assurance that actual results will meet management’s expectations.</w:t>
      </w:r>
      <w:r>
        <w:rPr>
          <w:iCs/>
          <w:sz w:val="18"/>
          <w:szCs w:val="18"/>
          <w:shd w:val="clear" w:color="auto" w:fill="FFFFFF"/>
        </w:rPr>
        <w:t xml:space="preserve">  </w:t>
      </w:r>
      <w:r w:rsidRPr="00A9198F">
        <w:rPr>
          <w:iCs/>
          <w:sz w:val="18"/>
          <w:szCs w:val="18"/>
          <w:shd w:val="clear" w:color="auto" w:fill="FFFFFF"/>
        </w:rPr>
        <w:t>Forward-looking statements and information may be identified by such terms as “anticipates”, “believes”, “targets”, “estimates”, “plans”, “expects”, “may”, “will”, “could” or “would”.</w:t>
      </w:r>
      <w:r>
        <w:rPr>
          <w:iCs/>
          <w:sz w:val="18"/>
          <w:szCs w:val="18"/>
          <w:shd w:val="clear" w:color="auto" w:fill="FFFFFF"/>
        </w:rPr>
        <w:t xml:space="preserve"> </w:t>
      </w:r>
      <w:r w:rsidRPr="00A9198F">
        <w:rPr>
          <w:iCs/>
          <w:sz w:val="18"/>
          <w:szCs w:val="18"/>
          <w:shd w:val="clear" w:color="auto" w:fill="FFFFFF"/>
        </w:rPr>
        <w:t>Forward-looking statements and information contained herein are based on certain factors and assumptions regarding, among other things, the estimation of mineral resources and reserves, the realization of resource and reserve estimates, metal prices, taxation, the estimation, timing and amount of future exploration and development, capital and operating costs, the availability of financing, the receipt of regulatory approvals, environmental risks, title disputes and other matters.</w:t>
      </w:r>
      <w:r>
        <w:rPr>
          <w:iCs/>
          <w:sz w:val="18"/>
          <w:szCs w:val="18"/>
          <w:shd w:val="clear" w:color="auto" w:fill="FFFFFF"/>
        </w:rPr>
        <w:t xml:space="preserve"> </w:t>
      </w:r>
      <w:r w:rsidRPr="00A9198F">
        <w:rPr>
          <w:iCs/>
          <w:sz w:val="18"/>
          <w:szCs w:val="18"/>
          <w:shd w:val="clear" w:color="auto" w:fill="FFFFFF"/>
        </w:rPr>
        <w:t>While the Company considers its assumptions to be reasonable as of the date hereof, forward-looking statements and information are not guarantees of future performance and readers should not place undue importance on such statements as actual events and results may differ materially from those described herein. The Company does not undertake to update any forward-looking statements or information except as may be required by applicable securities laws.</w:t>
      </w:r>
      <w:r>
        <w:rPr>
          <w:iCs/>
          <w:sz w:val="18"/>
          <w:szCs w:val="18"/>
          <w:shd w:val="clear" w:color="auto" w:fill="FFFFFF"/>
        </w:rPr>
        <w:t xml:space="preserve">  </w:t>
      </w:r>
      <w:r w:rsidRPr="00765DB1">
        <w:rPr>
          <w:sz w:val="18"/>
          <w:szCs w:val="18"/>
        </w:rPr>
        <w:t xml:space="preserve">The Company's Canadian public disclosure filings may be accessed via </w:t>
      </w:r>
      <w:r w:rsidRPr="00765DB1">
        <w:rPr>
          <w:rStyle w:val="Hyperlink"/>
          <w:sz w:val="18"/>
          <w:szCs w:val="18"/>
        </w:rPr>
        <w:t>www.sedar.com</w:t>
      </w:r>
      <w:r w:rsidRPr="00765DB1">
        <w:rPr>
          <w:sz w:val="18"/>
          <w:szCs w:val="18"/>
        </w:rPr>
        <w:t xml:space="preserve"> and readers are urged to review these materials, including </w:t>
      </w:r>
      <w:r>
        <w:rPr>
          <w:sz w:val="18"/>
          <w:szCs w:val="18"/>
        </w:rPr>
        <w:t>any</w:t>
      </w:r>
      <w:r w:rsidRPr="00765DB1">
        <w:rPr>
          <w:sz w:val="18"/>
          <w:szCs w:val="18"/>
        </w:rPr>
        <w:t xml:space="preserve"> technical reports filed with respect to the Company's mineral properties.  </w:t>
      </w:r>
    </w:p>
    <w:p w14:paraId="7625334F" w14:textId="77777777" w:rsidR="00474D96" w:rsidRPr="0010788C" w:rsidRDefault="00474D96" w:rsidP="00130F31">
      <w:pPr>
        <w:shd w:val="clear" w:color="auto" w:fill="FFFFFF"/>
        <w:spacing w:before="100" w:beforeAutospacing="1" w:after="120"/>
        <w:jc w:val="both"/>
        <w:rPr>
          <w:sz w:val="22"/>
          <w:szCs w:val="22"/>
        </w:rPr>
      </w:pPr>
    </w:p>
    <w:sectPr w:rsidR="00474D96" w:rsidRPr="0010788C" w:rsidSect="00975F2C">
      <w:type w:val="continuous"/>
      <w:pgSz w:w="12240" w:h="15840" w:code="1"/>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2DC69" w14:textId="77777777" w:rsidR="000A1C5A" w:rsidRDefault="000A1C5A">
      <w:r>
        <w:separator/>
      </w:r>
    </w:p>
  </w:endnote>
  <w:endnote w:type="continuationSeparator" w:id="0">
    <w:p w14:paraId="455D46B5" w14:textId="77777777" w:rsidR="000A1C5A" w:rsidRDefault="000A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4C38" w14:textId="77777777" w:rsidR="004B2C0F" w:rsidRPr="001A090A" w:rsidRDefault="004B2C0F" w:rsidP="00975F2C">
    <w:pPr>
      <w:pStyle w:val="Footer"/>
    </w:pPr>
    <w:r w:rsidRPr="000533E8">
      <w:rPr>
        <w:noProof/>
        <w:vanish/>
        <w:sz w:val="14"/>
      </w:rPr>
      <w:t>{ }</w:t>
    </w:r>
    <w:r>
      <w:rPr>
        <w:noProof/>
        <w:sz w:val="14"/>
      </w:rPr>
      <w:tab/>
    </w:r>
    <w:r w:rsidRPr="001A090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2FCC" w14:textId="77777777" w:rsidR="004B2C0F" w:rsidRPr="00F07DF0" w:rsidRDefault="004B2C0F" w:rsidP="00975F2C">
    <w:pPr>
      <w:pStyle w:val="Footer"/>
    </w:pPr>
    <w:r w:rsidRPr="000533E8">
      <w:rPr>
        <w:noProof/>
        <w:vanish/>
        <w:sz w:val="14"/>
      </w:rPr>
      <w:t>{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89A6A" w14:textId="77777777" w:rsidR="000A1C5A" w:rsidRDefault="000A1C5A">
      <w:pPr>
        <w:rPr>
          <w:noProof/>
        </w:rPr>
      </w:pPr>
      <w:r>
        <w:rPr>
          <w:noProof/>
        </w:rPr>
        <w:separator/>
      </w:r>
    </w:p>
  </w:footnote>
  <w:footnote w:type="continuationSeparator" w:id="0">
    <w:p w14:paraId="1202B873" w14:textId="77777777" w:rsidR="000A1C5A" w:rsidRDefault="000A1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4CFF2" w14:textId="77777777" w:rsidR="004B2C0F" w:rsidRPr="003420EB" w:rsidRDefault="004B2C0F">
    <w:pPr>
      <w:pStyle w:val="Header"/>
      <w:jc w:val="center"/>
      <w:rPr>
        <w:sz w:val="22"/>
        <w:szCs w:val="22"/>
      </w:rPr>
    </w:pPr>
    <w:r w:rsidRPr="003420EB">
      <w:rPr>
        <w:sz w:val="22"/>
        <w:szCs w:val="22"/>
      </w:rPr>
      <w:t xml:space="preserve">- </w:t>
    </w:r>
    <w:r w:rsidR="007E3CCC" w:rsidRPr="003420EB">
      <w:rPr>
        <w:sz w:val="22"/>
        <w:szCs w:val="22"/>
      </w:rPr>
      <w:fldChar w:fldCharType="begin"/>
    </w:r>
    <w:r w:rsidRPr="003420EB">
      <w:rPr>
        <w:sz w:val="22"/>
        <w:szCs w:val="22"/>
      </w:rPr>
      <w:instrText xml:space="preserve"> PAGE   \* MERGEFORMAT </w:instrText>
    </w:r>
    <w:r w:rsidR="007E3CCC" w:rsidRPr="003420EB">
      <w:rPr>
        <w:sz w:val="22"/>
        <w:szCs w:val="22"/>
      </w:rPr>
      <w:fldChar w:fldCharType="separate"/>
    </w:r>
    <w:r w:rsidR="00803A14">
      <w:rPr>
        <w:noProof/>
        <w:sz w:val="22"/>
        <w:szCs w:val="22"/>
      </w:rPr>
      <w:t>2</w:t>
    </w:r>
    <w:r w:rsidR="007E3CCC" w:rsidRPr="003420EB">
      <w:rPr>
        <w:noProof/>
        <w:sz w:val="22"/>
        <w:szCs w:val="22"/>
      </w:rPr>
      <w:fldChar w:fldCharType="end"/>
    </w:r>
    <w:r w:rsidRPr="003420EB">
      <w:rPr>
        <w:noProof/>
        <w:sz w:val="22"/>
        <w:szCs w:val="22"/>
      </w:rPr>
      <w:t xml:space="preserve"> -</w:t>
    </w:r>
  </w:p>
  <w:p w14:paraId="350A43DE" w14:textId="77777777" w:rsidR="004B2C0F" w:rsidRPr="003420EB" w:rsidRDefault="004B2C0F">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5A36"/>
    <w:multiLevelType w:val="hybridMultilevel"/>
    <w:tmpl w:val="2B385FE6"/>
    <w:lvl w:ilvl="0" w:tplc="0C0C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B7E75"/>
    <w:multiLevelType w:val="hybridMultilevel"/>
    <w:tmpl w:val="489E4B1C"/>
    <w:lvl w:ilvl="0" w:tplc="6EE9C575">
      <w:start w:val="1"/>
      <w:numFmt w:val="lowerRoman"/>
      <w:lvlText w:val="(%1)"/>
      <w:lvlJc w:val="left"/>
      <w:pPr>
        <w:ind w:left="1440" w:hanging="360"/>
      </w:pPr>
      <w:rPr>
        <w:rFonts w:cs="Times New Roman"/>
        <w:snapToGrid/>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4326790"/>
    <w:multiLevelType w:val="multilevel"/>
    <w:tmpl w:val="AC5A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654510"/>
    <w:multiLevelType w:val="hybridMultilevel"/>
    <w:tmpl w:val="1E54BC16"/>
    <w:lvl w:ilvl="0" w:tplc="0C0C0011">
      <w:start w:val="1"/>
      <w:numFmt w:val="decimal"/>
      <w:lvlText w:val="%1)"/>
      <w:lvlJc w:val="left"/>
      <w:pPr>
        <w:ind w:left="720" w:hanging="360"/>
      </w:pPr>
    </w:lvl>
    <w:lvl w:ilvl="1" w:tplc="34A062DC">
      <w:numFmt w:val="bullet"/>
      <w:lvlText w:val="-"/>
      <w:lvlJc w:val="left"/>
      <w:pPr>
        <w:ind w:left="1440" w:hanging="360"/>
      </w:pPr>
      <w:rPr>
        <w:rFonts w:ascii="Times New Roman" w:eastAsia="Times New Roman" w:hAnsi="Times New Roman" w:cs="Times New Roman"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4EB12F1A"/>
    <w:multiLevelType w:val="hybridMultilevel"/>
    <w:tmpl w:val="6E74E2A2"/>
    <w:lvl w:ilvl="0" w:tplc="0C0C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5E0B93"/>
    <w:multiLevelType w:val="hybridMultilevel"/>
    <w:tmpl w:val="672697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3A110C3"/>
    <w:multiLevelType w:val="multilevel"/>
    <w:tmpl w:val="73FC1D98"/>
    <w:lvl w:ilvl="0">
      <w:start w:val="1"/>
      <w:numFmt w:val="lowerLetter"/>
      <w:pStyle w:val="sfalevel1"/>
      <w:lvlText w:val="%1)"/>
      <w:lvlJc w:val="left"/>
      <w:pPr>
        <w:tabs>
          <w:tab w:val="num" w:pos="0"/>
        </w:tabs>
        <w:ind w:left="0" w:firstLine="0"/>
      </w:pPr>
      <w:rPr>
        <w:rFonts w:ascii="Times New Roman" w:eastAsia="Times New Roman" w:hAnsi="Times New Roman" w:cs="Times New Roman"/>
        <w:lang w:val="en-US" w:eastAsia="en-US" w:bidi="ar-SA"/>
      </w:rPr>
    </w:lvl>
    <w:lvl w:ilvl="1">
      <w:start w:val="1"/>
      <w:numFmt w:val="lowerLetter"/>
      <w:pStyle w:val="sfalevel2"/>
      <w:lvlText w:val="(%2)"/>
      <w:lvlJc w:val="left"/>
      <w:pPr>
        <w:tabs>
          <w:tab w:val="num" w:pos="720"/>
        </w:tabs>
        <w:ind w:left="0" w:firstLine="720"/>
      </w:pPr>
      <w:rPr>
        <w:lang w:val="en-US" w:eastAsia="en-US" w:bidi="ar-SA"/>
      </w:rPr>
    </w:lvl>
    <w:lvl w:ilvl="2">
      <w:start w:val="1"/>
      <w:numFmt w:val="lowerRoman"/>
      <w:pStyle w:val="sfalevel3"/>
      <w:lvlText w:val="(%3)"/>
      <w:lvlJc w:val="left"/>
      <w:pPr>
        <w:tabs>
          <w:tab w:val="num" w:pos="1440"/>
        </w:tabs>
        <w:ind w:left="0" w:firstLine="1440"/>
      </w:pPr>
      <w:rPr>
        <w:lang w:val="en-US" w:eastAsia="en-US" w:bidi="ar-SA"/>
      </w:rPr>
    </w:lvl>
    <w:lvl w:ilvl="3">
      <w:start w:val="1"/>
      <w:numFmt w:val="decimal"/>
      <w:lvlText w:val="%1.%2.%3.%4."/>
      <w:lvlJc w:val="left"/>
      <w:pPr>
        <w:tabs>
          <w:tab w:val="num" w:pos="1728"/>
        </w:tabs>
        <w:ind w:left="1728" w:hanging="648"/>
      </w:pPr>
      <w:rPr>
        <w:lang w:val="en-US" w:eastAsia="en-US" w:bidi="ar-SA"/>
      </w:rPr>
    </w:lvl>
    <w:lvl w:ilvl="4">
      <w:start w:val="1"/>
      <w:numFmt w:val="decimal"/>
      <w:lvlText w:val="%1.%2.%3.%4.%5."/>
      <w:lvlJc w:val="left"/>
      <w:pPr>
        <w:tabs>
          <w:tab w:val="num" w:pos="2232"/>
        </w:tabs>
        <w:ind w:left="2232" w:hanging="792"/>
      </w:pPr>
      <w:rPr>
        <w:lang w:val="en-US" w:eastAsia="en-US" w:bidi="ar-SA"/>
      </w:rPr>
    </w:lvl>
    <w:lvl w:ilvl="5">
      <w:start w:val="1"/>
      <w:numFmt w:val="decimal"/>
      <w:lvlText w:val="%1.%2.%3.%4.%5.%6."/>
      <w:lvlJc w:val="left"/>
      <w:pPr>
        <w:tabs>
          <w:tab w:val="num" w:pos="2736"/>
        </w:tabs>
        <w:ind w:left="2736" w:hanging="936"/>
      </w:pPr>
      <w:rPr>
        <w:lang w:val="en-US" w:eastAsia="en-US" w:bidi="ar-SA"/>
      </w:rPr>
    </w:lvl>
    <w:lvl w:ilvl="6">
      <w:start w:val="1"/>
      <w:numFmt w:val="decimal"/>
      <w:lvlText w:val="%1.%2.%3.%4.%5.%6.%7."/>
      <w:lvlJc w:val="left"/>
      <w:pPr>
        <w:tabs>
          <w:tab w:val="num" w:pos="3240"/>
        </w:tabs>
        <w:ind w:left="3240" w:hanging="1080"/>
      </w:pPr>
      <w:rPr>
        <w:lang w:val="en-US" w:eastAsia="en-US" w:bidi="ar-SA"/>
      </w:rPr>
    </w:lvl>
    <w:lvl w:ilvl="7">
      <w:start w:val="1"/>
      <w:numFmt w:val="decimal"/>
      <w:lvlText w:val="%1.%2.%3.%4.%5.%6.%7.%8."/>
      <w:lvlJc w:val="left"/>
      <w:pPr>
        <w:tabs>
          <w:tab w:val="num" w:pos="3744"/>
        </w:tabs>
        <w:ind w:left="3744" w:hanging="1224"/>
      </w:pPr>
      <w:rPr>
        <w:lang w:val="en-US" w:eastAsia="en-US" w:bidi="ar-SA"/>
      </w:rPr>
    </w:lvl>
    <w:lvl w:ilvl="8">
      <w:start w:val="1"/>
      <w:numFmt w:val="decimal"/>
      <w:lvlText w:val="%1.%2.%3.%4.%5.%6.%7.%8.%9."/>
      <w:lvlJc w:val="left"/>
      <w:pPr>
        <w:tabs>
          <w:tab w:val="num" w:pos="4320"/>
        </w:tabs>
        <w:ind w:left="4320" w:hanging="1440"/>
      </w:pPr>
      <w:rPr>
        <w:lang w:val="en-US" w:eastAsia="en-US" w:bidi="ar-SA"/>
      </w:rPr>
    </w:lvl>
  </w:abstractNum>
  <w:abstractNum w:abstractNumId="7" w15:restartNumberingAfterBreak="0">
    <w:nsid w:val="63882863"/>
    <w:multiLevelType w:val="hybridMultilevel"/>
    <w:tmpl w:val="20F4A5CC"/>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4FB2D35"/>
    <w:multiLevelType w:val="hybridMultilevel"/>
    <w:tmpl w:val="1E54BC16"/>
    <w:lvl w:ilvl="0" w:tplc="0C0C0011">
      <w:start w:val="1"/>
      <w:numFmt w:val="decimal"/>
      <w:lvlText w:val="%1)"/>
      <w:lvlJc w:val="left"/>
      <w:pPr>
        <w:ind w:left="720" w:hanging="360"/>
      </w:pPr>
    </w:lvl>
    <w:lvl w:ilvl="1" w:tplc="34A062DC">
      <w:numFmt w:val="bullet"/>
      <w:lvlText w:val="-"/>
      <w:lvlJc w:val="left"/>
      <w:pPr>
        <w:ind w:left="1440" w:hanging="360"/>
      </w:pPr>
      <w:rPr>
        <w:rFonts w:ascii="Times New Roman" w:eastAsia="Times New Roman" w:hAnsi="Times New Roman" w:cs="Times New Roman"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676D1F5E"/>
    <w:multiLevelType w:val="hybridMultilevel"/>
    <w:tmpl w:val="1E54BC16"/>
    <w:lvl w:ilvl="0" w:tplc="0C0C0011">
      <w:start w:val="1"/>
      <w:numFmt w:val="decimal"/>
      <w:lvlText w:val="%1)"/>
      <w:lvlJc w:val="left"/>
      <w:pPr>
        <w:ind w:left="720" w:hanging="360"/>
      </w:pPr>
    </w:lvl>
    <w:lvl w:ilvl="1" w:tplc="34A062DC">
      <w:numFmt w:val="bullet"/>
      <w:lvlText w:val="-"/>
      <w:lvlJc w:val="left"/>
      <w:pPr>
        <w:ind w:left="1440" w:hanging="360"/>
      </w:pPr>
      <w:rPr>
        <w:rFonts w:ascii="Times New Roman" w:eastAsia="Times New Roman" w:hAnsi="Times New Roman" w:cs="Times New Roman"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70BB73C5"/>
    <w:multiLevelType w:val="hybridMultilevel"/>
    <w:tmpl w:val="30B4E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072C24"/>
    <w:multiLevelType w:val="hybridMultilevel"/>
    <w:tmpl w:val="4A7A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3"/>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1"/>
  </w:num>
  <w:num w:numId="9">
    <w:abstractNumId w:val="4"/>
  </w:num>
  <w:num w:numId="1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6"/>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E0C"/>
    <w:rsid w:val="000028A8"/>
    <w:rsid w:val="0000382E"/>
    <w:rsid w:val="000133C9"/>
    <w:rsid w:val="00016D8E"/>
    <w:rsid w:val="000371E2"/>
    <w:rsid w:val="00044A16"/>
    <w:rsid w:val="00050761"/>
    <w:rsid w:val="0005304C"/>
    <w:rsid w:val="000533E8"/>
    <w:rsid w:val="0005357D"/>
    <w:rsid w:val="00054DE6"/>
    <w:rsid w:val="00085E16"/>
    <w:rsid w:val="000A1C5A"/>
    <w:rsid w:val="000A7D5E"/>
    <w:rsid w:val="000B55E1"/>
    <w:rsid w:val="000B7CAE"/>
    <w:rsid w:val="000D36D0"/>
    <w:rsid w:val="000D423E"/>
    <w:rsid w:val="000D5B20"/>
    <w:rsid w:val="000E0D88"/>
    <w:rsid w:val="000E3D55"/>
    <w:rsid w:val="000F12F7"/>
    <w:rsid w:val="000F7A7C"/>
    <w:rsid w:val="0010788C"/>
    <w:rsid w:val="00110122"/>
    <w:rsid w:val="00123D12"/>
    <w:rsid w:val="00130F31"/>
    <w:rsid w:val="0013292A"/>
    <w:rsid w:val="00145A84"/>
    <w:rsid w:val="00165701"/>
    <w:rsid w:val="001662EC"/>
    <w:rsid w:val="00166653"/>
    <w:rsid w:val="001804CB"/>
    <w:rsid w:val="0018418D"/>
    <w:rsid w:val="001B3C35"/>
    <w:rsid w:val="001C7477"/>
    <w:rsid w:val="001C7EAC"/>
    <w:rsid w:val="001D2AD1"/>
    <w:rsid w:val="001D5DC7"/>
    <w:rsid w:val="001E1E0E"/>
    <w:rsid w:val="001E2CE3"/>
    <w:rsid w:val="001E3C2B"/>
    <w:rsid w:val="001E6B1E"/>
    <w:rsid w:val="001F4A8B"/>
    <w:rsid w:val="00200982"/>
    <w:rsid w:val="00216A2C"/>
    <w:rsid w:val="00222E04"/>
    <w:rsid w:val="00236EEE"/>
    <w:rsid w:val="00246E56"/>
    <w:rsid w:val="00274857"/>
    <w:rsid w:val="0029120B"/>
    <w:rsid w:val="002A1F6E"/>
    <w:rsid w:val="002A2178"/>
    <w:rsid w:val="002A6AFF"/>
    <w:rsid w:val="002B0BA9"/>
    <w:rsid w:val="002B0D34"/>
    <w:rsid w:val="002B5109"/>
    <w:rsid w:val="002D11D4"/>
    <w:rsid w:val="002D26CB"/>
    <w:rsid w:val="002F2546"/>
    <w:rsid w:val="00310611"/>
    <w:rsid w:val="0031775A"/>
    <w:rsid w:val="003309AD"/>
    <w:rsid w:val="00333ECE"/>
    <w:rsid w:val="00337359"/>
    <w:rsid w:val="0034153D"/>
    <w:rsid w:val="00351F3E"/>
    <w:rsid w:val="00354721"/>
    <w:rsid w:val="00360109"/>
    <w:rsid w:val="00362363"/>
    <w:rsid w:val="00375154"/>
    <w:rsid w:val="00384338"/>
    <w:rsid w:val="00384C03"/>
    <w:rsid w:val="00386842"/>
    <w:rsid w:val="00387C21"/>
    <w:rsid w:val="003900F7"/>
    <w:rsid w:val="003973B7"/>
    <w:rsid w:val="00397A65"/>
    <w:rsid w:val="003B0ADE"/>
    <w:rsid w:val="003B2693"/>
    <w:rsid w:val="003B604B"/>
    <w:rsid w:val="003C723F"/>
    <w:rsid w:val="003D5C46"/>
    <w:rsid w:val="004000AF"/>
    <w:rsid w:val="00422167"/>
    <w:rsid w:val="00425E71"/>
    <w:rsid w:val="004457AB"/>
    <w:rsid w:val="00445CFC"/>
    <w:rsid w:val="004460D9"/>
    <w:rsid w:val="00460DED"/>
    <w:rsid w:val="00465B98"/>
    <w:rsid w:val="00471443"/>
    <w:rsid w:val="00474D96"/>
    <w:rsid w:val="0048350D"/>
    <w:rsid w:val="00483F88"/>
    <w:rsid w:val="004A1CF7"/>
    <w:rsid w:val="004B03EA"/>
    <w:rsid w:val="004B2C0F"/>
    <w:rsid w:val="004B6BBE"/>
    <w:rsid w:val="004E5474"/>
    <w:rsid w:val="004E68AD"/>
    <w:rsid w:val="00505C7E"/>
    <w:rsid w:val="005252FF"/>
    <w:rsid w:val="00527E4F"/>
    <w:rsid w:val="00532D1D"/>
    <w:rsid w:val="00536954"/>
    <w:rsid w:val="00545AC0"/>
    <w:rsid w:val="005468A5"/>
    <w:rsid w:val="00547414"/>
    <w:rsid w:val="00551C05"/>
    <w:rsid w:val="005662C4"/>
    <w:rsid w:val="005748AB"/>
    <w:rsid w:val="005774D8"/>
    <w:rsid w:val="00586A19"/>
    <w:rsid w:val="005873C6"/>
    <w:rsid w:val="005901B0"/>
    <w:rsid w:val="005A344A"/>
    <w:rsid w:val="005A54C5"/>
    <w:rsid w:val="005C12F4"/>
    <w:rsid w:val="005C2B63"/>
    <w:rsid w:val="005C4282"/>
    <w:rsid w:val="005C4D40"/>
    <w:rsid w:val="005C58D0"/>
    <w:rsid w:val="005E6FF6"/>
    <w:rsid w:val="005F0441"/>
    <w:rsid w:val="005F3B96"/>
    <w:rsid w:val="00602E0C"/>
    <w:rsid w:val="006052BF"/>
    <w:rsid w:val="00614103"/>
    <w:rsid w:val="006237DE"/>
    <w:rsid w:val="00632108"/>
    <w:rsid w:val="006321A9"/>
    <w:rsid w:val="00634FF5"/>
    <w:rsid w:val="00644DF0"/>
    <w:rsid w:val="00650B81"/>
    <w:rsid w:val="00657AF5"/>
    <w:rsid w:val="00666277"/>
    <w:rsid w:val="00670398"/>
    <w:rsid w:val="00675BF3"/>
    <w:rsid w:val="00681B86"/>
    <w:rsid w:val="00692CB5"/>
    <w:rsid w:val="006937FE"/>
    <w:rsid w:val="006A0E9E"/>
    <w:rsid w:val="006A6F05"/>
    <w:rsid w:val="006E25CC"/>
    <w:rsid w:val="006E3870"/>
    <w:rsid w:val="006E7B0C"/>
    <w:rsid w:val="006F01E8"/>
    <w:rsid w:val="006F44A0"/>
    <w:rsid w:val="007065C2"/>
    <w:rsid w:val="00720303"/>
    <w:rsid w:val="00723B00"/>
    <w:rsid w:val="00724051"/>
    <w:rsid w:val="00733374"/>
    <w:rsid w:val="00734AC3"/>
    <w:rsid w:val="00753013"/>
    <w:rsid w:val="0077771C"/>
    <w:rsid w:val="007857AD"/>
    <w:rsid w:val="00793081"/>
    <w:rsid w:val="0079462F"/>
    <w:rsid w:val="007A7384"/>
    <w:rsid w:val="007C233A"/>
    <w:rsid w:val="007C4B5C"/>
    <w:rsid w:val="007D2BE2"/>
    <w:rsid w:val="007E3CCC"/>
    <w:rsid w:val="007E7628"/>
    <w:rsid w:val="007F4C68"/>
    <w:rsid w:val="00803A14"/>
    <w:rsid w:val="0080658D"/>
    <w:rsid w:val="00812740"/>
    <w:rsid w:val="008348B6"/>
    <w:rsid w:val="0083741D"/>
    <w:rsid w:val="00852821"/>
    <w:rsid w:val="0086022C"/>
    <w:rsid w:val="00861B0B"/>
    <w:rsid w:val="0086345F"/>
    <w:rsid w:val="00864C9A"/>
    <w:rsid w:val="008651D2"/>
    <w:rsid w:val="00871657"/>
    <w:rsid w:val="00872000"/>
    <w:rsid w:val="0087464B"/>
    <w:rsid w:val="00881811"/>
    <w:rsid w:val="00894FC1"/>
    <w:rsid w:val="00897206"/>
    <w:rsid w:val="00897BF2"/>
    <w:rsid w:val="008A6444"/>
    <w:rsid w:val="008B31EC"/>
    <w:rsid w:val="008C5B4F"/>
    <w:rsid w:val="008D2ECD"/>
    <w:rsid w:val="008E0B25"/>
    <w:rsid w:val="008E10C3"/>
    <w:rsid w:val="00921370"/>
    <w:rsid w:val="0093753D"/>
    <w:rsid w:val="00946129"/>
    <w:rsid w:val="0095128F"/>
    <w:rsid w:val="009576A4"/>
    <w:rsid w:val="00975F2C"/>
    <w:rsid w:val="00991BC3"/>
    <w:rsid w:val="00992100"/>
    <w:rsid w:val="00992CF2"/>
    <w:rsid w:val="009A7D81"/>
    <w:rsid w:val="009C4468"/>
    <w:rsid w:val="009C506D"/>
    <w:rsid w:val="009D09D2"/>
    <w:rsid w:val="009D7156"/>
    <w:rsid w:val="009E220F"/>
    <w:rsid w:val="009E4FCE"/>
    <w:rsid w:val="009E5F05"/>
    <w:rsid w:val="009F04A9"/>
    <w:rsid w:val="009F5573"/>
    <w:rsid w:val="009F5BAC"/>
    <w:rsid w:val="00A001B9"/>
    <w:rsid w:val="00A1202D"/>
    <w:rsid w:val="00A16EAF"/>
    <w:rsid w:val="00A24CB9"/>
    <w:rsid w:val="00A27A0B"/>
    <w:rsid w:val="00A3241F"/>
    <w:rsid w:val="00A460F6"/>
    <w:rsid w:val="00A5130C"/>
    <w:rsid w:val="00A67301"/>
    <w:rsid w:val="00A800F0"/>
    <w:rsid w:val="00A8376E"/>
    <w:rsid w:val="00A9592F"/>
    <w:rsid w:val="00AB2AC1"/>
    <w:rsid w:val="00AB3DF7"/>
    <w:rsid w:val="00AB4613"/>
    <w:rsid w:val="00AD3363"/>
    <w:rsid w:val="00AD381E"/>
    <w:rsid w:val="00AE7D63"/>
    <w:rsid w:val="00AF41C4"/>
    <w:rsid w:val="00AF4DEF"/>
    <w:rsid w:val="00AF7091"/>
    <w:rsid w:val="00B04127"/>
    <w:rsid w:val="00B23BF8"/>
    <w:rsid w:val="00B30D27"/>
    <w:rsid w:val="00B43CDA"/>
    <w:rsid w:val="00B50E19"/>
    <w:rsid w:val="00B53D54"/>
    <w:rsid w:val="00B6069C"/>
    <w:rsid w:val="00B66647"/>
    <w:rsid w:val="00B77F9D"/>
    <w:rsid w:val="00B901A8"/>
    <w:rsid w:val="00BA3150"/>
    <w:rsid w:val="00BA318C"/>
    <w:rsid w:val="00BC4603"/>
    <w:rsid w:val="00BD3037"/>
    <w:rsid w:val="00BD3233"/>
    <w:rsid w:val="00BE14F0"/>
    <w:rsid w:val="00BE56A3"/>
    <w:rsid w:val="00BF29FA"/>
    <w:rsid w:val="00BF6F2F"/>
    <w:rsid w:val="00BF7470"/>
    <w:rsid w:val="00C13126"/>
    <w:rsid w:val="00C15BB7"/>
    <w:rsid w:val="00C33F50"/>
    <w:rsid w:val="00C375D6"/>
    <w:rsid w:val="00C40608"/>
    <w:rsid w:val="00C41C7C"/>
    <w:rsid w:val="00C46EC0"/>
    <w:rsid w:val="00C47B1E"/>
    <w:rsid w:val="00C5755A"/>
    <w:rsid w:val="00C77060"/>
    <w:rsid w:val="00C77FDA"/>
    <w:rsid w:val="00C82243"/>
    <w:rsid w:val="00C86F21"/>
    <w:rsid w:val="00C95E73"/>
    <w:rsid w:val="00CA0C55"/>
    <w:rsid w:val="00CA0D48"/>
    <w:rsid w:val="00CA6B24"/>
    <w:rsid w:val="00CB062B"/>
    <w:rsid w:val="00CB07FC"/>
    <w:rsid w:val="00CB0BE3"/>
    <w:rsid w:val="00CB48E3"/>
    <w:rsid w:val="00CB6F34"/>
    <w:rsid w:val="00CD1FF6"/>
    <w:rsid w:val="00CD6260"/>
    <w:rsid w:val="00CE32C4"/>
    <w:rsid w:val="00CE4610"/>
    <w:rsid w:val="00CE602C"/>
    <w:rsid w:val="00CF2056"/>
    <w:rsid w:val="00D100DC"/>
    <w:rsid w:val="00D12679"/>
    <w:rsid w:val="00D1335E"/>
    <w:rsid w:val="00D1705F"/>
    <w:rsid w:val="00D30F69"/>
    <w:rsid w:val="00D33F3C"/>
    <w:rsid w:val="00D360CE"/>
    <w:rsid w:val="00D37C7E"/>
    <w:rsid w:val="00D42D09"/>
    <w:rsid w:val="00D6291F"/>
    <w:rsid w:val="00D77167"/>
    <w:rsid w:val="00DC0660"/>
    <w:rsid w:val="00DC60AA"/>
    <w:rsid w:val="00DE5DD5"/>
    <w:rsid w:val="00DE72F8"/>
    <w:rsid w:val="00DF3B96"/>
    <w:rsid w:val="00E0181C"/>
    <w:rsid w:val="00E24681"/>
    <w:rsid w:val="00E515E7"/>
    <w:rsid w:val="00E52321"/>
    <w:rsid w:val="00E54851"/>
    <w:rsid w:val="00E60B1F"/>
    <w:rsid w:val="00E632E6"/>
    <w:rsid w:val="00E65970"/>
    <w:rsid w:val="00E67E78"/>
    <w:rsid w:val="00E85CC3"/>
    <w:rsid w:val="00E863D0"/>
    <w:rsid w:val="00EA7DDA"/>
    <w:rsid w:val="00EC3E93"/>
    <w:rsid w:val="00EC73F3"/>
    <w:rsid w:val="00ED4057"/>
    <w:rsid w:val="00EE18A0"/>
    <w:rsid w:val="00EF0AB8"/>
    <w:rsid w:val="00F07A11"/>
    <w:rsid w:val="00F10C8F"/>
    <w:rsid w:val="00F13F5D"/>
    <w:rsid w:val="00F1561E"/>
    <w:rsid w:val="00F165A7"/>
    <w:rsid w:val="00F20B19"/>
    <w:rsid w:val="00F22956"/>
    <w:rsid w:val="00F37C7F"/>
    <w:rsid w:val="00F52CF6"/>
    <w:rsid w:val="00F57233"/>
    <w:rsid w:val="00F601F9"/>
    <w:rsid w:val="00F75B57"/>
    <w:rsid w:val="00F804AD"/>
    <w:rsid w:val="00F81453"/>
    <w:rsid w:val="00F86F92"/>
    <w:rsid w:val="00F932BC"/>
    <w:rsid w:val="00FB171C"/>
    <w:rsid w:val="00FB698D"/>
    <w:rsid w:val="00FC0988"/>
    <w:rsid w:val="00FC7244"/>
    <w:rsid w:val="00FD24B5"/>
    <w:rsid w:val="00FD4791"/>
    <w:rsid w:val="00FD7CB0"/>
    <w:rsid w:val="00FE3536"/>
    <w:rsid w:val="00FE5DF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90094"/>
  <w15:docId w15:val="{FD220DE4-9FD4-4C86-868F-098B09A2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E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02E0C"/>
    <w:pPr>
      <w:spacing w:before="100" w:beforeAutospacing="1" w:after="100" w:afterAutospacing="1"/>
    </w:pPr>
    <w:rPr>
      <w:color w:val="000000"/>
    </w:rPr>
  </w:style>
  <w:style w:type="character" w:styleId="Hyperlink">
    <w:name w:val="Hyperlink"/>
    <w:uiPriority w:val="99"/>
    <w:rsid w:val="00602E0C"/>
    <w:rPr>
      <w:rFonts w:cs="Times New Roman"/>
      <w:color w:val="0000FF"/>
      <w:u w:val="single"/>
    </w:rPr>
  </w:style>
  <w:style w:type="paragraph" w:styleId="BodyText">
    <w:name w:val="Body Text"/>
    <w:basedOn w:val="Normal"/>
    <w:link w:val="BodyTextChar"/>
    <w:uiPriority w:val="99"/>
    <w:rsid w:val="00602E0C"/>
    <w:pPr>
      <w:jc w:val="both"/>
    </w:pPr>
    <w:rPr>
      <w:sz w:val="22"/>
      <w:szCs w:val="20"/>
      <w:lang w:val="en-CA"/>
    </w:rPr>
  </w:style>
  <w:style w:type="character" w:customStyle="1" w:styleId="BodyTextChar">
    <w:name w:val="Body Text Char"/>
    <w:basedOn w:val="DefaultParagraphFont"/>
    <w:link w:val="BodyText"/>
    <w:uiPriority w:val="99"/>
    <w:rsid w:val="00602E0C"/>
    <w:rPr>
      <w:rFonts w:ascii="Times New Roman" w:eastAsia="Times New Roman" w:hAnsi="Times New Roman" w:cs="Times New Roman"/>
      <w:szCs w:val="20"/>
      <w:lang w:val="en-CA"/>
    </w:rPr>
  </w:style>
  <w:style w:type="paragraph" w:styleId="Header">
    <w:name w:val="header"/>
    <w:basedOn w:val="Normal"/>
    <w:link w:val="HeaderChar"/>
    <w:uiPriority w:val="99"/>
    <w:rsid w:val="00602E0C"/>
    <w:pPr>
      <w:tabs>
        <w:tab w:val="center" w:pos="4680"/>
        <w:tab w:val="right" w:pos="9360"/>
      </w:tabs>
    </w:pPr>
    <w:rPr>
      <w:szCs w:val="20"/>
    </w:rPr>
  </w:style>
  <w:style w:type="character" w:customStyle="1" w:styleId="HeaderChar">
    <w:name w:val="Header Char"/>
    <w:basedOn w:val="DefaultParagraphFont"/>
    <w:link w:val="Header"/>
    <w:uiPriority w:val="99"/>
    <w:rsid w:val="00602E0C"/>
    <w:rPr>
      <w:rFonts w:ascii="Times New Roman" w:eastAsia="Times New Roman" w:hAnsi="Times New Roman" w:cs="Times New Roman"/>
      <w:sz w:val="24"/>
      <w:szCs w:val="20"/>
    </w:rPr>
  </w:style>
  <w:style w:type="paragraph" w:styleId="Footer">
    <w:name w:val="footer"/>
    <w:basedOn w:val="Normal"/>
    <w:link w:val="FooterChar"/>
    <w:rsid w:val="00602E0C"/>
    <w:pPr>
      <w:tabs>
        <w:tab w:val="center" w:pos="4680"/>
        <w:tab w:val="right" w:pos="9360"/>
      </w:tabs>
    </w:pPr>
    <w:rPr>
      <w:szCs w:val="20"/>
    </w:rPr>
  </w:style>
  <w:style w:type="character" w:customStyle="1" w:styleId="FooterChar">
    <w:name w:val="Footer Char"/>
    <w:basedOn w:val="DefaultParagraphFont"/>
    <w:link w:val="Footer"/>
    <w:rsid w:val="00602E0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02E0C"/>
    <w:rPr>
      <w:rFonts w:ascii="Tahoma" w:hAnsi="Tahoma" w:cs="Tahoma"/>
      <w:sz w:val="16"/>
      <w:szCs w:val="16"/>
    </w:rPr>
  </w:style>
  <w:style w:type="character" w:customStyle="1" w:styleId="BalloonTextChar">
    <w:name w:val="Balloon Text Char"/>
    <w:basedOn w:val="DefaultParagraphFont"/>
    <w:link w:val="BalloonText"/>
    <w:uiPriority w:val="99"/>
    <w:semiHidden/>
    <w:rsid w:val="00602E0C"/>
    <w:rPr>
      <w:rFonts w:ascii="Tahoma" w:eastAsia="Times New Roman" w:hAnsi="Tahoma" w:cs="Tahoma"/>
      <w:sz w:val="16"/>
      <w:szCs w:val="16"/>
    </w:rPr>
  </w:style>
  <w:style w:type="table" w:styleId="TableGrid">
    <w:name w:val="Table Grid"/>
    <w:basedOn w:val="TableNormal"/>
    <w:uiPriority w:val="59"/>
    <w:rsid w:val="00445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66277"/>
    <w:pPr>
      <w:widowControl w:val="0"/>
      <w:autoSpaceDE w:val="0"/>
      <w:autoSpaceDN w:val="0"/>
      <w:adjustRightInd w:val="0"/>
      <w:ind w:left="720"/>
      <w:contextualSpacing/>
    </w:pPr>
    <w:rPr>
      <w:sz w:val="20"/>
      <w:szCs w:val="20"/>
      <w:lang w:eastAsia="fr-CA"/>
    </w:rPr>
  </w:style>
  <w:style w:type="character" w:styleId="CommentReference">
    <w:name w:val="annotation reference"/>
    <w:basedOn w:val="DefaultParagraphFont"/>
    <w:uiPriority w:val="99"/>
    <w:semiHidden/>
    <w:unhideWhenUsed/>
    <w:rsid w:val="00666277"/>
    <w:rPr>
      <w:sz w:val="16"/>
      <w:szCs w:val="16"/>
    </w:rPr>
  </w:style>
  <w:style w:type="paragraph" w:styleId="CommentText">
    <w:name w:val="annotation text"/>
    <w:basedOn w:val="Normal"/>
    <w:link w:val="CommentTextChar"/>
    <w:uiPriority w:val="99"/>
    <w:semiHidden/>
    <w:unhideWhenUsed/>
    <w:rsid w:val="00666277"/>
    <w:pPr>
      <w:widowControl w:val="0"/>
      <w:autoSpaceDE w:val="0"/>
      <w:autoSpaceDN w:val="0"/>
      <w:adjustRightInd w:val="0"/>
    </w:pPr>
    <w:rPr>
      <w:sz w:val="20"/>
      <w:szCs w:val="20"/>
      <w:lang w:eastAsia="fr-CA"/>
    </w:rPr>
  </w:style>
  <w:style w:type="character" w:customStyle="1" w:styleId="CommentTextChar">
    <w:name w:val="Comment Text Char"/>
    <w:basedOn w:val="DefaultParagraphFont"/>
    <w:link w:val="CommentText"/>
    <w:uiPriority w:val="99"/>
    <w:semiHidden/>
    <w:rsid w:val="00666277"/>
    <w:rPr>
      <w:rFonts w:ascii="Times New Roman" w:eastAsia="Times New Roman" w:hAnsi="Times New Roman" w:cs="Times New Roman"/>
      <w:sz w:val="20"/>
      <w:szCs w:val="20"/>
      <w:lang w:eastAsia="fr-CA"/>
    </w:rPr>
  </w:style>
  <w:style w:type="paragraph" w:customStyle="1" w:styleId="sfalevel1">
    <w:name w:val="sfalevel1"/>
    <w:basedOn w:val="Normal"/>
    <w:next w:val="Normal"/>
    <w:rsid w:val="00E52321"/>
    <w:pPr>
      <w:numPr>
        <w:numId w:val="6"/>
      </w:numPr>
      <w:spacing w:before="240" w:line="300" w:lineRule="atLeast"/>
    </w:pPr>
  </w:style>
  <w:style w:type="paragraph" w:customStyle="1" w:styleId="sfalevel2">
    <w:name w:val="sfalevel2"/>
    <w:basedOn w:val="Normal"/>
    <w:rsid w:val="00E52321"/>
    <w:pPr>
      <w:numPr>
        <w:ilvl w:val="1"/>
        <w:numId w:val="6"/>
      </w:numPr>
      <w:spacing w:before="240" w:line="300" w:lineRule="atLeast"/>
    </w:pPr>
  </w:style>
  <w:style w:type="paragraph" w:customStyle="1" w:styleId="sfalevel3">
    <w:name w:val="sfalevel3"/>
    <w:basedOn w:val="Normal"/>
    <w:rsid w:val="00E52321"/>
    <w:pPr>
      <w:numPr>
        <w:ilvl w:val="2"/>
        <w:numId w:val="6"/>
      </w:numPr>
      <w:spacing w:before="240" w:line="300" w:lineRule="atLeast"/>
    </w:pPr>
  </w:style>
  <w:style w:type="character" w:styleId="Emphasis">
    <w:name w:val="Emphasis"/>
    <w:basedOn w:val="DefaultParagraphFont"/>
    <w:uiPriority w:val="20"/>
    <w:qFormat/>
    <w:rsid w:val="00B901A8"/>
    <w:rPr>
      <w:i/>
      <w:iCs/>
    </w:rPr>
  </w:style>
  <w:style w:type="paragraph" w:styleId="CommentSubject">
    <w:name w:val="annotation subject"/>
    <w:basedOn w:val="CommentText"/>
    <w:next w:val="CommentText"/>
    <w:link w:val="CommentSubjectChar"/>
    <w:uiPriority w:val="99"/>
    <w:semiHidden/>
    <w:unhideWhenUsed/>
    <w:rsid w:val="00145A84"/>
    <w:pPr>
      <w:widowControl/>
      <w:autoSpaceDE/>
      <w:autoSpaceDN/>
      <w:adjustRightInd/>
    </w:pPr>
    <w:rPr>
      <w:b/>
      <w:bCs/>
      <w:lang w:eastAsia="en-US"/>
    </w:rPr>
  </w:style>
  <w:style w:type="character" w:customStyle="1" w:styleId="CommentSubjectChar">
    <w:name w:val="Comment Subject Char"/>
    <w:basedOn w:val="CommentTextChar"/>
    <w:link w:val="CommentSubject"/>
    <w:uiPriority w:val="99"/>
    <w:semiHidden/>
    <w:rsid w:val="00145A84"/>
    <w:rPr>
      <w:rFonts w:ascii="Times New Roman" w:eastAsia="Times New Roman" w:hAnsi="Times New Roman" w:cs="Times New Roman"/>
      <w:b/>
      <w:bCs/>
      <w:sz w:val="20"/>
      <w:szCs w:val="20"/>
      <w:lang w:eastAsia="fr-CA"/>
    </w:rPr>
  </w:style>
  <w:style w:type="paragraph" w:customStyle="1" w:styleId="Default">
    <w:name w:val="Default"/>
    <w:rsid w:val="00474D9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2">
    <w:name w:val="s2"/>
    <w:basedOn w:val="DefaultParagraphFont"/>
    <w:rsid w:val="00474D96"/>
  </w:style>
  <w:style w:type="paragraph" w:customStyle="1" w:styleId="p4">
    <w:name w:val="p4"/>
    <w:basedOn w:val="Normal"/>
    <w:rsid w:val="00474D96"/>
    <w:pPr>
      <w:spacing w:before="100" w:beforeAutospacing="1" w:after="100" w:afterAutospacing="1"/>
    </w:pPr>
  </w:style>
  <w:style w:type="character" w:customStyle="1" w:styleId="s3">
    <w:name w:val="s3"/>
    <w:basedOn w:val="DefaultParagraphFont"/>
    <w:rsid w:val="00474D96"/>
  </w:style>
  <w:style w:type="character" w:customStyle="1" w:styleId="s1">
    <w:name w:val="s1"/>
    <w:basedOn w:val="DefaultParagraphFont"/>
    <w:rsid w:val="00474D96"/>
  </w:style>
  <w:style w:type="character" w:styleId="UnresolvedMention">
    <w:name w:val="Unresolved Mention"/>
    <w:basedOn w:val="DefaultParagraphFont"/>
    <w:uiPriority w:val="99"/>
    <w:semiHidden/>
    <w:unhideWhenUsed/>
    <w:rsid w:val="004B6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99359">
      <w:bodyDiv w:val="1"/>
      <w:marLeft w:val="0"/>
      <w:marRight w:val="0"/>
      <w:marTop w:val="0"/>
      <w:marBottom w:val="0"/>
      <w:divBdr>
        <w:top w:val="none" w:sz="0" w:space="0" w:color="auto"/>
        <w:left w:val="none" w:sz="0" w:space="0" w:color="auto"/>
        <w:bottom w:val="none" w:sz="0" w:space="0" w:color="auto"/>
        <w:right w:val="none" w:sz="0" w:space="0" w:color="auto"/>
      </w:divBdr>
    </w:div>
    <w:div w:id="655644603">
      <w:bodyDiv w:val="1"/>
      <w:marLeft w:val="0"/>
      <w:marRight w:val="0"/>
      <w:marTop w:val="0"/>
      <w:marBottom w:val="0"/>
      <w:divBdr>
        <w:top w:val="none" w:sz="0" w:space="0" w:color="auto"/>
        <w:left w:val="none" w:sz="0" w:space="0" w:color="auto"/>
        <w:bottom w:val="none" w:sz="0" w:space="0" w:color="auto"/>
        <w:right w:val="none" w:sz="0" w:space="0" w:color="auto"/>
      </w:divBdr>
    </w:div>
    <w:div w:id="1074862262">
      <w:bodyDiv w:val="1"/>
      <w:marLeft w:val="0"/>
      <w:marRight w:val="0"/>
      <w:marTop w:val="0"/>
      <w:marBottom w:val="0"/>
      <w:divBdr>
        <w:top w:val="none" w:sz="0" w:space="0" w:color="auto"/>
        <w:left w:val="none" w:sz="0" w:space="0" w:color="auto"/>
        <w:bottom w:val="none" w:sz="0" w:space="0" w:color="auto"/>
        <w:right w:val="none" w:sz="0" w:space="0" w:color="auto"/>
      </w:divBdr>
    </w:div>
    <w:div w:id="1113981981">
      <w:bodyDiv w:val="1"/>
      <w:marLeft w:val="0"/>
      <w:marRight w:val="0"/>
      <w:marTop w:val="0"/>
      <w:marBottom w:val="0"/>
      <w:divBdr>
        <w:top w:val="none" w:sz="0" w:space="0" w:color="auto"/>
        <w:left w:val="none" w:sz="0" w:space="0" w:color="auto"/>
        <w:bottom w:val="none" w:sz="0" w:space="0" w:color="auto"/>
        <w:right w:val="none" w:sz="0" w:space="0" w:color="auto"/>
      </w:divBdr>
    </w:div>
    <w:div w:id="1520705402">
      <w:bodyDiv w:val="1"/>
      <w:marLeft w:val="0"/>
      <w:marRight w:val="0"/>
      <w:marTop w:val="0"/>
      <w:marBottom w:val="0"/>
      <w:divBdr>
        <w:top w:val="none" w:sz="0" w:space="0" w:color="auto"/>
        <w:left w:val="none" w:sz="0" w:space="0" w:color="auto"/>
        <w:bottom w:val="none" w:sz="0" w:space="0" w:color="auto"/>
        <w:right w:val="none" w:sz="0" w:space="0" w:color="auto"/>
      </w:divBdr>
    </w:div>
    <w:div w:id="1550726391">
      <w:bodyDiv w:val="1"/>
      <w:marLeft w:val="0"/>
      <w:marRight w:val="0"/>
      <w:marTop w:val="0"/>
      <w:marBottom w:val="0"/>
      <w:divBdr>
        <w:top w:val="none" w:sz="0" w:space="0" w:color="auto"/>
        <w:left w:val="none" w:sz="0" w:space="0" w:color="auto"/>
        <w:bottom w:val="none" w:sz="0" w:space="0" w:color="auto"/>
        <w:right w:val="none" w:sz="0" w:space="0" w:color="auto"/>
      </w:divBdr>
    </w:div>
    <w:div w:id="1615213539">
      <w:bodyDiv w:val="1"/>
      <w:marLeft w:val="0"/>
      <w:marRight w:val="0"/>
      <w:marTop w:val="0"/>
      <w:marBottom w:val="0"/>
      <w:divBdr>
        <w:top w:val="none" w:sz="0" w:space="0" w:color="auto"/>
        <w:left w:val="none" w:sz="0" w:space="0" w:color="auto"/>
        <w:bottom w:val="none" w:sz="0" w:space="0" w:color="auto"/>
        <w:right w:val="none" w:sz="0" w:space="0" w:color="auto"/>
      </w:divBdr>
    </w:div>
    <w:div w:id="1715502673">
      <w:bodyDiv w:val="1"/>
      <w:marLeft w:val="0"/>
      <w:marRight w:val="0"/>
      <w:marTop w:val="0"/>
      <w:marBottom w:val="0"/>
      <w:divBdr>
        <w:top w:val="none" w:sz="0" w:space="0" w:color="auto"/>
        <w:left w:val="none" w:sz="0" w:space="0" w:color="auto"/>
        <w:bottom w:val="none" w:sz="0" w:space="0" w:color="auto"/>
        <w:right w:val="none" w:sz="0" w:space="0" w:color="auto"/>
      </w:divBdr>
    </w:div>
    <w:div w:id="1848514319">
      <w:bodyDiv w:val="1"/>
      <w:marLeft w:val="0"/>
      <w:marRight w:val="0"/>
      <w:marTop w:val="0"/>
      <w:marBottom w:val="0"/>
      <w:divBdr>
        <w:top w:val="none" w:sz="0" w:space="0" w:color="auto"/>
        <w:left w:val="none" w:sz="0" w:space="0" w:color="auto"/>
        <w:bottom w:val="none" w:sz="0" w:space="0" w:color="auto"/>
        <w:right w:val="none" w:sz="0" w:space="0" w:color="auto"/>
      </w:divBdr>
    </w:div>
    <w:div w:id="203981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gold.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info@emgold.com"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mgold.com" TargetMode="External"/><Relationship Id="rId14" Type="http://schemas.openxmlformats.org/officeDocument/2006/relationships/hyperlink" Target="http://www.sed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6DDAE-BAAB-42AD-8BD0-25E200891159}">
  <ds:schemaRefs>
    <ds:schemaRef ds:uri="http://schemas.openxmlformats.org/officeDocument/2006/bibliography"/>
  </ds:schemaRefs>
</ds:datastoreItem>
</file>

<file path=customXml/itemProps2.xml><?xml version="1.0" encoding="utf-8"?>
<ds:datastoreItem xmlns:ds="http://schemas.openxmlformats.org/officeDocument/2006/customXml" ds:itemID="{288111AD-4C59-4699-8749-90AEF2E49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774</Words>
  <Characters>4418</Characters>
  <Application>Microsoft Office Word</Application>
  <DocSecurity>0</DocSecurity>
  <PresentationFormat/>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Emgold - News Release announcing Golden Arrow Property Option and share consolidation (DW draft 17Jun17)(LC comments 17Jun17)  (LC074225.DOCX;1)</vt:lpstr>
      <vt:lpstr>Emgold - News Release announcing Golden Arrow Property Option and share consolidation (DW draft 17Jun17)(LC comments 17Jun17)  (LC074225.DOCX;1)</vt:lpstr>
    </vt:vector>
  </TitlesOfParts>
  <Company>Hewlett-Packard Company</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Emgold - News Release announcing Golden Arrow Property Option and share consolidation (DW draft 17Jun17)(LC comments 17Jun17)  (LC074225.DOCX;1)</dc:title>
  <dc:subject>LC074225-1/Font=7</dc:subject>
  <dc:creator>David</dc:creator>
  <cp:lastModifiedBy>Diane Mann</cp:lastModifiedBy>
  <cp:revision>2</cp:revision>
  <cp:lastPrinted>2018-05-22T15:54:00Z</cp:lastPrinted>
  <dcterms:created xsi:type="dcterms:W3CDTF">2021-12-09T01:42:00Z</dcterms:created>
  <dcterms:modified xsi:type="dcterms:W3CDTF">2021-12-09T01:42:00Z</dcterms:modified>
</cp:coreProperties>
</file>