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572" w:rsidRDefault="006744E2">
      <w:pPr>
        <w:spacing w:line="240" w:lineRule="auto"/>
        <w:jc w:val="both"/>
        <w:rPr>
          <w:rFonts w:ascii="Montserrat" w:eastAsia="Montserrat" w:hAnsi="Montserrat" w:cs="Montserrat"/>
          <w:color w:val="373737"/>
          <w:sz w:val="21"/>
          <w:szCs w:val="21"/>
          <w:highlight w:val="white"/>
        </w:rPr>
      </w:pPr>
      <w:r>
        <w:rPr>
          <w:rFonts w:ascii="Montserrat" w:eastAsia="Montserrat" w:hAnsi="Montserrat" w:cs="Montserrat"/>
          <w:noProof/>
          <w:color w:val="373737"/>
          <w:sz w:val="21"/>
          <w:szCs w:val="21"/>
          <w:highlight w:val="white"/>
          <w:lang w:val="en-US" w:eastAsia="en-US"/>
        </w:rPr>
        <w:drawing>
          <wp:inline distT="114300" distB="114300" distL="114300" distR="114300">
            <wp:extent cx="2062761" cy="31857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2062761" cy="318573"/>
                    </a:xfrm>
                    <a:prstGeom prst="rect">
                      <a:avLst/>
                    </a:prstGeom>
                    <a:ln/>
                  </pic:spPr>
                </pic:pic>
              </a:graphicData>
            </a:graphic>
          </wp:inline>
        </w:drawing>
      </w:r>
    </w:p>
    <w:p w:rsidR="00211572" w:rsidRDefault="006744E2">
      <w:pPr>
        <w:spacing w:before="100" w:after="1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color w:val="222222"/>
        </w:rPr>
        <w:t>News for Immediate Releas</w:t>
      </w:r>
      <w:r>
        <w:rPr>
          <w:rFonts w:ascii="Times New Roman" w:eastAsia="Times New Roman" w:hAnsi="Times New Roman" w:cs="Times New Roman"/>
          <w:b/>
          <w:i/>
          <w:color w:val="222222"/>
          <w:sz w:val="24"/>
          <w:szCs w:val="24"/>
        </w:rPr>
        <w:t>e</w:t>
      </w:r>
      <w:r>
        <w:rPr>
          <w:rFonts w:ascii="Times New Roman" w:eastAsia="Times New Roman" w:hAnsi="Times New Roman" w:cs="Times New Roman"/>
          <w:b/>
          <w:i/>
          <w:color w:val="222222"/>
          <w:sz w:val="24"/>
          <w:szCs w:val="24"/>
        </w:rPr>
        <w:tab/>
      </w:r>
      <w:r>
        <w:rPr>
          <w:rFonts w:ascii="Times New Roman" w:eastAsia="Times New Roman" w:hAnsi="Times New Roman" w:cs="Times New Roman"/>
          <w:b/>
          <w:i/>
          <w:color w:val="222222"/>
          <w:sz w:val="24"/>
          <w:szCs w:val="24"/>
        </w:rPr>
        <w:tab/>
      </w:r>
      <w:r>
        <w:rPr>
          <w:rFonts w:ascii="Times New Roman" w:eastAsia="Times New Roman" w:hAnsi="Times New Roman" w:cs="Times New Roman"/>
          <w:b/>
          <w:i/>
          <w:color w:val="222222"/>
          <w:sz w:val="24"/>
          <w:szCs w:val="24"/>
        </w:rPr>
        <w:tab/>
      </w:r>
      <w:r>
        <w:rPr>
          <w:rFonts w:ascii="Times New Roman" w:eastAsia="Times New Roman" w:hAnsi="Times New Roman" w:cs="Times New Roman"/>
          <w:b/>
          <w:i/>
          <w:color w:val="222222"/>
          <w:sz w:val="24"/>
          <w:szCs w:val="24"/>
        </w:rPr>
        <w:tab/>
      </w:r>
      <w:r>
        <w:rPr>
          <w:rFonts w:ascii="Times New Roman" w:eastAsia="Times New Roman" w:hAnsi="Times New Roman" w:cs="Times New Roman"/>
          <w:b/>
          <w:i/>
          <w:color w:val="222222"/>
          <w:sz w:val="24"/>
          <w:szCs w:val="24"/>
        </w:rPr>
        <w:tab/>
      </w:r>
      <w:r>
        <w:rPr>
          <w:rFonts w:ascii="Times New Roman" w:eastAsia="Times New Roman" w:hAnsi="Times New Roman" w:cs="Times New Roman"/>
          <w:b/>
          <w:i/>
          <w:color w:val="222222"/>
          <w:sz w:val="24"/>
          <w:szCs w:val="24"/>
        </w:rPr>
        <w:tab/>
      </w:r>
      <w:r>
        <w:rPr>
          <w:rFonts w:ascii="Times New Roman" w:eastAsia="Times New Roman" w:hAnsi="Times New Roman" w:cs="Times New Roman"/>
          <w:b/>
          <w:i/>
          <w:color w:val="222222"/>
          <w:sz w:val="24"/>
          <w:szCs w:val="24"/>
        </w:rPr>
        <w:tab/>
      </w:r>
    </w:p>
    <w:p w:rsidR="00211572" w:rsidRDefault="006744E2">
      <w:pPr>
        <w:pBdr>
          <w:top w:val="nil"/>
          <w:left w:val="nil"/>
          <w:bottom w:val="nil"/>
          <w:right w:val="nil"/>
          <w:between w:val="nil"/>
        </w:pBdr>
        <w:spacing w:after="200" w:line="240" w:lineRule="auto"/>
        <w:jc w:val="center"/>
        <w:rPr>
          <w:rFonts w:ascii="Calibri" w:eastAsia="Calibri" w:hAnsi="Calibri" w:cs="Calibri"/>
          <w:i/>
          <w:sz w:val="28"/>
          <w:szCs w:val="28"/>
        </w:rPr>
      </w:pPr>
      <w:r>
        <w:rPr>
          <w:rFonts w:ascii="Calibri" w:eastAsia="Calibri" w:hAnsi="Calibri" w:cs="Calibri"/>
          <w:b/>
          <w:color w:val="000000"/>
          <w:sz w:val="32"/>
          <w:szCs w:val="32"/>
        </w:rPr>
        <w:t>Electrovaya Receives US$</w:t>
      </w:r>
      <w:r>
        <w:rPr>
          <w:rFonts w:ascii="Calibri" w:eastAsia="Calibri" w:hAnsi="Calibri" w:cs="Calibri"/>
          <w:b/>
          <w:sz w:val="32"/>
          <w:szCs w:val="32"/>
        </w:rPr>
        <w:t>3</w:t>
      </w:r>
      <w:r>
        <w:rPr>
          <w:rFonts w:ascii="Calibri" w:eastAsia="Calibri" w:hAnsi="Calibri" w:cs="Calibri"/>
          <w:b/>
          <w:color w:val="000000"/>
          <w:sz w:val="32"/>
          <w:szCs w:val="32"/>
        </w:rPr>
        <w:t>.2 million</w:t>
      </w:r>
      <w:r w:rsidR="00CE71E2">
        <w:rPr>
          <w:rFonts w:ascii="Calibri" w:eastAsia="Calibri" w:hAnsi="Calibri" w:cs="Calibri"/>
          <w:b/>
          <w:color w:val="000000"/>
          <w:sz w:val="32"/>
          <w:szCs w:val="32"/>
        </w:rPr>
        <w:t xml:space="preserve"> Battery</w:t>
      </w:r>
      <w:r>
        <w:rPr>
          <w:rFonts w:ascii="Calibri" w:eastAsia="Calibri" w:hAnsi="Calibri" w:cs="Calibri"/>
          <w:b/>
          <w:color w:val="000000"/>
          <w:sz w:val="32"/>
          <w:szCs w:val="32"/>
        </w:rPr>
        <w:t xml:space="preserve"> </w:t>
      </w:r>
      <w:r>
        <w:rPr>
          <w:rFonts w:ascii="Calibri" w:eastAsia="Calibri" w:hAnsi="Calibri" w:cs="Calibri"/>
          <w:b/>
          <w:sz w:val="32"/>
          <w:szCs w:val="32"/>
        </w:rPr>
        <w:t xml:space="preserve">Order for Materials Handling Electric Vehicles  </w:t>
      </w:r>
    </w:p>
    <w:p w:rsidR="00211572" w:rsidRDefault="006744E2">
      <w:pPr>
        <w:pBdr>
          <w:top w:val="nil"/>
          <w:left w:val="nil"/>
          <w:bottom w:val="nil"/>
          <w:right w:val="nil"/>
          <w:between w:val="nil"/>
        </w:pBd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Toronto, Ontario – </w:t>
      </w:r>
      <w:r w:rsidR="00FB7ACA">
        <w:rPr>
          <w:rFonts w:ascii="Times New Roman" w:eastAsia="Times New Roman" w:hAnsi="Times New Roman" w:cs="Times New Roman"/>
          <w:b/>
          <w:color w:val="000000"/>
          <w:sz w:val="24"/>
          <w:szCs w:val="24"/>
        </w:rPr>
        <w:t>January</w:t>
      </w:r>
      <w:r w:rsidR="001744B4">
        <w:rPr>
          <w:rFonts w:ascii="Times New Roman" w:eastAsia="Times New Roman" w:hAnsi="Times New Roman" w:cs="Times New Roman"/>
          <w:b/>
          <w:color w:val="000000"/>
          <w:sz w:val="24"/>
          <w:szCs w:val="24"/>
        </w:rPr>
        <w:t xml:space="preserve"> </w:t>
      </w:r>
      <w:r w:rsidR="001744B4" w:rsidRPr="001744B4">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rPr>
        <w:t xml:space="preserve"> 202</w:t>
      </w:r>
      <w:r w:rsidR="00FB7ACA">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 xml:space="preserve"> - </w:t>
      </w:r>
      <w:r>
        <w:rPr>
          <w:rFonts w:ascii="Times New Roman" w:eastAsia="Times New Roman" w:hAnsi="Times New Roman" w:cs="Times New Roman"/>
          <w:color w:val="000000"/>
          <w:sz w:val="24"/>
          <w:szCs w:val="24"/>
        </w:rPr>
        <w:t>Electrovaya Inc. (TSX:EFL) (OTCQB:EFLVF),</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12151A"/>
          <w:sz w:val="24"/>
          <w:szCs w:val="24"/>
          <w:highlight w:val="white"/>
        </w:rPr>
        <w:t>a lithium-ion battery manufacturer with differentiated intellectual property that allows heightened safety and improved longevity enabling industry-leading performance</w:t>
      </w:r>
      <w:r>
        <w:rPr>
          <w:rFonts w:ascii="Times New Roman" w:eastAsia="Times New Roman" w:hAnsi="Times New Roman" w:cs="Times New Roman"/>
          <w:sz w:val="24"/>
          <w:szCs w:val="24"/>
        </w:rPr>
        <w:t>,</w:t>
      </w:r>
      <w:r w:rsidR="00CE71E2">
        <w:rPr>
          <w:rFonts w:ascii="Times New Roman" w:eastAsia="Times New Roman" w:hAnsi="Times New Roman" w:cs="Times New Roman"/>
          <w:sz w:val="24"/>
          <w:szCs w:val="24"/>
        </w:rPr>
        <w:t xml:space="preserve"> today</w:t>
      </w:r>
      <w:r w:rsidR="00CE71E2">
        <w:rPr>
          <w:rFonts w:ascii="Times New Roman" w:eastAsia="Times New Roman" w:hAnsi="Times New Roman" w:cs="Times New Roman"/>
          <w:color w:val="000000"/>
          <w:sz w:val="24"/>
          <w:szCs w:val="24"/>
        </w:rPr>
        <w:t xml:space="preserve"> announced the receipt of </w:t>
      </w:r>
      <w:r w:rsidR="00CE71E2">
        <w:rPr>
          <w:rFonts w:ascii="Times New Roman" w:eastAsia="Times New Roman" w:hAnsi="Times New Roman" w:cs="Times New Roman"/>
          <w:sz w:val="24"/>
          <w:szCs w:val="24"/>
        </w:rPr>
        <w:t>a battery</w:t>
      </w:r>
      <w:r w:rsidR="00CE71E2">
        <w:rPr>
          <w:rFonts w:ascii="Times New Roman" w:eastAsia="Times New Roman" w:hAnsi="Times New Roman" w:cs="Times New Roman"/>
          <w:color w:val="000000"/>
          <w:sz w:val="24"/>
          <w:szCs w:val="24"/>
        </w:rPr>
        <w:t xml:space="preserve"> purchase order through its OEM sales channel valued at US$</w:t>
      </w:r>
      <w:r w:rsidR="00CE71E2">
        <w:rPr>
          <w:rFonts w:ascii="Times New Roman" w:eastAsia="Times New Roman" w:hAnsi="Times New Roman" w:cs="Times New Roman"/>
          <w:sz w:val="24"/>
          <w:szCs w:val="24"/>
        </w:rPr>
        <w:t>3</w:t>
      </w:r>
      <w:r w:rsidR="00CE71E2">
        <w:rPr>
          <w:rFonts w:ascii="Times New Roman" w:eastAsia="Times New Roman" w:hAnsi="Times New Roman" w:cs="Times New Roman"/>
          <w:color w:val="000000"/>
          <w:sz w:val="24"/>
          <w:szCs w:val="24"/>
        </w:rPr>
        <w:t>.2 million. The batteries will be used by a leading Fortune 100 company</w:t>
      </w:r>
      <w:r w:rsidR="00FB7ACA">
        <w:rPr>
          <w:rFonts w:ascii="Times New Roman" w:eastAsia="Times New Roman" w:hAnsi="Times New Roman" w:cs="Times New Roman"/>
          <w:color w:val="000000"/>
          <w:sz w:val="24"/>
          <w:szCs w:val="24"/>
        </w:rPr>
        <w:t xml:space="preserve"> </w:t>
      </w:r>
      <w:r w:rsidR="00CE71E2">
        <w:rPr>
          <w:rFonts w:ascii="Times New Roman" w:eastAsia="Times New Roman" w:hAnsi="Times New Roman" w:cs="Times New Roman"/>
          <w:sz w:val="24"/>
          <w:szCs w:val="24"/>
        </w:rPr>
        <w:t>to power Materials Handling Electric Vehicles (“MHEVs”) in a new distribution centre in the United States</w:t>
      </w:r>
      <w:r>
        <w:rPr>
          <w:rFonts w:ascii="Times New Roman" w:eastAsia="Times New Roman" w:hAnsi="Times New Roman" w:cs="Times New Roman"/>
          <w:sz w:val="24"/>
          <w:szCs w:val="24"/>
        </w:rPr>
        <w:t xml:space="preserve">. </w:t>
      </w:r>
    </w:p>
    <w:p w:rsidR="00211572" w:rsidRDefault="006744E2">
      <w:pPr>
        <w:pBdr>
          <w:top w:val="nil"/>
          <w:left w:val="nil"/>
          <w:bottom w:val="nil"/>
          <w:right w:val="nil"/>
          <w:between w:val="nil"/>
        </w:pBd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purchase order follows the successful deployment of Electrovaya batteries in two of the end</w:t>
      </w:r>
      <w:r w:rsidR="00CE71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user’s distribution </w:t>
      </w:r>
      <w:r w:rsidR="001744B4">
        <w:rPr>
          <w:rFonts w:ascii="Times New Roman" w:eastAsia="Times New Roman" w:hAnsi="Times New Roman" w:cs="Times New Roman"/>
          <w:sz w:val="24"/>
          <w:szCs w:val="24"/>
        </w:rPr>
        <w:t>centers</w:t>
      </w:r>
      <w:r>
        <w:rPr>
          <w:rFonts w:ascii="Times New Roman" w:eastAsia="Times New Roman" w:hAnsi="Times New Roman" w:cs="Times New Roman"/>
          <w:sz w:val="24"/>
          <w:szCs w:val="24"/>
        </w:rPr>
        <w:t xml:space="preserve"> in 2021, which the </w:t>
      </w:r>
      <w:r w:rsidR="00CE71E2">
        <w:rPr>
          <w:rFonts w:ascii="Times New Roman" w:eastAsia="Times New Roman" w:hAnsi="Times New Roman" w:cs="Times New Roman"/>
          <w:sz w:val="24"/>
          <w:szCs w:val="24"/>
        </w:rPr>
        <w:t>C</w:t>
      </w:r>
      <w:r>
        <w:rPr>
          <w:rFonts w:ascii="Times New Roman" w:eastAsia="Times New Roman" w:hAnsi="Times New Roman" w:cs="Times New Roman"/>
          <w:sz w:val="24"/>
          <w:szCs w:val="24"/>
        </w:rPr>
        <w:t>ompany announced on</w:t>
      </w:r>
      <w:r w:rsidR="001744B4">
        <w:rPr>
          <w:rFonts w:ascii="Times New Roman" w:eastAsia="Times New Roman" w:hAnsi="Times New Roman" w:cs="Times New Roman"/>
          <w:sz w:val="24"/>
          <w:szCs w:val="24"/>
        </w:rPr>
        <w:t xml:space="preserve"> July 20, 2021</w:t>
      </w:r>
      <w:r>
        <w:rPr>
          <w:rFonts w:ascii="Times New Roman" w:eastAsia="Times New Roman" w:hAnsi="Times New Roman" w:cs="Times New Roman"/>
          <w:sz w:val="24"/>
          <w:szCs w:val="24"/>
        </w:rPr>
        <w:t xml:space="preserve">. </w:t>
      </w:r>
      <w:r w:rsidR="00CE71E2">
        <w:rPr>
          <w:rFonts w:ascii="Times New Roman" w:eastAsia="Times New Roman" w:hAnsi="Times New Roman" w:cs="Times New Roman"/>
          <w:sz w:val="24"/>
          <w:szCs w:val="24"/>
        </w:rPr>
        <w:t>The Company expects to deliver the batteries during its fiscal second quarter ending March 31, 2022</w:t>
      </w:r>
      <w:r>
        <w:rPr>
          <w:rFonts w:ascii="Times New Roman" w:eastAsia="Times New Roman" w:hAnsi="Times New Roman" w:cs="Times New Roman"/>
          <w:sz w:val="24"/>
          <w:szCs w:val="24"/>
        </w:rPr>
        <w:t>.</w:t>
      </w:r>
      <w:r>
        <w:rPr>
          <w:rFonts w:ascii="Roboto" w:eastAsia="Roboto" w:hAnsi="Roboto" w:cs="Roboto"/>
          <w:color w:val="212529"/>
          <w:sz w:val="24"/>
          <w:szCs w:val="24"/>
        </w:rPr>
        <w:t xml:space="preserve"> </w:t>
      </w:r>
    </w:p>
    <w:p w:rsidR="00211572" w:rsidRDefault="006744E2">
      <w:pPr>
        <w:pBdr>
          <w:top w:val="nil"/>
          <w:left w:val="nil"/>
          <w:bottom w:val="nil"/>
          <w:right w:val="nil"/>
          <w:between w:val="nil"/>
        </w:pBd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end</w:t>
      </w:r>
      <w:r w:rsidR="00CE71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user has indicated that it will </w:t>
      </w:r>
      <w:r w:rsidR="00CE71E2">
        <w:rPr>
          <w:rFonts w:ascii="Times New Roman" w:eastAsia="Times New Roman" w:hAnsi="Times New Roman" w:cs="Times New Roman"/>
          <w:sz w:val="24"/>
          <w:szCs w:val="24"/>
        </w:rPr>
        <w:t>purchase additional Electrovaya batteries</w:t>
      </w:r>
      <w:r>
        <w:rPr>
          <w:rFonts w:ascii="Times New Roman" w:eastAsia="Times New Roman" w:hAnsi="Times New Roman" w:cs="Times New Roman"/>
          <w:sz w:val="24"/>
          <w:szCs w:val="24"/>
        </w:rPr>
        <w:t xml:space="preserve"> in the first half of </w:t>
      </w:r>
      <w:r w:rsidR="00FB7ACA">
        <w:rPr>
          <w:rFonts w:ascii="Times New Roman" w:eastAsia="Times New Roman" w:hAnsi="Times New Roman" w:cs="Times New Roman"/>
          <w:sz w:val="24"/>
          <w:szCs w:val="24"/>
        </w:rPr>
        <w:t xml:space="preserve">calendar </w:t>
      </w:r>
      <w:r>
        <w:rPr>
          <w:rFonts w:ascii="Times New Roman" w:eastAsia="Times New Roman" w:hAnsi="Times New Roman" w:cs="Times New Roman"/>
          <w:sz w:val="24"/>
          <w:szCs w:val="24"/>
        </w:rPr>
        <w:t xml:space="preserve">2022 </w:t>
      </w:r>
      <w:r w:rsidR="00CE71E2">
        <w:rPr>
          <w:rFonts w:ascii="Times New Roman" w:eastAsia="Times New Roman" w:hAnsi="Times New Roman" w:cs="Times New Roman"/>
          <w:sz w:val="24"/>
          <w:szCs w:val="24"/>
        </w:rPr>
        <w:t xml:space="preserve">to power MHEVs </w:t>
      </w:r>
      <w:r w:rsidR="00FB7ACA">
        <w:rPr>
          <w:rFonts w:ascii="Times New Roman" w:eastAsia="Times New Roman" w:hAnsi="Times New Roman" w:cs="Times New Roman"/>
          <w:sz w:val="24"/>
          <w:szCs w:val="24"/>
        </w:rPr>
        <w:t>at other sites</w:t>
      </w:r>
      <w:r w:rsidR="00CE71E2">
        <w:rPr>
          <w:rFonts w:ascii="Times New Roman" w:eastAsia="Times New Roman" w:hAnsi="Times New Roman" w:cs="Times New Roman"/>
          <w:sz w:val="24"/>
          <w:szCs w:val="24"/>
        </w:rPr>
        <w:t>. Deliveries are</w:t>
      </w:r>
      <w:r w:rsidR="00FB7ACA">
        <w:rPr>
          <w:rFonts w:ascii="Times New Roman" w:eastAsia="Times New Roman" w:hAnsi="Times New Roman" w:cs="Times New Roman"/>
          <w:sz w:val="24"/>
          <w:szCs w:val="24"/>
        </w:rPr>
        <w:t xml:space="preserve"> </w:t>
      </w:r>
      <w:r w:rsidR="00CE71E2">
        <w:rPr>
          <w:rFonts w:ascii="Times New Roman" w:eastAsia="Times New Roman" w:hAnsi="Times New Roman" w:cs="Times New Roman"/>
          <w:sz w:val="24"/>
          <w:szCs w:val="24"/>
        </w:rPr>
        <w:t>expected</w:t>
      </w:r>
      <w:r>
        <w:rPr>
          <w:rFonts w:ascii="Times New Roman" w:eastAsia="Times New Roman" w:hAnsi="Times New Roman" w:cs="Times New Roman"/>
          <w:sz w:val="24"/>
          <w:szCs w:val="24"/>
        </w:rPr>
        <w:t xml:space="preserve"> </w:t>
      </w:r>
      <w:r w:rsidR="00FB7ACA">
        <w:rPr>
          <w:rFonts w:ascii="Times New Roman" w:eastAsia="Times New Roman" w:hAnsi="Times New Roman" w:cs="Times New Roman"/>
          <w:sz w:val="24"/>
          <w:szCs w:val="24"/>
        </w:rPr>
        <w:t>to be made during Electrovaya’s 2022 fiscal year</w:t>
      </w:r>
      <w:r>
        <w:rPr>
          <w:rFonts w:ascii="Times New Roman" w:eastAsia="Times New Roman" w:hAnsi="Times New Roman" w:cs="Times New Roman"/>
          <w:sz w:val="24"/>
          <w:szCs w:val="24"/>
        </w:rPr>
        <w:t xml:space="preserve">. </w:t>
      </w:r>
    </w:p>
    <w:p w:rsidR="00211572" w:rsidRDefault="006744E2">
      <w:pPr>
        <w:pBdr>
          <w:top w:val="nil"/>
          <w:left w:val="nil"/>
          <w:bottom w:val="nil"/>
          <w:right w:val="nil"/>
          <w:between w:val="nil"/>
        </w:pBd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only is this an exciting project, but it also demonstrates the </w:t>
      </w:r>
      <w:r w:rsidR="00FB7ACA">
        <w:rPr>
          <w:rFonts w:ascii="Times New Roman" w:eastAsia="Times New Roman" w:hAnsi="Times New Roman" w:cs="Times New Roman"/>
          <w:sz w:val="24"/>
          <w:szCs w:val="24"/>
        </w:rPr>
        <w:t>C</w:t>
      </w:r>
      <w:r>
        <w:rPr>
          <w:rFonts w:ascii="Times New Roman" w:eastAsia="Times New Roman" w:hAnsi="Times New Roman" w:cs="Times New Roman"/>
          <w:sz w:val="24"/>
          <w:szCs w:val="24"/>
        </w:rPr>
        <w:t>ompany’s ability to make rapid deliveries for large projects. Taking into account the end user’s forecasts for additional sites, we expect that th</w:t>
      </w:r>
      <w:r w:rsidR="00FB7ACA">
        <w:rPr>
          <w:rFonts w:ascii="Times New Roman" w:eastAsia="Times New Roman" w:hAnsi="Times New Roman" w:cs="Times New Roman"/>
          <w:sz w:val="24"/>
          <w:szCs w:val="24"/>
        </w:rPr>
        <w:t>is firm</w:t>
      </w:r>
      <w:r>
        <w:rPr>
          <w:rFonts w:ascii="Times New Roman" w:eastAsia="Times New Roman" w:hAnsi="Times New Roman" w:cs="Times New Roman"/>
          <w:sz w:val="24"/>
          <w:szCs w:val="24"/>
        </w:rPr>
        <w:t xml:space="preserve"> will become Electrovaya’s single largest operator of MHEV batteries by the end of the year</w:t>
      </w:r>
      <w:r w:rsidR="00FB7A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said Dr. Raj DasGupta, COO of Electrovaya. </w:t>
      </w:r>
    </w:p>
    <w:p w:rsidR="00211572" w:rsidRDefault="00211572">
      <w:pPr>
        <w:rPr>
          <w:rFonts w:ascii="Times New Roman" w:eastAsia="Times New Roman" w:hAnsi="Times New Roman" w:cs="Times New Roman"/>
          <w:color w:val="373737"/>
          <w:sz w:val="14"/>
          <w:szCs w:val="14"/>
        </w:rPr>
      </w:pPr>
    </w:p>
    <w:p w:rsidR="00211572" w:rsidRDefault="006744E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more information, please contact: </w:t>
      </w:r>
    </w:p>
    <w:p w:rsidR="00211572" w:rsidRDefault="00211572">
      <w:pPr>
        <w:rPr>
          <w:rFonts w:ascii="Times New Roman" w:eastAsia="Times New Roman" w:hAnsi="Times New Roman" w:cs="Times New Roman"/>
          <w:b/>
          <w:sz w:val="24"/>
          <w:szCs w:val="24"/>
        </w:rPr>
      </w:pPr>
    </w:p>
    <w:p w:rsidR="00211572" w:rsidRDefault="006744E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Investor &amp; Media Contact: </w:t>
      </w:r>
    </w:p>
    <w:p w:rsidR="00211572" w:rsidRDefault="006744E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Jason Roy </w:t>
      </w:r>
    </w:p>
    <w:p w:rsidR="00211572" w:rsidRDefault="006744E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Electrovaya Inc. </w:t>
      </w:r>
    </w:p>
    <w:p w:rsidR="00211572" w:rsidRDefault="006744E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Telephone: 905-855-4618 </w:t>
      </w:r>
    </w:p>
    <w:p w:rsidR="00211572" w:rsidRDefault="006744E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6">
        <w:r>
          <w:rPr>
            <w:rFonts w:ascii="Times New Roman" w:eastAsia="Times New Roman" w:hAnsi="Times New Roman" w:cs="Times New Roman"/>
            <w:color w:val="1155CC"/>
            <w:sz w:val="24"/>
            <w:szCs w:val="24"/>
            <w:u w:val="single"/>
          </w:rPr>
          <w:t xml:space="preserve">jroy@electrovaya.com </w:t>
        </w:r>
      </w:hyperlink>
    </w:p>
    <w:p w:rsidR="00211572" w:rsidRDefault="006744E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Website: </w:t>
      </w:r>
      <w:hyperlink r:id="rId7">
        <w:r>
          <w:rPr>
            <w:rFonts w:ascii="Times New Roman" w:eastAsia="Times New Roman" w:hAnsi="Times New Roman" w:cs="Times New Roman"/>
            <w:color w:val="1155CC"/>
            <w:sz w:val="24"/>
            <w:szCs w:val="24"/>
            <w:u w:val="single"/>
          </w:rPr>
          <w:t>www.electrovaya.com</w:t>
        </w:r>
      </w:hyperlink>
    </w:p>
    <w:p w:rsidR="00211572" w:rsidRDefault="00211572">
      <w:pPr>
        <w:rPr>
          <w:rFonts w:ascii="Times New Roman" w:eastAsia="Times New Roman" w:hAnsi="Times New Roman" w:cs="Times New Roman"/>
          <w:sz w:val="24"/>
          <w:szCs w:val="24"/>
        </w:rPr>
      </w:pPr>
    </w:p>
    <w:p w:rsidR="00211572" w:rsidRDefault="006744E2">
      <w:pPr>
        <w:pBdr>
          <w:top w:val="nil"/>
          <w:left w:val="nil"/>
          <w:bottom w:val="nil"/>
          <w:right w:val="nil"/>
          <w:between w:val="nil"/>
        </w:pBdr>
        <w:spacing w:after="200" w:line="240" w:lineRule="auto"/>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b/>
          <w:color w:val="000000"/>
          <w:sz w:val="24"/>
          <w:szCs w:val="24"/>
        </w:rPr>
        <w:t>About Electrovaya Inc.</w:t>
      </w:r>
      <w:proofErr w:type="gramEnd"/>
    </w:p>
    <w:p w:rsidR="00211572" w:rsidRDefault="006744E2">
      <w:pPr>
        <w:pBdr>
          <w:top w:val="nil"/>
          <w:left w:val="nil"/>
          <w:bottom w:val="nil"/>
          <w:right w:val="nil"/>
          <w:between w:val="nil"/>
        </w:pBdr>
        <w:spacing w:after="20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Electrovaya Inc. (TSX</w:t>
      </w:r>
      <w:proofErr w:type="gramStart"/>
      <w:r>
        <w:rPr>
          <w:rFonts w:ascii="Times New Roman" w:eastAsia="Times New Roman" w:hAnsi="Times New Roman" w:cs="Times New Roman"/>
          <w:color w:val="000000"/>
          <w:sz w:val="24"/>
          <w:szCs w:val="24"/>
        </w:rPr>
        <w:t>:EFL</w:t>
      </w:r>
      <w:proofErr w:type="gramEnd"/>
      <w:r>
        <w:rPr>
          <w:rFonts w:ascii="Times New Roman" w:eastAsia="Times New Roman" w:hAnsi="Times New Roman" w:cs="Times New Roman"/>
          <w:color w:val="000000"/>
          <w:sz w:val="24"/>
          <w:szCs w:val="24"/>
        </w:rPr>
        <w:t>) (OTCQB:EFLVF)</w:t>
      </w:r>
      <w:r>
        <w:rPr>
          <w:rFonts w:ascii="Times New Roman" w:eastAsia="Times New Roman" w:hAnsi="Times New Roman" w:cs="Times New Roman"/>
          <w:sz w:val="24"/>
          <w:szCs w:val="24"/>
        </w:rPr>
        <w:t xml:space="preserve"> is a pioneering leader in the global energy transformation, focused on contributing to the prevention of climate change by supplying the safest and longest-lasting lithium-ion batteries. Electrovaya is a technology-focused company with extensive IP, </w:t>
      </w:r>
      <w:r>
        <w:rPr>
          <w:rFonts w:ascii="Times New Roman" w:eastAsia="Times New Roman" w:hAnsi="Times New Roman" w:cs="Times New Roman"/>
          <w:color w:val="000000"/>
          <w:sz w:val="24"/>
          <w:szCs w:val="24"/>
        </w:rPr>
        <w:t>designs, develops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and manufactures proprietary </w:t>
      </w:r>
      <w:r>
        <w:rPr>
          <w:rFonts w:ascii="Times New Roman" w:eastAsia="Times New Roman" w:hAnsi="Times New Roman" w:cs="Times New Roman"/>
          <w:sz w:val="24"/>
          <w:szCs w:val="24"/>
        </w:rPr>
        <w:t>lithium-ion</w:t>
      </w:r>
      <w:r>
        <w:rPr>
          <w:rFonts w:ascii="Times New Roman" w:eastAsia="Times New Roman" w:hAnsi="Times New Roman" w:cs="Times New Roman"/>
          <w:color w:val="000000"/>
          <w:sz w:val="24"/>
          <w:szCs w:val="24"/>
        </w:rPr>
        <w:t xml:space="preserve"> batteries, battery systems, and battery-related products for energy storage, clean electric transportation</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and other specialized applications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To learn more about how Electrovaya is powering mobility and energy storage, please explore </w:t>
      </w:r>
      <w:hyperlink r:id="rId8">
        <w:r>
          <w:rPr>
            <w:rFonts w:ascii="Times New Roman" w:eastAsia="Times New Roman" w:hAnsi="Times New Roman" w:cs="Times New Roman"/>
            <w:color w:val="0000FF"/>
            <w:sz w:val="24"/>
            <w:szCs w:val="24"/>
            <w:u w:val="single"/>
          </w:rPr>
          <w:t>www.electrovaya.com</w:t>
        </w:r>
      </w:hyperlink>
      <w:r>
        <w:rPr>
          <w:rFonts w:ascii="Times New Roman" w:eastAsia="Times New Roman" w:hAnsi="Times New Roman" w:cs="Times New Roman"/>
          <w:color w:val="000000"/>
          <w:sz w:val="24"/>
          <w:szCs w:val="24"/>
        </w:rPr>
        <w:t>.</w:t>
      </w:r>
    </w:p>
    <w:p w:rsidR="00211572" w:rsidRDefault="00211572">
      <w:pPr>
        <w:rPr>
          <w:rFonts w:ascii="Times New Roman" w:eastAsia="Times New Roman" w:hAnsi="Times New Roman" w:cs="Times New Roman"/>
          <w:b/>
        </w:rPr>
      </w:pPr>
    </w:p>
    <w:p w:rsidR="00211572" w:rsidRDefault="006744E2">
      <w:pPr>
        <w:keepNext/>
        <w:rPr>
          <w:rFonts w:ascii="Times New Roman" w:eastAsia="Times New Roman" w:hAnsi="Times New Roman" w:cs="Times New Roman"/>
          <w:sz w:val="20"/>
          <w:szCs w:val="20"/>
        </w:rPr>
      </w:pPr>
      <w:r>
        <w:rPr>
          <w:rFonts w:ascii="Times New Roman" w:eastAsia="Times New Roman" w:hAnsi="Times New Roman" w:cs="Times New Roman"/>
          <w:b/>
          <w:sz w:val="20"/>
          <w:szCs w:val="20"/>
        </w:rPr>
        <w:t>Forward-Looking Statements</w:t>
      </w:r>
      <w:r>
        <w:rPr>
          <w:rFonts w:ascii="Times New Roman" w:eastAsia="Times New Roman" w:hAnsi="Times New Roman" w:cs="Times New Roman"/>
          <w:sz w:val="20"/>
          <w:szCs w:val="20"/>
        </w:rPr>
        <w:t xml:space="preserve"> </w:t>
      </w:r>
    </w:p>
    <w:p w:rsidR="00211572" w:rsidRDefault="00211572">
      <w:pPr>
        <w:rPr>
          <w:rFonts w:ascii="Times New Roman" w:eastAsia="Times New Roman" w:hAnsi="Times New Roman" w:cs="Times New Roman"/>
          <w:sz w:val="20"/>
          <w:szCs w:val="20"/>
        </w:rPr>
      </w:pPr>
    </w:p>
    <w:p w:rsidR="00211572" w:rsidRDefault="00EC69AC">
      <w:pPr>
        <w:jc w:val="both"/>
        <w:rPr>
          <w:rFonts w:ascii="Times New Roman" w:eastAsia="Times New Roman" w:hAnsi="Times New Roman" w:cs="Times New Roman"/>
          <w:i/>
          <w:sz w:val="20"/>
          <w:szCs w:val="20"/>
        </w:rPr>
      </w:pPr>
      <w:r w:rsidRPr="00EC69AC">
        <w:rPr>
          <w:rFonts w:ascii="Times New Roman" w:eastAsia="Times New Roman" w:hAnsi="Times New Roman" w:cs="Times New Roman"/>
          <w:i/>
          <w:sz w:val="20"/>
          <w:szCs w:val="20"/>
        </w:rPr>
        <w:t>This press release contains forward-looking statements relating to the deployment of the Company’s products by the Company’s customers and the timing for delivery thereof, and can generally be identified by the use of words such as “may”, “will”, “could”, “should”, “would”, “likely”, "possible", “expect”, “intend”, “estimate”, “anticipate”, “believe”, “plan”, “objective” and “continue” (or the negative thereof) and words and expressions of similar import. Although the Company believes that the expectations reflected in such forward-looking statements are reasonable, such statements involve risks and uncertainties, and undue reliance should not be placed on such statements. Certain material factors and assumptions are applied in making forward-looking statements, and actual results may differ materially from those expressed or implied in such statements. Statements with respect to the purchase and deployment of the Company’s products by the Company’s customers, and the timing for delivery thereof, and levels of expected sales and expected further purchases and demand growth are based on an assumption that the Company’s customers will deploy its products in accordance with communicated intentions, that the Company will be able to deliver the ordered products on a basis consistent with past deliveries, and that the Company’s customer counterparties will meet their production and demand growth targets. Important factors that could cause actual results to differ materially from expectations include but are not limited to macroeconomic effects on the Company and its business and on the Company’s customers, economic conditions generally and their effect on consumer demand,  the potential effect of COVID restrictions in Canada and internationally on the Company’s ability to produce and deliver products, and on its customers’ and end users’ demand for and use of products, which effects are not predictable and may be affected by additional regional outbreaks and variants, and the relative cost of clean energy-powered personal vehicles relative to vehicles powered by traditional combustion engines. Additional information about material factors that could cause actual results to differ materially from expectations and about material factors or assumptions applied in making forward-looking statements may be found in the Company’s Annual Information Form for the year ended September 30, 202</w:t>
      </w:r>
      <w:r w:rsidR="008D069B">
        <w:rPr>
          <w:rFonts w:ascii="Times New Roman" w:eastAsia="Times New Roman" w:hAnsi="Times New Roman" w:cs="Times New Roman"/>
          <w:i/>
          <w:sz w:val="20"/>
          <w:szCs w:val="20"/>
        </w:rPr>
        <w:t>1</w:t>
      </w:r>
      <w:bookmarkStart w:id="0" w:name="_GoBack"/>
      <w:bookmarkEnd w:id="0"/>
      <w:r w:rsidRPr="00EC69AC">
        <w:rPr>
          <w:rFonts w:ascii="Times New Roman" w:eastAsia="Times New Roman" w:hAnsi="Times New Roman" w:cs="Times New Roman"/>
          <w:i/>
          <w:sz w:val="20"/>
          <w:szCs w:val="20"/>
        </w:rPr>
        <w:t xml:space="preserve"> under “Risk Factors”, and in the Company’s most recent annual Management’s Discussion and Analysis under “Qualitative And Quantitative Disclosures about Risk and Uncertainties” as well as in other public disclosure documents filed with Canadian securities regulatory authorities. The Company does not undertake any obligation to update publicly or to revise any of the forward-looking statements contained in this document, whether as a result of new information, future events or otherwise, except as required by law.</w:t>
      </w:r>
    </w:p>
    <w:sectPr w:rsidR="00211572" w:rsidSect="00EC69AC">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tserrat">
    <w:altName w:val="Times New Roman"/>
    <w:charset w:val="00"/>
    <w:family w:val="auto"/>
    <w:pitch w:val="default"/>
    <w:sig w:usb0="00000000" w:usb1="00000000" w:usb2="00000000" w:usb3="00000000" w:csb0="00000000" w:csb1="00000000"/>
  </w:font>
  <w:font w:name="Robot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er Koven">
    <w15:presenceInfo w15:providerId="AD" w15:userId="S::peterkoven@baystreetcommunications.com::227752e1-5f59-4731-a925-35b88d34151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211572"/>
    <w:rsid w:val="001744B4"/>
    <w:rsid w:val="00211572"/>
    <w:rsid w:val="004F7BB8"/>
    <w:rsid w:val="006744E2"/>
    <w:rsid w:val="008C7EB2"/>
    <w:rsid w:val="008D069B"/>
    <w:rsid w:val="00964F04"/>
    <w:rsid w:val="00CE71E2"/>
    <w:rsid w:val="00D07E87"/>
    <w:rsid w:val="00EC69AC"/>
    <w:rsid w:val="00FB7A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C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9AC"/>
  </w:style>
  <w:style w:type="paragraph" w:styleId="Heading1">
    <w:name w:val="heading 1"/>
    <w:basedOn w:val="Normal"/>
    <w:next w:val="Normal"/>
    <w:uiPriority w:val="9"/>
    <w:qFormat/>
    <w:rsid w:val="00EC69AC"/>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EC69AC"/>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EC69AC"/>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EC69AC"/>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EC69AC"/>
    <w:pPr>
      <w:keepNext/>
      <w:keepLines/>
      <w:spacing w:before="240" w:after="80"/>
      <w:outlineLvl w:val="4"/>
    </w:pPr>
    <w:rPr>
      <w:color w:val="666666"/>
    </w:rPr>
  </w:style>
  <w:style w:type="paragraph" w:styleId="Heading6">
    <w:name w:val="heading 6"/>
    <w:basedOn w:val="Normal"/>
    <w:next w:val="Normal"/>
    <w:uiPriority w:val="9"/>
    <w:semiHidden/>
    <w:unhideWhenUsed/>
    <w:qFormat/>
    <w:rsid w:val="00EC69A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C69AC"/>
    <w:pPr>
      <w:keepNext/>
      <w:keepLines/>
      <w:spacing w:after="60"/>
    </w:pPr>
    <w:rPr>
      <w:sz w:val="52"/>
      <w:szCs w:val="52"/>
    </w:rPr>
  </w:style>
  <w:style w:type="paragraph" w:styleId="Subtitle">
    <w:name w:val="Subtitle"/>
    <w:basedOn w:val="Normal"/>
    <w:next w:val="Normal"/>
    <w:uiPriority w:val="11"/>
    <w:qFormat/>
    <w:rsid w:val="00EC69AC"/>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D053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320"/>
    <w:rPr>
      <w:rFonts w:ascii="Tahoma" w:hAnsi="Tahoma" w:cs="Tahoma"/>
      <w:sz w:val="16"/>
      <w:szCs w:val="16"/>
    </w:rPr>
  </w:style>
  <w:style w:type="paragraph" w:styleId="ListParagraph">
    <w:name w:val="List Paragraph"/>
    <w:basedOn w:val="Normal"/>
    <w:uiPriority w:val="34"/>
    <w:qFormat/>
    <w:rsid w:val="00981375"/>
    <w:pPr>
      <w:spacing w:after="200"/>
      <w:ind w:left="720"/>
      <w:contextualSpacing/>
    </w:pPr>
    <w:rPr>
      <w:rFonts w:ascii="Calibri" w:eastAsia="Calibri" w:hAnsi="Calibri" w:cs="Times New Roman"/>
      <w:lang w:val="en-CA"/>
    </w:rPr>
  </w:style>
  <w:style w:type="paragraph" w:styleId="Revision">
    <w:name w:val="Revision"/>
    <w:hidden/>
    <w:uiPriority w:val="99"/>
    <w:semiHidden/>
    <w:rsid w:val="00CE71E2"/>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D053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320"/>
    <w:rPr>
      <w:rFonts w:ascii="Tahoma" w:hAnsi="Tahoma" w:cs="Tahoma"/>
      <w:sz w:val="16"/>
      <w:szCs w:val="16"/>
    </w:rPr>
  </w:style>
  <w:style w:type="paragraph" w:styleId="ListParagraph">
    <w:name w:val="List Paragraph"/>
    <w:basedOn w:val="Normal"/>
    <w:uiPriority w:val="34"/>
    <w:qFormat/>
    <w:rsid w:val="00981375"/>
    <w:pPr>
      <w:spacing w:after="200"/>
      <w:ind w:left="720"/>
      <w:contextualSpacing/>
    </w:pPr>
    <w:rPr>
      <w:rFonts w:ascii="Calibri" w:eastAsia="Calibri" w:hAnsi="Calibri" w:cs="Times New Roman"/>
      <w:lang w:val="en-CA"/>
    </w:rPr>
  </w:style>
  <w:style w:type="paragraph" w:styleId="Revision">
    <w:name w:val="Revision"/>
    <w:hidden/>
    <w:uiPriority w:val="99"/>
    <w:semiHidden/>
    <w:rsid w:val="00CE71E2"/>
    <w:pPr>
      <w:spacing w:line="240" w:lineRule="auto"/>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electrovaya.com" TargetMode="External"/><Relationship Id="rId3" Type="http://schemas.openxmlformats.org/officeDocument/2006/relationships/settings" Target="settings.xml"/><Relationship Id="rId7" Type="http://schemas.openxmlformats.org/officeDocument/2006/relationships/hyperlink" Target="http://www.electrovaya.com"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jroy@electrovaya.com" TargetMode="External"/><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NddD3Q/KoPV9D99sGHHTk1tZCg==">AMUW2mU6ii5Zl6pl+mIT4W/0U0j1gm0X/G2bWuQqjxQ9PozCbHi/QtXnbgNbMJs1M9/kn7c44lzYUBI+/rMNRZUzsNookhnGCkINoUyim95viF52Q1GIgKo=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Supra Canada Technologies</Company>
  <LinksUpToDate>false</LinksUpToDate>
  <CharactersWithSpaces>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Administrator</cp:lastModifiedBy>
  <cp:revision>2</cp:revision>
  <dcterms:created xsi:type="dcterms:W3CDTF">2022-01-11T22:17:00Z</dcterms:created>
  <dcterms:modified xsi:type="dcterms:W3CDTF">2022-01-11T22:17:00Z</dcterms:modified>
</cp:coreProperties>
</file>