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CF4" w14:textId="7F9BC982" w:rsidR="00637BB6" w:rsidRPr="006F2A70" w:rsidRDefault="00637BB6" w:rsidP="00637BB6">
      <w:pPr>
        <w:spacing w:before="100" w:beforeAutospacing="1" w:after="100" w:afterAutospacing="1" w:line="240" w:lineRule="auto"/>
        <w:jc w:val="center"/>
        <w:rPr>
          <w:rFonts w:eastAsia="Times New Roman" w:cstheme="minorHAnsi"/>
          <w:b/>
          <w:bCs/>
          <w:sz w:val="32"/>
          <w:szCs w:val="32"/>
        </w:rPr>
      </w:pPr>
      <w:r w:rsidRPr="00637BB6">
        <w:rPr>
          <w:rFonts w:eastAsia="Times New Roman" w:cstheme="minorHAnsi"/>
          <w:b/>
          <w:bCs/>
          <w:sz w:val="32"/>
          <w:szCs w:val="32"/>
        </w:rPr>
        <w:t>Predictmedix</w:t>
      </w:r>
      <w:r w:rsidRPr="006F2A70">
        <w:rPr>
          <w:rFonts w:eastAsia="Times New Roman" w:cstheme="minorHAnsi"/>
          <w:b/>
          <w:bCs/>
          <w:sz w:val="32"/>
          <w:szCs w:val="32"/>
        </w:rPr>
        <w:t xml:space="preserve"> </w:t>
      </w:r>
      <w:r w:rsidR="00231899">
        <w:rPr>
          <w:rFonts w:eastAsia="Times New Roman" w:cstheme="minorHAnsi"/>
          <w:b/>
          <w:bCs/>
          <w:sz w:val="32"/>
          <w:szCs w:val="32"/>
        </w:rPr>
        <w:t>To Launch</w:t>
      </w:r>
      <w:r w:rsidR="002C3F5D" w:rsidRPr="002C3F5D">
        <w:rPr>
          <w:rFonts w:eastAsia="Times New Roman" w:cstheme="minorHAnsi"/>
          <w:b/>
          <w:bCs/>
          <w:sz w:val="32"/>
          <w:szCs w:val="32"/>
        </w:rPr>
        <w:t xml:space="preserve"> </w:t>
      </w:r>
      <w:r w:rsidR="00D32B07">
        <w:rPr>
          <w:rFonts w:eastAsia="Times New Roman" w:cstheme="minorHAnsi"/>
          <w:b/>
          <w:bCs/>
          <w:sz w:val="32"/>
          <w:szCs w:val="32"/>
        </w:rPr>
        <w:t>Infectious Diseases</w:t>
      </w:r>
      <w:r w:rsidR="00387747">
        <w:rPr>
          <w:rFonts w:eastAsia="Times New Roman" w:cstheme="minorHAnsi"/>
          <w:b/>
          <w:bCs/>
          <w:sz w:val="32"/>
          <w:szCs w:val="32"/>
        </w:rPr>
        <w:t xml:space="preserve"> </w:t>
      </w:r>
      <w:r w:rsidR="002C3F5D" w:rsidRPr="002C3F5D">
        <w:rPr>
          <w:rFonts w:eastAsia="Times New Roman" w:cstheme="minorHAnsi"/>
          <w:b/>
          <w:bCs/>
          <w:sz w:val="32"/>
          <w:szCs w:val="32"/>
        </w:rPr>
        <w:t xml:space="preserve">Clinical </w:t>
      </w:r>
      <w:r w:rsidR="002C3F5D">
        <w:rPr>
          <w:rFonts w:eastAsia="Times New Roman" w:cstheme="minorHAnsi"/>
          <w:b/>
          <w:bCs/>
          <w:sz w:val="32"/>
          <w:szCs w:val="32"/>
        </w:rPr>
        <w:t>T</w:t>
      </w:r>
      <w:r w:rsidR="002C3F5D" w:rsidRPr="002C3F5D">
        <w:rPr>
          <w:rFonts w:eastAsia="Times New Roman" w:cstheme="minorHAnsi"/>
          <w:b/>
          <w:bCs/>
          <w:sz w:val="32"/>
          <w:szCs w:val="32"/>
        </w:rPr>
        <w:t>rial in North American Hospital</w:t>
      </w:r>
      <w:r w:rsidR="002C3F5D">
        <w:rPr>
          <w:rFonts w:eastAsia="Times New Roman" w:cstheme="minorHAnsi"/>
          <w:b/>
          <w:bCs/>
          <w:sz w:val="32"/>
          <w:szCs w:val="32"/>
        </w:rPr>
        <w:t xml:space="preserve"> </w:t>
      </w:r>
      <w:r w:rsidR="002C3F5D" w:rsidRPr="002C3F5D">
        <w:rPr>
          <w:rFonts w:eastAsia="Times New Roman" w:cstheme="minorHAnsi"/>
          <w:b/>
          <w:bCs/>
          <w:sz w:val="32"/>
          <w:szCs w:val="32"/>
        </w:rPr>
        <w:t xml:space="preserve">for </w:t>
      </w:r>
      <w:r w:rsidR="00D32B07">
        <w:rPr>
          <w:rFonts w:eastAsia="Times New Roman" w:cstheme="minorHAnsi"/>
          <w:b/>
          <w:bCs/>
          <w:sz w:val="32"/>
          <w:szCs w:val="32"/>
        </w:rPr>
        <w:t>FDA Medical Device Classification of Safe Entry</w:t>
      </w:r>
      <w:r w:rsidR="002C3F5D" w:rsidRPr="002C3F5D">
        <w:rPr>
          <w:rFonts w:eastAsia="Times New Roman" w:cstheme="minorHAnsi"/>
          <w:b/>
          <w:bCs/>
          <w:sz w:val="32"/>
          <w:szCs w:val="32"/>
        </w:rPr>
        <w:t xml:space="preserve"> </w:t>
      </w:r>
      <w:r w:rsidR="00D32B07">
        <w:rPr>
          <w:rFonts w:eastAsia="Times New Roman" w:cstheme="minorHAnsi"/>
          <w:b/>
          <w:bCs/>
          <w:sz w:val="32"/>
          <w:szCs w:val="32"/>
        </w:rPr>
        <w:t>Stations</w:t>
      </w:r>
    </w:p>
    <w:p w14:paraId="48CD57B8" w14:textId="48510626" w:rsidR="00637BB6" w:rsidRPr="0099773A" w:rsidRDefault="0038586F" w:rsidP="0099773A">
      <w:pPr>
        <w:spacing w:before="100" w:beforeAutospacing="1" w:after="100" w:afterAutospacing="1" w:line="240" w:lineRule="auto"/>
        <w:jc w:val="center"/>
        <w:rPr>
          <w:rFonts w:eastAsia="Times New Roman" w:cstheme="minorHAnsi"/>
          <w:b/>
          <w:bCs/>
          <w:i/>
          <w:iCs/>
        </w:rPr>
      </w:pPr>
      <w:r>
        <w:rPr>
          <w:rFonts w:ascii="Arial" w:hAnsi="Arial" w:cs="Arial"/>
          <w:i/>
          <w:iCs/>
          <w:color w:val="000000"/>
        </w:rPr>
        <w:t>Independent</w:t>
      </w:r>
      <w:r w:rsidR="0090436A">
        <w:rPr>
          <w:rFonts w:ascii="Arial" w:hAnsi="Arial" w:cs="Arial"/>
          <w:i/>
          <w:iCs/>
          <w:color w:val="000000"/>
        </w:rPr>
        <w:t xml:space="preserve"> S</w:t>
      </w:r>
      <w:r>
        <w:rPr>
          <w:rFonts w:ascii="Arial" w:hAnsi="Arial" w:cs="Arial"/>
          <w:i/>
          <w:iCs/>
          <w:color w:val="000000"/>
        </w:rPr>
        <w:t>tudy for</w:t>
      </w:r>
      <w:r w:rsidR="00387747" w:rsidRPr="0099773A">
        <w:rPr>
          <w:rFonts w:ascii="Arial" w:hAnsi="Arial" w:cs="Arial"/>
          <w:i/>
          <w:iCs/>
          <w:color w:val="000000"/>
        </w:rPr>
        <w:t xml:space="preserve"> </w:t>
      </w:r>
      <w:r>
        <w:rPr>
          <w:rFonts w:ascii="Arial" w:hAnsi="Arial" w:cs="Arial"/>
          <w:i/>
          <w:iCs/>
          <w:color w:val="000000"/>
        </w:rPr>
        <w:t xml:space="preserve">Infectious </w:t>
      </w:r>
      <w:r w:rsidR="00D32B07">
        <w:rPr>
          <w:rFonts w:ascii="Arial" w:hAnsi="Arial" w:cs="Arial"/>
          <w:i/>
          <w:iCs/>
          <w:color w:val="000000"/>
        </w:rPr>
        <w:t>D</w:t>
      </w:r>
      <w:r>
        <w:rPr>
          <w:rFonts w:ascii="Arial" w:hAnsi="Arial" w:cs="Arial"/>
          <w:i/>
          <w:iCs/>
          <w:color w:val="000000"/>
        </w:rPr>
        <w:t>isease</w:t>
      </w:r>
      <w:r w:rsidR="00D32B07">
        <w:rPr>
          <w:rFonts w:ascii="Arial" w:hAnsi="Arial" w:cs="Arial"/>
          <w:i/>
          <w:iCs/>
          <w:color w:val="000000"/>
        </w:rPr>
        <w:t>s</w:t>
      </w:r>
      <w:r>
        <w:rPr>
          <w:rFonts w:ascii="Arial" w:hAnsi="Arial" w:cs="Arial"/>
          <w:i/>
          <w:iCs/>
          <w:color w:val="000000"/>
        </w:rPr>
        <w:t xml:space="preserve"> </w:t>
      </w:r>
      <w:r w:rsidR="00D32B07">
        <w:rPr>
          <w:rFonts w:ascii="Arial" w:hAnsi="Arial" w:cs="Arial"/>
          <w:i/>
          <w:iCs/>
          <w:color w:val="000000"/>
        </w:rPr>
        <w:t>S</w:t>
      </w:r>
      <w:r>
        <w:rPr>
          <w:rFonts w:ascii="Arial" w:hAnsi="Arial" w:cs="Arial"/>
          <w:i/>
          <w:iCs/>
          <w:color w:val="000000"/>
        </w:rPr>
        <w:t xml:space="preserve">ymptom </w:t>
      </w:r>
      <w:r w:rsidR="00D32B07">
        <w:rPr>
          <w:rFonts w:ascii="Arial" w:hAnsi="Arial" w:cs="Arial"/>
          <w:i/>
          <w:iCs/>
          <w:color w:val="000000"/>
        </w:rPr>
        <w:t>Detection</w:t>
      </w:r>
      <w:r w:rsidR="00387747" w:rsidRPr="0099773A">
        <w:rPr>
          <w:rFonts w:ascii="Arial" w:hAnsi="Arial" w:cs="Arial"/>
          <w:i/>
          <w:iCs/>
          <w:color w:val="000000"/>
        </w:rPr>
        <w:t xml:space="preserve"> </w:t>
      </w:r>
      <w:r w:rsidR="00387747">
        <w:rPr>
          <w:rFonts w:ascii="Arial" w:hAnsi="Arial" w:cs="Arial"/>
          <w:i/>
          <w:iCs/>
          <w:color w:val="000000"/>
        </w:rPr>
        <w:t xml:space="preserve">in a Clinical Setting to Provide Additional Third-Party Validation; </w:t>
      </w:r>
      <w:r w:rsidR="00387747" w:rsidRPr="004A3D73">
        <w:rPr>
          <w:rFonts w:ascii="Arial" w:hAnsi="Arial" w:cs="Arial"/>
          <w:i/>
          <w:iCs/>
          <w:color w:val="000000"/>
        </w:rPr>
        <w:t xml:space="preserve">Prerequisite </w:t>
      </w:r>
      <w:r w:rsidR="00387747">
        <w:rPr>
          <w:rFonts w:ascii="Arial" w:hAnsi="Arial" w:cs="Arial"/>
          <w:i/>
          <w:iCs/>
          <w:color w:val="000000"/>
        </w:rPr>
        <w:t>Ahead of Planned FDA</w:t>
      </w:r>
      <w:r w:rsidR="00387747" w:rsidRPr="004A3D73">
        <w:rPr>
          <w:rFonts w:ascii="Arial" w:hAnsi="Arial" w:cs="Arial"/>
          <w:i/>
          <w:iCs/>
          <w:color w:val="000000"/>
        </w:rPr>
        <w:t xml:space="preserve"> Certification </w:t>
      </w:r>
      <w:r w:rsidR="00387747">
        <w:rPr>
          <w:rFonts w:ascii="Arial" w:hAnsi="Arial" w:cs="Arial"/>
          <w:i/>
          <w:iCs/>
          <w:color w:val="000000"/>
        </w:rPr>
        <w:t>as Class II Medical Device</w:t>
      </w:r>
    </w:p>
    <w:p w14:paraId="3689419A" w14:textId="5FF303F0" w:rsidR="002C3F5D" w:rsidRPr="00CB45C0" w:rsidRDefault="00637BB6" w:rsidP="00637BB6">
      <w:pPr>
        <w:spacing w:before="100" w:beforeAutospacing="1" w:after="100" w:afterAutospacing="1" w:line="240" w:lineRule="auto"/>
        <w:jc w:val="both"/>
        <w:rPr>
          <w:rFonts w:eastAsia="Times New Roman" w:cstheme="minorHAnsi"/>
        </w:rPr>
      </w:pPr>
      <w:r w:rsidRPr="00CB45C0">
        <w:rPr>
          <w:rFonts w:eastAsia="Times New Roman" w:cstheme="minorHAnsi"/>
          <w:b/>
          <w:bCs/>
        </w:rPr>
        <w:t xml:space="preserve">Toronto, ON – January </w:t>
      </w:r>
      <w:r w:rsidR="00DF2439">
        <w:rPr>
          <w:rFonts w:eastAsia="Times New Roman" w:cstheme="minorHAnsi"/>
          <w:b/>
          <w:bCs/>
        </w:rPr>
        <w:t>26</w:t>
      </w:r>
      <w:r w:rsidRPr="00CB45C0">
        <w:rPr>
          <w:rFonts w:eastAsia="Times New Roman" w:cstheme="minorHAnsi"/>
          <w:b/>
          <w:bCs/>
        </w:rPr>
        <w:t xml:space="preserve">, 2022 – </w:t>
      </w:r>
      <w:r w:rsidRPr="00CB45C0">
        <w:rPr>
          <w:rFonts w:eastAsia="Times New Roman" w:cstheme="minorHAnsi"/>
        </w:rPr>
        <w:t>Predictmedix Inc. (</w:t>
      </w:r>
      <w:proofErr w:type="gramStart"/>
      <w:r w:rsidRPr="00CB45C0">
        <w:rPr>
          <w:rFonts w:eastAsia="Times New Roman" w:cstheme="minorHAnsi"/>
        </w:rPr>
        <w:t>CSE:PMED</w:t>
      </w:r>
      <w:proofErr w:type="gramEnd"/>
      <w:r w:rsidRPr="00CB45C0">
        <w:rPr>
          <w:rFonts w:eastAsia="Times New Roman" w:cstheme="minorHAnsi"/>
        </w:rPr>
        <w:t>) (OTCQB:PMEDF) (“Predictmedix” or the “Company”), an emerging provider of rapid health screening solutions powered by a proprietary artificial intelligence (AI),</w:t>
      </w:r>
      <w:r w:rsidR="002C3F5D" w:rsidRPr="00CB45C0">
        <w:rPr>
          <w:rFonts w:eastAsia="Times New Roman" w:cstheme="minorHAnsi"/>
        </w:rPr>
        <w:t xml:space="preserve"> today announced </w:t>
      </w:r>
      <w:r w:rsidR="0038586F" w:rsidRPr="00CB45C0">
        <w:rPr>
          <w:rFonts w:eastAsia="Times New Roman" w:cstheme="minorHAnsi"/>
        </w:rPr>
        <w:t>a</w:t>
      </w:r>
      <w:r w:rsidR="00D20422" w:rsidRPr="00CB45C0">
        <w:rPr>
          <w:rFonts w:eastAsia="Times New Roman" w:cstheme="minorHAnsi"/>
        </w:rPr>
        <w:t xml:space="preserve"> </w:t>
      </w:r>
      <w:r w:rsidR="00D20422" w:rsidRPr="00CB45C0">
        <w:rPr>
          <w:rFonts w:cstheme="minorHAnsi"/>
        </w:rPr>
        <w:t xml:space="preserve">clinical study set to begin in February 2022 with researchers and doctors at a North American hospital to use the Company’s </w:t>
      </w:r>
      <w:r w:rsidR="00387747" w:rsidRPr="00CB45C0">
        <w:rPr>
          <w:rFonts w:cstheme="minorHAnsi"/>
        </w:rPr>
        <w:t xml:space="preserve">patent-pending, </w:t>
      </w:r>
      <w:r w:rsidR="00D20422" w:rsidRPr="00CB45C0">
        <w:rPr>
          <w:rFonts w:cstheme="minorHAnsi"/>
        </w:rPr>
        <w:t xml:space="preserve">proprietary AI technology to detect </w:t>
      </w:r>
      <w:r w:rsidR="0038586F" w:rsidRPr="00CB45C0">
        <w:rPr>
          <w:rFonts w:cstheme="minorHAnsi"/>
        </w:rPr>
        <w:t>symptoms of infectious diseases</w:t>
      </w:r>
      <w:r w:rsidR="00D20422" w:rsidRPr="00CB45C0">
        <w:rPr>
          <w:rFonts w:cstheme="minorHAnsi"/>
        </w:rPr>
        <w:t>.</w:t>
      </w:r>
    </w:p>
    <w:p w14:paraId="2DD05C2C" w14:textId="6BC82A2D" w:rsidR="00387747" w:rsidRPr="00CB45C0" w:rsidRDefault="00387747" w:rsidP="00387747">
      <w:pPr>
        <w:spacing w:before="100" w:beforeAutospacing="1" w:after="100" w:afterAutospacing="1" w:line="240" w:lineRule="auto"/>
        <w:jc w:val="both"/>
        <w:rPr>
          <w:rFonts w:cstheme="minorHAnsi"/>
        </w:rPr>
      </w:pPr>
      <w:r w:rsidRPr="00CB45C0">
        <w:rPr>
          <w:rFonts w:cstheme="minorHAnsi"/>
        </w:rPr>
        <w:t>Predict</w:t>
      </w:r>
      <w:r w:rsidR="00D32B07" w:rsidRPr="00CB45C0">
        <w:rPr>
          <w:rFonts w:cstheme="minorHAnsi"/>
        </w:rPr>
        <w:t>m</w:t>
      </w:r>
      <w:r w:rsidRPr="00CB45C0">
        <w:rPr>
          <w:rFonts w:cstheme="minorHAnsi"/>
        </w:rPr>
        <w:t xml:space="preserve">edix is providing one Safe Entry Station to be used to screen staff to provide protection, and two units to screen incoming patients </w:t>
      </w:r>
      <w:r w:rsidR="004D30D1">
        <w:rPr>
          <w:rFonts w:cstheme="minorHAnsi"/>
        </w:rPr>
        <w:t>as well as collect</w:t>
      </w:r>
      <w:r w:rsidRPr="00CB45C0">
        <w:rPr>
          <w:rFonts w:cstheme="minorHAnsi"/>
        </w:rPr>
        <w:t xml:space="preserve"> symptom data from COVID-19 positive patients</w:t>
      </w:r>
      <w:r w:rsidR="004D30D1">
        <w:rPr>
          <w:rFonts w:cstheme="minorHAnsi"/>
        </w:rPr>
        <w:t xml:space="preserve"> that</w:t>
      </w:r>
      <w:r w:rsidR="00141868" w:rsidRPr="00CB45C0">
        <w:rPr>
          <w:rFonts w:cstheme="minorHAnsi"/>
        </w:rPr>
        <w:t xml:space="preserve"> will </w:t>
      </w:r>
      <w:r w:rsidR="004D30D1">
        <w:rPr>
          <w:rFonts w:cstheme="minorHAnsi"/>
        </w:rPr>
        <w:t xml:space="preserve">then </w:t>
      </w:r>
      <w:r w:rsidR="00141868" w:rsidRPr="00CB45C0">
        <w:rPr>
          <w:rFonts w:cstheme="minorHAnsi"/>
        </w:rPr>
        <w:t>be validated by PCR tests</w:t>
      </w:r>
      <w:r w:rsidRPr="00CB45C0">
        <w:rPr>
          <w:rFonts w:cstheme="minorHAnsi"/>
        </w:rPr>
        <w:t xml:space="preserve">.  </w:t>
      </w:r>
      <w:r w:rsidR="004D30D1">
        <w:rPr>
          <w:rFonts w:cstheme="minorHAnsi"/>
        </w:rPr>
        <w:t>The Company expects that this</w:t>
      </w:r>
      <w:r w:rsidR="004D30D1" w:rsidRPr="00CB45C0">
        <w:rPr>
          <w:rFonts w:cstheme="minorHAnsi"/>
        </w:rPr>
        <w:t xml:space="preserve"> </w:t>
      </w:r>
      <w:r w:rsidR="004A3D73" w:rsidRPr="00CB45C0">
        <w:rPr>
          <w:rFonts w:cstheme="minorHAnsi"/>
        </w:rPr>
        <w:t xml:space="preserve">hospital study will provide a third-party independent validation of the Company’s </w:t>
      </w:r>
      <w:r w:rsidR="00D32B07" w:rsidRPr="00CB45C0">
        <w:rPr>
          <w:rFonts w:cstheme="minorHAnsi"/>
        </w:rPr>
        <w:t>Infectious Diseases D</w:t>
      </w:r>
      <w:r w:rsidR="004A3D73" w:rsidRPr="00CB45C0">
        <w:rPr>
          <w:rFonts w:cstheme="minorHAnsi"/>
        </w:rPr>
        <w:t xml:space="preserve">etection </w:t>
      </w:r>
      <w:r w:rsidR="00D32B07" w:rsidRPr="00CB45C0">
        <w:rPr>
          <w:rFonts w:cstheme="minorHAnsi"/>
        </w:rPr>
        <w:t>S</w:t>
      </w:r>
      <w:r w:rsidR="004A3D73" w:rsidRPr="00CB45C0">
        <w:rPr>
          <w:rFonts w:cstheme="minorHAnsi"/>
        </w:rPr>
        <w:t>olution</w:t>
      </w:r>
      <w:r w:rsidR="00E416E8">
        <w:rPr>
          <w:rFonts w:cstheme="minorHAnsi"/>
        </w:rPr>
        <w:t>,</w:t>
      </w:r>
      <w:r w:rsidR="004A3D73" w:rsidRPr="00CB45C0">
        <w:rPr>
          <w:rFonts w:cstheme="minorHAnsi"/>
        </w:rPr>
        <w:t xml:space="preserve"> ahead of</w:t>
      </w:r>
      <w:r w:rsidRPr="00CB45C0">
        <w:rPr>
          <w:rFonts w:cstheme="minorHAnsi"/>
        </w:rPr>
        <w:t xml:space="preserve"> a</w:t>
      </w:r>
      <w:r w:rsidR="004A3D73" w:rsidRPr="00CB45C0">
        <w:rPr>
          <w:rFonts w:cstheme="minorHAnsi"/>
        </w:rPr>
        <w:t xml:space="preserve"> commercial launch</w:t>
      </w:r>
      <w:r w:rsidR="00E416E8">
        <w:rPr>
          <w:rFonts w:cstheme="minorHAnsi"/>
        </w:rPr>
        <w:t xml:space="preserve"> and</w:t>
      </w:r>
      <w:r w:rsidRPr="00CB45C0">
        <w:rPr>
          <w:rFonts w:cstheme="minorHAnsi"/>
        </w:rPr>
        <w:t xml:space="preserve"> fulfilling a </w:t>
      </w:r>
      <w:r w:rsidR="004A3D73" w:rsidRPr="00CB45C0">
        <w:rPr>
          <w:rFonts w:cstheme="minorHAnsi"/>
        </w:rPr>
        <w:t xml:space="preserve">prerequisite for certification </w:t>
      </w:r>
      <w:r w:rsidR="00E416E8">
        <w:rPr>
          <w:rFonts w:cstheme="minorHAnsi"/>
        </w:rPr>
        <w:t xml:space="preserve">by </w:t>
      </w:r>
      <w:r w:rsidRPr="00CB45C0">
        <w:rPr>
          <w:rFonts w:cstheme="minorHAnsi"/>
        </w:rPr>
        <w:t xml:space="preserve">the U.S. </w:t>
      </w:r>
      <w:r w:rsidR="004A3D73" w:rsidRPr="00CB45C0">
        <w:rPr>
          <w:rFonts w:cstheme="minorHAnsi"/>
        </w:rPr>
        <w:t xml:space="preserve"> Food and Drug Administration (FDA).</w:t>
      </w:r>
      <w:r w:rsidRPr="00CB45C0">
        <w:rPr>
          <w:rFonts w:cstheme="minorHAnsi"/>
        </w:rPr>
        <w:t xml:space="preserve"> </w:t>
      </w:r>
    </w:p>
    <w:p w14:paraId="3A8C8C3B" w14:textId="04B94139" w:rsidR="00CB45C0" w:rsidRPr="00CB45C0" w:rsidRDefault="00387747" w:rsidP="00CB45C0">
      <w:pPr>
        <w:jc w:val="both"/>
        <w:rPr>
          <w:rFonts w:eastAsia="Times New Roman" w:cstheme="minorHAnsi"/>
          <w:sz w:val="24"/>
          <w:szCs w:val="24"/>
          <w:lang w:val="en-CA"/>
        </w:rPr>
      </w:pPr>
      <w:r w:rsidRPr="00CB45C0">
        <w:rPr>
          <w:rFonts w:cstheme="minorHAnsi"/>
        </w:rPr>
        <w:t>The results of the study will be published in a peer-reviewed medical journal. Predict</w:t>
      </w:r>
      <w:r w:rsidR="00D32B07" w:rsidRPr="00CB45C0">
        <w:rPr>
          <w:rFonts w:cstheme="minorHAnsi"/>
        </w:rPr>
        <w:t>m</w:t>
      </w:r>
      <w:r w:rsidRPr="00CB45C0">
        <w:rPr>
          <w:rFonts w:cstheme="minorHAnsi"/>
        </w:rPr>
        <w:t xml:space="preserve">edix has engaged an accredited consulting firm to assist the Company in seeking classification of the technology as a Class II Medical Device in the United States. Class II devices are FDA approved for the market through the Premarket Notification, or 510(k) process. The 510(k) </w:t>
      </w:r>
      <w:r w:rsidR="00CB45C0" w:rsidRPr="00CB45C0">
        <w:rPr>
          <w:rFonts w:cstheme="minorHAnsi"/>
        </w:rPr>
        <w:t xml:space="preserve">process entails </w:t>
      </w:r>
      <w:r w:rsidRPr="00CB45C0">
        <w:rPr>
          <w:rFonts w:cstheme="minorHAnsi"/>
        </w:rPr>
        <w:t>a complex application to the FDA, which demonstrates that a device is safe and effective</w:t>
      </w:r>
      <w:r w:rsidR="00CB45C0" w:rsidRPr="00CB45C0">
        <w:rPr>
          <w:rFonts w:cstheme="minorHAnsi"/>
        </w:rPr>
        <w:t xml:space="preserve"> by </w:t>
      </w:r>
      <w:r w:rsidR="00E416E8">
        <w:rPr>
          <w:rFonts w:cstheme="minorHAnsi"/>
        </w:rPr>
        <w:t>showing</w:t>
      </w:r>
      <w:r w:rsidR="00E416E8" w:rsidRPr="00CB45C0">
        <w:rPr>
          <w:rFonts w:cstheme="minorHAnsi"/>
        </w:rPr>
        <w:t xml:space="preserve"> </w:t>
      </w:r>
      <w:r w:rsidR="00CB45C0" w:rsidRPr="00CB45C0">
        <w:rPr>
          <w:rFonts w:cstheme="minorHAnsi"/>
        </w:rPr>
        <w:t xml:space="preserve">that the device is equivalent to another device </w:t>
      </w:r>
      <w:r w:rsidR="00E416E8">
        <w:rPr>
          <w:rFonts w:cstheme="minorHAnsi"/>
        </w:rPr>
        <w:t>or combination of devices taken together that are</w:t>
      </w:r>
      <w:r w:rsidR="00CB45C0" w:rsidRPr="00CB45C0">
        <w:rPr>
          <w:rFonts w:cstheme="minorHAnsi"/>
        </w:rPr>
        <w:t xml:space="preserve"> on the market. </w:t>
      </w:r>
      <w:r w:rsidR="00CB45C0" w:rsidRPr="00CB45C0">
        <w:rPr>
          <w:rFonts w:eastAsia="Times New Roman" w:cstheme="minorHAnsi"/>
          <w:color w:val="222222"/>
          <w:shd w:val="clear" w:color="auto" w:fill="FFFFFF"/>
          <w:lang w:val="en-CA"/>
        </w:rPr>
        <w:t xml:space="preserve">While individual aspects and features of the Safe Entry Station are comparable to FDA class II devices, it is important to note that the Safe Entry Station differs from other medical devices </w:t>
      </w:r>
      <w:r w:rsidR="00B34AA4">
        <w:rPr>
          <w:rFonts w:eastAsia="Times New Roman" w:cstheme="minorHAnsi"/>
          <w:color w:val="222222"/>
          <w:shd w:val="clear" w:color="auto" w:fill="FFFFFF"/>
          <w:lang w:val="en-CA"/>
        </w:rPr>
        <w:t>that have this</w:t>
      </w:r>
      <w:r w:rsidR="00E416E8">
        <w:rPr>
          <w:rFonts w:eastAsia="Times New Roman" w:cstheme="minorHAnsi"/>
          <w:color w:val="222222"/>
          <w:shd w:val="clear" w:color="auto" w:fill="FFFFFF"/>
          <w:lang w:val="en-CA"/>
        </w:rPr>
        <w:t xml:space="preserve"> functionality in that </w:t>
      </w:r>
      <w:r w:rsidR="00CB45C0" w:rsidRPr="00CB45C0">
        <w:rPr>
          <w:rFonts w:eastAsia="Times New Roman" w:cstheme="minorHAnsi"/>
          <w:color w:val="222222"/>
          <w:shd w:val="clear" w:color="auto" w:fill="FFFFFF"/>
          <w:lang w:val="en-CA"/>
        </w:rPr>
        <w:t xml:space="preserve">it </w:t>
      </w:r>
      <w:r w:rsidR="00E416E8">
        <w:rPr>
          <w:rFonts w:eastAsia="Times New Roman" w:cstheme="minorHAnsi"/>
          <w:color w:val="222222"/>
          <w:shd w:val="clear" w:color="auto" w:fill="FFFFFF"/>
          <w:lang w:val="en-CA"/>
        </w:rPr>
        <w:t>assimilates</w:t>
      </w:r>
      <w:r w:rsidR="00CB45C0" w:rsidRPr="00CB45C0">
        <w:rPr>
          <w:rFonts w:eastAsia="Times New Roman" w:cstheme="minorHAnsi"/>
          <w:color w:val="222222"/>
          <w:shd w:val="clear" w:color="auto" w:fill="FFFFFF"/>
          <w:lang w:val="en-CA"/>
        </w:rPr>
        <w:t xml:space="preserve"> multiple features and </w:t>
      </w:r>
      <w:r w:rsidR="00E416E8">
        <w:rPr>
          <w:rFonts w:eastAsia="Times New Roman" w:cstheme="minorHAnsi"/>
          <w:color w:val="222222"/>
          <w:shd w:val="clear" w:color="auto" w:fill="FFFFFF"/>
          <w:lang w:val="en-CA"/>
        </w:rPr>
        <w:t>combines them</w:t>
      </w:r>
      <w:r w:rsidR="00CB45C0" w:rsidRPr="00CB45C0">
        <w:rPr>
          <w:rFonts w:eastAsia="Times New Roman" w:cstheme="minorHAnsi"/>
          <w:color w:val="222222"/>
          <w:shd w:val="clear" w:color="auto" w:fill="FFFFFF"/>
          <w:lang w:val="en-CA"/>
        </w:rPr>
        <w:t xml:space="preserve"> </w:t>
      </w:r>
      <w:proofErr w:type="gramStart"/>
      <w:r w:rsidR="00CB45C0" w:rsidRPr="00CB45C0">
        <w:rPr>
          <w:rFonts w:eastAsia="Times New Roman" w:cstheme="minorHAnsi"/>
          <w:color w:val="222222"/>
          <w:shd w:val="clear" w:color="auto" w:fill="FFFFFF"/>
          <w:lang w:val="en-CA"/>
        </w:rPr>
        <w:t xml:space="preserve">with </w:t>
      </w:r>
      <w:r w:rsidR="00B34AA4">
        <w:rPr>
          <w:rFonts w:eastAsia="Times New Roman" w:cstheme="minorHAnsi"/>
          <w:color w:val="222222"/>
          <w:shd w:val="clear" w:color="auto" w:fill="FFFFFF"/>
          <w:lang w:val="en-CA"/>
        </w:rPr>
        <w:t xml:space="preserve"> proprietary</w:t>
      </w:r>
      <w:proofErr w:type="gramEnd"/>
      <w:r w:rsidR="00B34AA4">
        <w:rPr>
          <w:rFonts w:eastAsia="Times New Roman" w:cstheme="minorHAnsi"/>
          <w:color w:val="222222"/>
          <w:shd w:val="clear" w:color="auto" w:fill="FFFFFF"/>
          <w:lang w:val="en-CA"/>
        </w:rPr>
        <w:t xml:space="preserve"> </w:t>
      </w:r>
      <w:r w:rsidR="00CB45C0" w:rsidRPr="00CB45C0">
        <w:rPr>
          <w:rFonts w:eastAsia="Times New Roman" w:cstheme="minorHAnsi"/>
          <w:color w:val="222222"/>
          <w:shd w:val="clear" w:color="auto" w:fill="FFFFFF"/>
          <w:lang w:val="en-CA"/>
        </w:rPr>
        <w:t>artificial intelligence driven decision making</w:t>
      </w:r>
      <w:r w:rsidR="00BE2D7D">
        <w:rPr>
          <w:rFonts w:eastAsia="Times New Roman" w:cstheme="minorHAnsi"/>
          <w:color w:val="222222"/>
          <w:shd w:val="clear" w:color="auto" w:fill="FFFFFF"/>
          <w:lang w:val="en-CA"/>
        </w:rPr>
        <w:t xml:space="preserve">.  As a result, the Safe Entry Station has a wide range of potential applications </w:t>
      </w:r>
      <w:r w:rsidR="00CB45C0" w:rsidRPr="00CB45C0">
        <w:rPr>
          <w:rFonts w:eastAsia="Times New Roman" w:cstheme="minorHAnsi"/>
          <w:color w:val="222222"/>
          <w:shd w:val="clear" w:color="auto" w:fill="FFFFFF"/>
          <w:lang w:val="en-CA"/>
        </w:rPr>
        <w:t>in healthcare</w:t>
      </w:r>
      <w:r w:rsidR="00BE2D7D">
        <w:rPr>
          <w:rFonts w:eastAsia="Times New Roman" w:cstheme="minorHAnsi"/>
          <w:color w:val="222222"/>
          <w:shd w:val="clear" w:color="auto" w:fill="FFFFFF"/>
          <w:lang w:val="en-CA"/>
        </w:rPr>
        <w:t xml:space="preserve"> as well as any situation where groups of people gather and must be screened rapidly</w:t>
      </w:r>
      <w:r w:rsidR="00CB45C0" w:rsidRPr="00CB45C0">
        <w:rPr>
          <w:rFonts w:eastAsia="Times New Roman" w:cstheme="minorHAnsi"/>
          <w:color w:val="222222"/>
          <w:shd w:val="clear" w:color="auto" w:fill="FFFFFF"/>
          <w:lang w:val="en-CA"/>
        </w:rPr>
        <w:t>. </w:t>
      </w:r>
    </w:p>
    <w:p w14:paraId="0721C73C" w14:textId="5392059B" w:rsidR="00387747" w:rsidRPr="00CB45C0" w:rsidRDefault="004A3D73" w:rsidP="001D38B6">
      <w:pPr>
        <w:spacing w:before="100" w:beforeAutospacing="1" w:after="100" w:afterAutospacing="1" w:line="240" w:lineRule="auto"/>
        <w:jc w:val="both"/>
        <w:rPr>
          <w:rFonts w:eastAsia="Times New Roman" w:cstheme="minorHAnsi"/>
        </w:rPr>
      </w:pPr>
      <w:r w:rsidRPr="00CB45C0">
        <w:rPr>
          <w:rFonts w:cstheme="minorHAnsi"/>
        </w:rPr>
        <w:t>“Usage of our technology in a h</w:t>
      </w:r>
      <w:r w:rsidR="00D20422" w:rsidRPr="00CB45C0">
        <w:rPr>
          <w:rFonts w:cstheme="minorHAnsi"/>
        </w:rPr>
        <w:t>ospital</w:t>
      </w:r>
      <w:r w:rsidRPr="00CB45C0">
        <w:rPr>
          <w:rFonts w:cstheme="minorHAnsi"/>
        </w:rPr>
        <w:t xml:space="preserve"> setting to p</w:t>
      </w:r>
      <w:r w:rsidR="00D20422" w:rsidRPr="00CB45C0">
        <w:rPr>
          <w:rFonts w:cstheme="minorHAnsi"/>
        </w:rPr>
        <w:t xml:space="preserve">rotect </w:t>
      </w:r>
      <w:r w:rsidRPr="00CB45C0">
        <w:rPr>
          <w:rFonts w:cstheme="minorHAnsi"/>
        </w:rPr>
        <w:t>staff and patients</w:t>
      </w:r>
      <w:r w:rsidR="00D32B07" w:rsidRPr="00CB45C0">
        <w:rPr>
          <w:rFonts w:cstheme="minorHAnsi"/>
        </w:rPr>
        <w:t xml:space="preserve"> while gathering important data</w:t>
      </w:r>
      <w:r w:rsidRPr="00CB45C0">
        <w:rPr>
          <w:rFonts w:cstheme="minorHAnsi"/>
        </w:rPr>
        <w:t xml:space="preserve"> is key step </w:t>
      </w:r>
      <w:r w:rsidR="007F2E34" w:rsidRPr="00CB45C0">
        <w:rPr>
          <w:rFonts w:cstheme="minorHAnsi"/>
        </w:rPr>
        <w:t>as we seek to expand</w:t>
      </w:r>
      <w:r w:rsidRPr="00CB45C0">
        <w:rPr>
          <w:rFonts w:cstheme="minorHAnsi"/>
        </w:rPr>
        <w:t xml:space="preserve"> our </w:t>
      </w:r>
      <w:r w:rsidR="00D20422" w:rsidRPr="00CB45C0">
        <w:rPr>
          <w:rFonts w:cstheme="minorHAnsi"/>
        </w:rPr>
        <w:t>business into the</w:t>
      </w:r>
      <w:r w:rsidR="007F2E34" w:rsidRPr="00CB45C0">
        <w:rPr>
          <w:rFonts w:cstheme="minorHAnsi"/>
        </w:rPr>
        <w:t xml:space="preserve"> North American</w:t>
      </w:r>
      <w:r w:rsidR="00D20422" w:rsidRPr="00CB45C0">
        <w:rPr>
          <w:rFonts w:cstheme="minorHAnsi"/>
        </w:rPr>
        <w:t xml:space="preserve"> healthcare</w:t>
      </w:r>
      <w:r w:rsidR="007F2E34" w:rsidRPr="00CB45C0">
        <w:rPr>
          <w:rFonts w:cstheme="minorHAnsi"/>
        </w:rPr>
        <w:t xml:space="preserve"> sector</w:t>
      </w:r>
      <w:r w:rsidRPr="00CB45C0">
        <w:rPr>
          <w:rFonts w:cstheme="minorHAnsi"/>
        </w:rPr>
        <w:t xml:space="preserve">,” </w:t>
      </w:r>
      <w:r w:rsidRPr="00CB45C0">
        <w:rPr>
          <w:rFonts w:eastAsia="Times New Roman" w:cstheme="minorHAnsi"/>
        </w:rPr>
        <w:t>said Dr. Rahul Kushwah, Interim Chief Executive Officer of Predictmedix.</w:t>
      </w:r>
      <w:r w:rsidR="00640461" w:rsidRPr="00CB45C0">
        <w:rPr>
          <w:rFonts w:eastAsia="Times New Roman" w:cstheme="minorHAnsi"/>
        </w:rPr>
        <w:t xml:space="preserve"> “The data and results from the study will be crucial for our application as a </w:t>
      </w:r>
      <w:r w:rsidR="007F2E34" w:rsidRPr="00CB45C0">
        <w:rPr>
          <w:rFonts w:eastAsia="Times New Roman" w:cstheme="minorHAnsi"/>
        </w:rPr>
        <w:t>C</w:t>
      </w:r>
      <w:r w:rsidR="00256588" w:rsidRPr="00CB45C0">
        <w:rPr>
          <w:rFonts w:eastAsia="Times New Roman" w:cstheme="minorHAnsi"/>
        </w:rPr>
        <w:t xml:space="preserve">lass II </w:t>
      </w:r>
      <w:r w:rsidR="007F2E34" w:rsidRPr="00CB45C0">
        <w:rPr>
          <w:rFonts w:eastAsia="Times New Roman" w:cstheme="minorHAnsi"/>
        </w:rPr>
        <w:t>M</w:t>
      </w:r>
      <w:r w:rsidR="00256588" w:rsidRPr="00CB45C0">
        <w:rPr>
          <w:rFonts w:eastAsia="Times New Roman" w:cstheme="minorHAnsi"/>
        </w:rPr>
        <w:t xml:space="preserve">edical </w:t>
      </w:r>
      <w:r w:rsidR="007F2E34" w:rsidRPr="00CB45C0">
        <w:rPr>
          <w:rFonts w:eastAsia="Times New Roman" w:cstheme="minorHAnsi"/>
        </w:rPr>
        <w:t>D</w:t>
      </w:r>
      <w:r w:rsidR="00256588" w:rsidRPr="00CB45C0">
        <w:rPr>
          <w:rFonts w:eastAsia="Times New Roman" w:cstheme="minorHAnsi"/>
        </w:rPr>
        <w:t>evice and can additionally be used to fine-tune our AI algorithms</w:t>
      </w:r>
      <w:r w:rsidR="007F2E34" w:rsidRPr="00CB45C0">
        <w:rPr>
          <w:rFonts w:eastAsia="Times New Roman" w:cstheme="minorHAnsi"/>
        </w:rPr>
        <w:t>, further improving efficacy.</w:t>
      </w:r>
    </w:p>
    <w:p w14:paraId="177EE066" w14:textId="329DF231" w:rsidR="00D20422" w:rsidRPr="00CB45C0" w:rsidRDefault="00387747" w:rsidP="001D38B6">
      <w:pPr>
        <w:spacing w:before="100" w:beforeAutospacing="1" w:after="100" w:afterAutospacing="1" w:line="240" w:lineRule="auto"/>
        <w:jc w:val="both"/>
        <w:rPr>
          <w:rFonts w:cstheme="minorHAnsi"/>
        </w:rPr>
      </w:pPr>
      <w:r w:rsidRPr="00CB45C0">
        <w:rPr>
          <w:rFonts w:eastAsia="Times New Roman" w:cstheme="minorHAnsi"/>
        </w:rPr>
        <w:t>“</w:t>
      </w:r>
      <w:r w:rsidR="00640461" w:rsidRPr="00CB45C0">
        <w:rPr>
          <w:rFonts w:eastAsia="Times New Roman" w:cstheme="minorHAnsi"/>
        </w:rPr>
        <w:t xml:space="preserve">With </w:t>
      </w:r>
      <w:r w:rsidR="007F2E34" w:rsidRPr="00CB45C0">
        <w:rPr>
          <w:rFonts w:eastAsia="Times New Roman" w:cstheme="minorHAnsi"/>
        </w:rPr>
        <w:t xml:space="preserve">the already </w:t>
      </w:r>
      <w:r w:rsidR="00640461" w:rsidRPr="00CB45C0">
        <w:rPr>
          <w:rFonts w:eastAsia="Times New Roman" w:cstheme="minorHAnsi"/>
        </w:rPr>
        <w:t xml:space="preserve">strong results from our previous </w:t>
      </w:r>
      <w:r w:rsidR="0038586F" w:rsidRPr="00CB45C0">
        <w:rPr>
          <w:rFonts w:eastAsia="Times New Roman" w:cstheme="minorHAnsi"/>
        </w:rPr>
        <w:t>work,</w:t>
      </w:r>
      <w:r w:rsidR="00640461" w:rsidRPr="00CB45C0">
        <w:rPr>
          <w:rFonts w:eastAsia="Times New Roman" w:cstheme="minorHAnsi"/>
        </w:rPr>
        <w:t xml:space="preserve"> we are confiden</w:t>
      </w:r>
      <w:r w:rsidR="00256588" w:rsidRPr="00CB45C0">
        <w:rPr>
          <w:rFonts w:eastAsia="Times New Roman" w:cstheme="minorHAnsi"/>
        </w:rPr>
        <w:t xml:space="preserve">t this study will further </w:t>
      </w:r>
      <w:r w:rsidR="00923657" w:rsidRPr="00CB45C0">
        <w:rPr>
          <w:rFonts w:eastAsia="Times New Roman" w:cstheme="minorHAnsi"/>
        </w:rPr>
        <w:t>validate</w:t>
      </w:r>
      <w:r w:rsidR="00256588" w:rsidRPr="00CB45C0">
        <w:rPr>
          <w:rFonts w:eastAsia="Times New Roman" w:cstheme="minorHAnsi"/>
        </w:rPr>
        <w:t xml:space="preserve"> the abilit</w:t>
      </w:r>
      <w:r w:rsidR="007F2E34" w:rsidRPr="00CB45C0">
        <w:rPr>
          <w:rFonts w:eastAsia="Times New Roman" w:cstheme="minorHAnsi"/>
        </w:rPr>
        <w:t>ies</w:t>
      </w:r>
      <w:r w:rsidR="00256588" w:rsidRPr="00CB45C0">
        <w:rPr>
          <w:rFonts w:eastAsia="Times New Roman" w:cstheme="minorHAnsi"/>
        </w:rPr>
        <w:t xml:space="preserve"> of our technology in detecting </w:t>
      </w:r>
      <w:r w:rsidR="0038586F" w:rsidRPr="00CB45C0">
        <w:rPr>
          <w:rFonts w:eastAsia="Times New Roman" w:cstheme="minorHAnsi"/>
        </w:rPr>
        <w:t>symptoms of infectious disease</w:t>
      </w:r>
      <w:r w:rsidR="00D32B07" w:rsidRPr="00CB45C0">
        <w:rPr>
          <w:rFonts w:eastAsia="Times New Roman" w:cstheme="minorHAnsi"/>
        </w:rPr>
        <w:t>s</w:t>
      </w:r>
      <w:r w:rsidR="00256588" w:rsidRPr="00CB45C0">
        <w:rPr>
          <w:rFonts w:eastAsia="Times New Roman" w:cstheme="minorHAnsi"/>
        </w:rPr>
        <w:t xml:space="preserve"> </w:t>
      </w:r>
      <w:r w:rsidR="007F2E34" w:rsidRPr="00CB45C0">
        <w:rPr>
          <w:rFonts w:eastAsia="Times New Roman" w:cstheme="minorHAnsi"/>
        </w:rPr>
        <w:t>– moving us closer</w:t>
      </w:r>
      <w:r w:rsidR="00256588" w:rsidRPr="00CB45C0">
        <w:rPr>
          <w:rFonts w:eastAsia="Times New Roman" w:cstheme="minorHAnsi"/>
        </w:rPr>
        <w:t xml:space="preserve"> </w:t>
      </w:r>
      <w:r w:rsidR="007F2E34" w:rsidRPr="00CB45C0">
        <w:rPr>
          <w:rFonts w:eastAsia="Times New Roman" w:cstheme="minorHAnsi"/>
        </w:rPr>
        <w:t>to</w:t>
      </w:r>
      <w:r w:rsidR="00256588" w:rsidRPr="00CB45C0">
        <w:rPr>
          <w:rFonts w:eastAsia="Times New Roman" w:cstheme="minorHAnsi"/>
        </w:rPr>
        <w:t xml:space="preserve"> commercialization</w:t>
      </w:r>
      <w:r w:rsidR="007F2E34" w:rsidRPr="00CB45C0">
        <w:rPr>
          <w:rFonts w:eastAsia="Times New Roman" w:cstheme="minorHAnsi"/>
        </w:rPr>
        <w:t xml:space="preserve"> of this highly promising application </w:t>
      </w:r>
      <w:r w:rsidR="0038586F" w:rsidRPr="00CB45C0">
        <w:rPr>
          <w:rFonts w:eastAsia="Times New Roman" w:cstheme="minorHAnsi"/>
        </w:rPr>
        <w:t>as a medical device</w:t>
      </w:r>
      <w:r w:rsidR="007F2E34" w:rsidRPr="00CB45C0">
        <w:rPr>
          <w:rFonts w:eastAsia="Times New Roman" w:cstheme="minorHAnsi"/>
        </w:rPr>
        <w:t>.</w:t>
      </w:r>
      <w:r w:rsidR="00256588" w:rsidRPr="00CB45C0">
        <w:rPr>
          <w:rFonts w:eastAsia="Times New Roman" w:cstheme="minorHAnsi"/>
        </w:rPr>
        <w:t xml:space="preserve"> We look forward to providing</w:t>
      </w:r>
      <w:r w:rsidR="00923657" w:rsidRPr="00CB45C0">
        <w:rPr>
          <w:rFonts w:eastAsia="Times New Roman" w:cstheme="minorHAnsi"/>
        </w:rPr>
        <w:t xml:space="preserve"> additional</w:t>
      </w:r>
      <w:r w:rsidR="00256588" w:rsidRPr="00CB45C0">
        <w:rPr>
          <w:rFonts w:eastAsia="Times New Roman" w:cstheme="minorHAnsi"/>
        </w:rPr>
        <w:t xml:space="preserve"> updates </w:t>
      </w:r>
      <w:r w:rsidR="00D32B07" w:rsidRPr="00CB45C0">
        <w:rPr>
          <w:rFonts w:eastAsia="Times New Roman" w:cstheme="minorHAnsi"/>
        </w:rPr>
        <w:t>as we</w:t>
      </w:r>
      <w:r w:rsidR="00256588" w:rsidRPr="00CB45C0">
        <w:rPr>
          <w:rFonts w:eastAsia="Times New Roman" w:cstheme="minorHAnsi"/>
        </w:rPr>
        <w:t xml:space="preserve"> work to</w:t>
      </w:r>
      <w:r w:rsidR="00923657" w:rsidRPr="00CB45C0">
        <w:rPr>
          <w:rFonts w:eastAsia="Times New Roman" w:cstheme="minorHAnsi"/>
        </w:rPr>
        <w:t xml:space="preserve"> </w:t>
      </w:r>
      <w:r w:rsidR="00256588" w:rsidRPr="00CB45C0">
        <w:rPr>
          <w:rFonts w:eastAsia="Times New Roman" w:cstheme="minorHAnsi"/>
        </w:rPr>
        <w:t>expand upon our existing markets across North America, India and beyond</w:t>
      </w:r>
      <w:r w:rsidRPr="00CB45C0">
        <w:rPr>
          <w:rFonts w:eastAsia="Times New Roman" w:cstheme="minorHAnsi"/>
        </w:rPr>
        <w:t xml:space="preserve">,” concluded Kushwah. </w:t>
      </w:r>
    </w:p>
    <w:p w14:paraId="471D6A24" w14:textId="77777777" w:rsidR="00637BB6" w:rsidRPr="00CB45C0" w:rsidRDefault="00637BB6" w:rsidP="00637BB6">
      <w:pPr>
        <w:spacing w:before="100" w:beforeAutospacing="1" w:after="100" w:afterAutospacing="1" w:line="240" w:lineRule="auto"/>
        <w:jc w:val="both"/>
        <w:rPr>
          <w:rFonts w:eastAsia="Times New Roman" w:cstheme="minorHAnsi"/>
        </w:rPr>
      </w:pPr>
      <w:r w:rsidRPr="00CB45C0">
        <w:rPr>
          <w:rFonts w:eastAsia="Times New Roman" w:cstheme="minorHAnsi"/>
          <w:b/>
          <w:bCs/>
        </w:rPr>
        <w:lastRenderedPageBreak/>
        <w:t>About Predictmedix Inc.</w:t>
      </w:r>
    </w:p>
    <w:p w14:paraId="4E7DD406" w14:textId="4ABD13E2" w:rsidR="00637BB6" w:rsidRPr="00CB45C0" w:rsidRDefault="00637BB6" w:rsidP="00637BB6">
      <w:pPr>
        <w:spacing w:before="100" w:beforeAutospacing="1" w:after="100" w:afterAutospacing="1" w:line="240" w:lineRule="auto"/>
        <w:jc w:val="both"/>
        <w:rPr>
          <w:rFonts w:eastAsia="Times New Roman" w:cstheme="minorHAnsi"/>
        </w:rPr>
      </w:pPr>
      <w:r w:rsidRPr="00CB45C0">
        <w:rPr>
          <w:rFonts w:eastAsia="Times New Roman" w:cstheme="minorHAnsi"/>
        </w:rPr>
        <w:t xml:space="preserve">Predictmedix (CSE: PMED) (OTCQB: PMEDF) </w:t>
      </w:r>
      <w:r w:rsidR="00CB45C0" w:rsidRPr="00CB45C0">
        <w:rPr>
          <w:rFonts w:eastAsia="Times New Roman" w:cstheme="minorHAnsi"/>
        </w:rPr>
        <w:t>is an emerging</w:t>
      </w:r>
      <w:r w:rsidRPr="00CB45C0">
        <w:rPr>
          <w:rFonts w:eastAsia="Times New Roman" w:cstheme="minorHAnsi"/>
        </w:rPr>
        <w:t xml:space="preserve"> provider of rapid health screening and remote patient care solutions globally. The Company’s Safe Entry Stations – powered by a proprietary artificial intelligence (AI) – use multispectral cameras to analyze physiological data patterns and predict a variety of health issues including infectious diseases such as COVID-19, impairment by drugs or alcohol, or various mental illnesses. Predictmedix’s proprietary remote patient care platform empowers medical professionals with a suite of AI-powered tools to improve patient health outcomes. To learn more, please visit our website at </w:t>
      </w:r>
      <w:hyperlink r:id="rId4" w:history="1">
        <w:r w:rsidRPr="00CB45C0">
          <w:rPr>
            <w:rFonts w:eastAsia="Times New Roman" w:cstheme="minorHAnsi"/>
            <w:color w:val="0000FF"/>
            <w:u w:val="single"/>
          </w:rPr>
          <w:t>www.Predictmedix.com</w:t>
        </w:r>
      </w:hyperlink>
      <w:r w:rsidRPr="00CB45C0">
        <w:rPr>
          <w:rFonts w:eastAsia="Times New Roman" w:cstheme="minorHAnsi"/>
        </w:rPr>
        <w:t xml:space="preserve"> or follow us on </w:t>
      </w:r>
      <w:hyperlink r:id="rId5" w:history="1">
        <w:r w:rsidRPr="00CB45C0">
          <w:rPr>
            <w:rFonts w:eastAsia="Times New Roman" w:cstheme="minorHAnsi"/>
            <w:color w:val="0000FF"/>
            <w:u w:val="single"/>
          </w:rPr>
          <w:t>Twitter</w:t>
        </w:r>
      </w:hyperlink>
      <w:r w:rsidRPr="00CB45C0">
        <w:rPr>
          <w:rFonts w:eastAsia="Times New Roman" w:cstheme="minorHAnsi"/>
        </w:rPr>
        <w:t xml:space="preserve">, </w:t>
      </w:r>
      <w:hyperlink r:id="rId6" w:history="1">
        <w:r w:rsidRPr="00CB45C0">
          <w:rPr>
            <w:rFonts w:eastAsia="Times New Roman" w:cstheme="minorHAnsi"/>
            <w:color w:val="0000FF"/>
            <w:u w:val="single"/>
          </w:rPr>
          <w:t>Instagram</w:t>
        </w:r>
      </w:hyperlink>
      <w:r w:rsidRPr="00CB45C0">
        <w:rPr>
          <w:rFonts w:eastAsia="Times New Roman" w:cstheme="minorHAnsi"/>
        </w:rPr>
        <w:t xml:space="preserve"> or </w:t>
      </w:r>
      <w:hyperlink r:id="rId7" w:history="1">
        <w:r w:rsidRPr="00CB45C0">
          <w:rPr>
            <w:rFonts w:eastAsia="Times New Roman" w:cstheme="minorHAnsi"/>
            <w:color w:val="0000FF"/>
            <w:u w:val="single"/>
          </w:rPr>
          <w:t>LinkedIn</w:t>
        </w:r>
      </w:hyperlink>
      <w:r w:rsidRPr="00CB45C0">
        <w:rPr>
          <w:rFonts w:eastAsia="Times New Roman" w:cstheme="minorHAnsi"/>
        </w:rPr>
        <w:t>.</w:t>
      </w:r>
    </w:p>
    <w:p w14:paraId="5273AFDC" w14:textId="77777777" w:rsidR="00637BB6" w:rsidRPr="00CB45C0" w:rsidRDefault="00637BB6" w:rsidP="00637BB6">
      <w:pPr>
        <w:spacing w:before="100" w:beforeAutospacing="1" w:after="100" w:afterAutospacing="1" w:line="240" w:lineRule="auto"/>
        <w:rPr>
          <w:rFonts w:eastAsia="Times New Roman" w:cstheme="minorHAnsi"/>
        </w:rPr>
      </w:pPr>
      <w:r w:rsidRPr="00CB45C0">
        <w:rPr>
          <w:rFonts w:eastAsia="Times New Roman" w:cstheme="minorHAnsi"/>
          <w:b/>
          <w:bCs/>
        </w:rPr>
        <w:t>Investor Relations Contact</w:t>
      </w:r>
      <w:r w:rsidRPr="00CB45C0">
        <w:rPr>
          <w:rFonts w:eastAsia="Times New Roman" w:cstheme="minorHAnsi"/>
          <w:b/>
          <w:bCs/>
        </w:rPr>
        <w:br/>
      </w:r>
      <w:r w:rsidRPr="00CB45C0">
        <w:rPr>
          <w:rFonts w:eastAsia="Times New Roman" w:cstheme="minorHAnsi"/>
        </w:rPr>
        <w:t>Lucas A. Zimmerman</w:t>
      </w:r>
      <w:r w:rsidRPr="00CB45C0">
        <w:rPr>
          <w:rFonts w:eastAsia="Times New Roman" w:cstheme="minorHAnsi"/>
        </w:rPr>
        <w:br/>
        <w:t>MZ Group – MZ North America</w:t>
      </w:r>
      <w:r w:rsidRPr="00CB45C0">
        <w:rPr>
          <w:rFonts w:eastAsia="Times New Roman" w:cstheme="minorHAnsi"/>
        </w:rPr>
        <w:br/>
        <w:t>949-259-4987</w:t>
      </w:r>
      <w:r w:rsidRPr="00CB45C0">
        <w:rPr>
          <w:rFonts w:eastAsia="Times New Roman" w:cstheme="minorHAnsi"/>
        </w:rPr>
        <w:br/>
      </w:r>
      <w:hyperlink r:id="rId8" w:history="1">
        <w:r w:rsidRPr="00CB45C0">
          <w:rPr>
            <w:rFonts w:eastAsia="Times New Roman" w:cstheme="minorHAnsi"/>
            <w:color w:val="0000FF"/>
            <w:u w:val="single"/>
          </w:rPr>
          <w:t>PMEDF@mzgroup.us</w:t>
        </w:r>
      </w:hyperlink>
      <w:r w:rsidRPr="00CB45C0">
        <w:rPr>
          <w:rFonts w:eastAsia="Times New Roman" w:cstheme="minorHAnsi"/>
        </w:rPr>
        <w:br/>
      </w:r>
      <w:hyperlink r:id="rId9" w:history="1">
        <w:r w:rsidRPr="00CB45C0">
          <w:rPr>
            <w:rFonts w:eastAsia="Times New Roman" w:cstheme="minorHAnsi"/>
            <w:color w:val="0000FF"/>
            <w:u w:val="single"/>
          </w:rPr>
          <w:t>www.mzgroup.us</w:t>
        </w:r>
      </w:hyperlink>
    </w:p>
    <w:p w14:paraId="3B2E5F5E" w14:textId="77777777" w:rsidR="00637BB6" w:rsidRPr="00637BB6" w:rsidRDefault="00637BB6" w:rsidP="00637BB6">
      <w:pPr>
        <w:spacing w:before="100" w:beforeAutospacing="1" w:after="100" w:afterAutospacing="1" w:line="240" w:lineRule="auto"/>
        <w:jc w:val="both"/>
        <w:rPr>
          <w:rFonts w:eastAsia="Times New Roman" w:cstheme="minorHAnsi"/>
        </w:rPr>
      </w:pPr>
      <w:r w:rsidRPr="00637BB6">
        <w:rPr>
          <w:rFonts w:eastAsia="Times New Roman" w:cstheme="minorHAnsi"/>
          <w:b/>
          <w:bCs/>
        </w:rPr>
        <w:t>Caution Regarding Forward-Looking Information:</w:t>
      </w:r>
    </w:p>
    <w:p w14:paraId="7D0D67D2" w14:textId="77777777" w:rsidR="00637BB6" w:rsidRPr="00637BB6" w:rsidRDefault="00637BB6" w:rsidP="00637BB6">
      <w:pPr>
        <w:spacing w:before="100" w:beforeAutospacing="1" w:after="100" w:afterAutospacing="1" w:line="240" w:lineRule="auto"/>
        <w:jc w:val="both"/>
        <w:rPr>
          <w:rFonts w:eastAsia="Times New Roman" w:cstheme="minorHAnsi"/>
        </w:rPr>
      </w:pPr>
      <w:r w:rsidRPr="00637BB6">
        <w:rPr>
          <w:rFonts w:eastAsia="Times New Roman" w:cstheme="minorHAnsi"/>
        </w:rPr>
        <w:t>THE CANADIAN SECURITIES EXCHANGE HAS NOT REVIEWED NOR DOES IT ACCEPT RESPONSIBILITY FOR THE ADEQUACY OR ACCURACY OF THIS RELEASE.</w:t>
      </w:r>
    </w:p>
    <w:p w14:paraId="0654D8DB" w14:textId="77777777" w:rsidR="00637BB6" w:rsidRPr="00637BB6" w:rsidRDefault="00637BB6" w:rsidP="00637BB6">
      <w:pPr>
        <w:spacing w:before="100" w:beforeAutospacing="1" w:after="100" w:afterAutospacing="1" w:line="240" w:lineRule="auto"/>
        <w:jc w:val="both"/>
        <w:rPr>
          <w:rFonts w:eastAsia="Times New Roman" w:cstheme="minorHAnsi"/>
        </w:rPr>
      </w:pPr>
      <w:r w:rsidRPr="00637BB6">
        <w:rPr>
          <w:rFonts w:eastAsia="Times New Roman" w:cstheme="minorHAnsi"/>
        </w:rPr>
        <w:t xml:space="preserve">This news release may contain forward-looking statements and information based on current expectations. These statements should not be read as guarantees of future performance or results of the Company. Such statements involve known and unknown risks, uncertainties and other factors that may cause actual results, </w:t>
      </w:r>
      <w:proofErr w:type="gramStart"/>
      <w:r w:rsidRPr="00637BB6">
        <w:rPr>
          <w:rFonts w:eastAsia="Times New Roman" w:cstheme="minorHAnsi"/>
        </w:rPr>
        <w:t>performance</w:t>
      </w:r>
      <w:proofErr w:type="gramEnd"/>
      <w:r w:rsidRPr="00637BB6">
        <w:rPr>
          <w:rFonts w:eastAsia="Times New Roman" w:cstheme="minorHAnsi"/>
        </w:rPr>
        <w:t xml:space="preserve"> or achievements to be materially different from those implied by such statements. Although such statements are based on management’s reasonable assumptions, there can be no assurance that such assumptions will prove to be correct. We assume no responsibility to update or revise them to reflect new events or circumstances. The Company’s securities have not been registered under the U.S. Securities Act of 1933, as amended (the “U.S. Securities Act”), or applicable state securities laws, and may not be offered or sold to, or for the account or benefit of, persons in the United States or “U.S. Persons”, as such term is defined in Regulations under the U.S. Securities Act, absent </w:t>
      </w:r>
      <w:proofErr w:type="gramStart"/>
      <w:r w:rsidRPr="00637BB6">
        <w:rPr>
          <w:rFonts w:eastAsia="Times New Roman" w:cstheme="minorHAnsi"/>
        </w:rPr>
        <w:t>registration</w:t>
      </w:r>
      <w:proofErr w:type="gramEnd"/>
      <w:r w:rsidRPr="00637BB6">
        <w:rPr>
          <w:rFonts w:eastAsia="Times New Roman" w:cstheme="minorHAnsi"/>
        </w:rPr>
        <w:t xml:space="preserve"> or an applicable exemption from such registration requirements. This press release shall not constitute an offer to sell or the solicitation of an offer to buy nor shall there be any sale of the securities in the United States or any jurisdiction in which such offer, solicitation or sale would be unlawful. Additionally, there are known and unknown risk factors which could cause the Company’s actual results, performance or achievements to be materially different from any future results, performance or achievements expressed or implied by the forward-looking information contained herein, such as, but not limited to dependence on obtaining regulatory approvals; the ability to obtain intellectual property rights related to its technology; limited operating history; general business, economic, competitive, political, regulatory and social uncertainties, and in particular, uncertainties related to COVID-19; risks related to factors beyond the control of the Company, including risks related to COVID-19; risks related to the Company’s shares, including price volatility due to events that may or may not be within such party’s control; reliance on management; and the emergency of additional competitors in the industry.</w:t>
      </w:r>
    </w:p>
    <w:p w14:paraId="000FFCE4" w14:textId="77777777" w:rsidR="00637BB6" w:rsidRPr="00637BB6" w:rsidRDefault="00637BB6" w:rsidP="00637BB6">
      <w:pPr>
        <w:spacing w:before="100" w:beforeAutospacing="1" w:after="100" w:afterAutospacing="1" w:line="240" w:lineRule="auto"/>
        <w:jc w:val="both"/>
        <w:rPr>
          <w:rFonts w:eastAsia="Times New Roman" w:cstheme="minorHAnsi"/>
        </w:rPr>
      </w:pPr>
      <w:r w:rsidRPr="00637BB6">
        <w:rPr>
          <w:rFonts w:eastAsia="Times New Roman" w:cstheme="minorHAnsi"/>
        </w:rPr>
        <w:t xml:space="preserve">All forward-looking information herein is qualified in its entirety by this cautionary statement, and the Company disclaims any obligation to revise or update any such forward-looking information or to publicly </w:t>
      </w:r>
      <w:r w:rsidRPr="00637BB6">
        <w:rPr>
          <w:rFonts w:eastAsia="Times New Roman" w:cstheme="minorHAnsi"/>
        </w:rPr>
        <w:lastRenderedPageBreak/>
        <w:t xml:space="preserve">announce the result of any revisions to any of the forward-looking information contained herein to reflect future results, </w:t>
      </w:r>
      <w:proofErr w:type="gramStart"/>
      <w:r w:rsidRPr="00637BB6">
        <w:rPr>
          <w:rFonts w:eastAsia="Times New Roman" w:cstheme="minorHAnsi"/>
        </w:rPr>
        <w:t>events</w:t>
      </w:r>
      <w:proofErr w:type="gramEnd"/>
      <w:r w:rsidRPr="00637BB6">
        <w:rPr>
          <w:rFonts w:eastAsia="Times New Roman" w:cstheme="minorHAnsi"/>
        </w:rPr>
        <w:t xml:space="preserve"> or developments, except required by law.</w:t>
      </w:r>
    </w:p>
    <w:p w14:paraId="00655434" w14:textId="77777777" w:rsidR="00637BB6" w:rsidRPr="00637BB6" w:rsidRDefault="00637BB6" w:rsidP="00637BB6">
      <w:pPr>
        <w:spacing w:before="100" w:beforeAutospacing="1" w:after="100" w:afterAutospacing="1" w:line="240" w:lineRule="auto"/>
        <w:jc w:val="both"/>
        <w:rPr>
          <w:rFonts w:eastAsia="Times New Roman" w:cstheme="minorHAnsi"/>
        </w:rPr>
      </w:pPr>
      <w:r w:rsidRPr="00637BB6">
        <w:rPr>
          <w:rFonts w:eastAsia="Times New Roman" w:cstheme="minorHAnsi"/>
        </w:rPr>
        <w:t>Disclaimer: “The Company is not making any express or implied claims that its product has the ability to diagnose, eliminate, cure or contain the COVID-19 (or SARS-2 Coronavirus) at this time.”</w:t>
      </w:r>
    </w:p>
    <w:p w14:paraId="4C71C5DB" w14:textId="77777777" w:rsidR="00637BB6" w:rsidRPr="00637BB6" w:rsidRDefault="00637BB6" w:rsidP="00637BB6">
      <w:pPr>
        <w:jc w:val="both"/>
        <w:rPr>
          <w:rFonts w:cstheme="minorHAnsi"/>
          <w:sz w:val="20"/>
          <w:szCs w:val="20"/>
        </w:rPr>
      </w:pPr>
    </w:p>
    <w:sectPr w:rsidR="00637BB6" w:rsidRPr="00637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B6"/>
    <w:rsid w:val="000B435A"/>
    <w:rsid w:val="001406BB"/>
    <w:rsid w:val="00141868"/>
    <w:rsid w:val="001D38B6"/>
    <w:rsid w:val="00231899"/>
    <w:rsid w:val="00256588"/>
    <w:rsid w:val="002C3F5D"/>
    <w:rsid w:val="002F01A5"/>
    <w:rsid w:val="0038586F"/>
    <w:rsid w:val="0038762F"/>
    <w:rsid w:val="00387747"/>
    <w:rsid w:val="004017CD"/>
    <w:rsid w:val="004A3D73"/>
    <w:rsid w:val="004D30D1"/>
    <w:rsid w:val="00523151"/>
    <w:rsid w:val="00637BB6"/>
    <w:rsid w:val="00640461"/>
    <w:rsid w:val="0068100F"/>
    <w:rsid w:val="006F2A70"/>
    <w:rsid w:val="007313B6"/>
    <w:rsid w:val="00782699"/>
    <w:rsid w:val="007F2E34"/>
    <w:rsid w:val="00887213"/>
    <w:rsid w:val="0090436A"/>
    <w:rsid w:val="00923657"/>
    <w:rsid w:val="009644C1"/>
    <w:rsid w:val="0099773A"/>
    <w:rsid w:val="00A54432"/>
    <w:rsid w:val="00B10DC2"/>
    <w:rsid w:val="00B34AA4"/>
    <w:rsid w:val="00B56566"/>
    <w:rsid w:val="00BC2EE6"/>
    <w:rsid w:val="00BE2D7D"/>
    <w:rsid w:val="00C71B2D"/>
    <w:rsid w:val="00CB45C0"/>
    <w:rsid w:val="00D20422"/>
    <w:rsid w:val="00D32B07"/>
    <w:rsid w:val="00DF2439"/>
    <w:rsid w:val="00E4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A88A"/>
  <w15:chartTrackingRefBased/>
  <w15:docId w15:val="{248F1ADB-22DB-4DB7-BF04-BA840CA7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37B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7B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B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7B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7B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BB6"/>
    <w:rPr>
      <w:b/>
      <w:bCs/>
    </w:rPr>
  </w:style>
  <w:style w:type="character" w:styleId="Hyperlink">
    <w:name w:val="Hyperlink"/>
    <w:basedOn w:val="DefaultParagraphFont"/>
    <w:uiPriority w:val="99"/>
    <w:semiHidden/>
    <w:unhideWhenUsed/>
    <w:rsid w:val="00637BB6"/>
    <w:rPr>
      <w:color w:val="0000FF"/>
      <w:u w:val="single"/>
    </w:rPr>
  </w:style>
  <w:style w:type="character" w:customStyle="1" w:styleId="media">
    <w:name w:val="media"/>
    <w:basedOn w:val="DefaultParagraphFont"/>
    <w:rsid w:val="00637BB6"/>
  </w:style>
  <w:style w:type="character" w:customStyle="1" w:styleId="sr-only">
    <w:name w:val="sr-only"/>
    <w:basedOn w:val="DefaultParagraphFont"/>
    <w:rsid w:val="00637BB6"/>
  </w:style>
  <w:style w:type="table" w:styleId="TableGrid">
    <w:name w:val="Table Grid"/>
    <w:basedOn w:val="TableNormal"/>
    <w:uiPriority w:val="39"/>
    <w:rsid w:val="002F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586F"/>
    <w:pPr>
      <w:spacing w:after="0" w:line="240" w:lineRule="auto"/>
    </w:pPr>
  </w:style>
  <w:style w:type="character" w:styleId="CommentReference">
    <w:name w:val="annotation reference"/>
    <w:basedOn w:val="DefaultParagraphFont"/>
    <w:uiPriority w:val="99"/>
    <w:semiHidden/>
    <w:unhideWhenUsed/>
    <w:rsid w:val="00CB45C0"/>
    <w:rPr>
      <w:sz w:val="16"/>
      <w:szCs w:val="16"/>
    </w:rPr>
  </w:style>
  <w:style w:type="paragraph" w:styleId="CommentText">
    <w:name w:val="annotation text"/>
    <w:basedOn w:val="Normal"/>
    <w:link w:val="CommentTextChar"/>
    <w:uiPriority w:val="99"/>
    <w:unhideWhenUsed/>
    <w:rsid w:val="00CB45C0"/>
    <w:pPr>
      <w:spacing w:line="240" w:lineRule="auto"/>
    </w:pPr>
    <w:rPr>
      <w:sz w:val="20"/>
      <w:szCs w:val="20"/>
    </w:rPr>
  </w:style>
  <w:style w:type="character" w:customStyle="1" w:styleId="CommentTextChar">
    <w:name w:val="Comment Text Char"/>
    <w:basedOn w:val="DefaultParagraphFont"/>
    <w:link w:val="CommentText"/>
    <w:uiPriority w:val="99"/>
    <w:rsid w:val="00CB45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1658">
      <w:bodyDiv w:val="1"/>
      <w:marLeft w:val="0"/>
      <w:marRight w:val="0"/>
      <w:marTop w:val="0"/>
      <w:marBottom w:val="0"/>
      <w:divBdr>
        <w:top w:val="none" w:sz="0" w:space="0" w:color="auto"/>
        <w:left w:val="none" w:sz="0" w:space="0" w:color="auto"/>
        <w:bottom w:val="none" w:sz="0" w:space="0" w:color="auto"/>
        <w:right w:val="none" w:sz="0" w:space="0" w:color="auto"/>
      </w:divBdr>
    </w:div>
    <w:div w:id="1092817877">
      <w:bodyDiv w:val="1"/>
      <w:marLeft w:val="0"/>
      <w:marRight w:val="0"/>
      <w:marTop w:val="0"/>
      <w:marBottom w:val="0"/>
      <w:divBdr>
        <w:top w:val="none" w:sz="0" w:space="0" w:color="auto"/>
        <w:left w:val="none" w:sz="0" w:space="0" w:color="auto"/>
        <w:bottom w:val="none" w:sz="0" w:space="0" w:color="auto"/>
        <w:right w:val="none" w:sz="0" w:space="0" w:color="auto"/>
      </w:divBdr>
      <w:divsChild>
        <w:div w:id="806702730">
          <w:marLeft w:val="0"/>
          <w:marRight w:val="0"/>
          <w:marTop w:val="0"/>
          <w:marBottom w:val="0"/>
          <w:divBdr>
            <w:top w:val="none" w:sz="0" w:space="0" w:color="auto"/>
            <w:left w:val="none" w:sz="0" w:space="0" w:color="auto"/>
            <w:bottom w:val="none" w:sz="0" w:space="0" w:color="auto"/>
            <w:right w:val="none" w:sz="0" w:space="0" w:color="auto"/>
          </w:divBdr>
          <w:divsChild>
            <w:div w:id="1081099540">
              <w:marLeft w:val="0"/>
              <w:marRight w:val="0"/>
              <w:marTop w:val="0"/>
              <w:marBottom w:val="0"/>
              <w:divBdr>
                <w:top w:val="none" w:sz="0" w:space="0" w:color="auto"/>
                <w:left w:val="none" w:sz="0" w:space="0" w:color="auto"/>
                <w:bottom w:val="none" w:sz="0" w:space="0" w:color="auto"/>
                <w:right w:val="none" w:sz="0" w:space="0" w:color="auto"/>
              </w:divBdr>
            </w:div>
          </w:divsChild>
        </w:div>
        <w:div w:id="478230460">
          <w:marLeft w:val="0"/>
          <w:marRight w:val="0"/>
          <w:marTop w:val="0"/>
          <w:marBottom w:val="0"/>
          <w:divBdr>
            <w:top w:val="none" w:sz="0" w:space="0" w:color="auto"/>
            <w:left w:val="none" w:sz="0" w:space="0" w:color="auto"/>
            <w:bottom w:val="none" w:sz="0" w:space="0" w:color="auto"/>
            <w:right w:val="none" w:sz="0" w:space="0" w:color="auto"/>
          </w:divBdr>
        </w:div>
        <w:div w:id="139882005">
          <w:marLeft w:val="0"/>
          <w:marRight w:val="0"/>
          <w:marTop w:val="0"/>
          <w:marBottom w:val="0"/>
          <w:divBdr>
            <w:top w:val="none" w:sz="0" w:space="0" w:color="auto"/>
            <w:left w:val="none" w:sz="0" w:space="0" w:color="auto"/>
            <w:bottom w:val="none" w:sz="0" w:space="0" w:color="auto"/>
            <w:right w:val="none" w:sz="0" w:space="0" w:color="auto"/>
          </w:divBdr>
          <w:divsChild>
            <w:div w:id="1672366276">
              <w:marLeft w:val="0"/>
              <w:marRight w:val="0"/>
              <w:marTop w:val="0"/>
              <w:marBottom w:val="0"/>
              <w:divBdr>
                <w:top w:val="none" w:sz="0" w:space="0" w:color="auto"/>
                <w:left w:val="none" w:sz="0" w:space="0" w:color="auto"/>
                <w:bottom w:val="none" w:sz="0" w:space="0" w:color="auto"/>
                <w:right w:val="none" w:sz="0" w:space="0" w:color="auto"/>
              </w:divBdr>
              <w:divsChild>
                <w:div w:id="1383560753">
                  <w:marLeft w:val="0"/>
                  <w:marRight w:val="0"/>
                  <w:marTop w:val="0"/>
                  <w:marBottom w:val="0"/>
                  <w:divBdr>
                    <w:top w:val="none" w:sz="0" w:space="0" w:color="auto"/>
                    <w:left w:val="none" w:sz="0" w:space="0" w:color="auto"/>
                    <w:bottom w:val="none" w:sz="0" w:space="0" w:color="auto"/>
                    <w:right w:val="none" w:sz="0" w:space="0" w:color="auto"/>
                  </w:divBdr>
                </w:div>
              </w:divsChild>
            </w:div>
            <w:div w:id="1675911031">
              <w:marLeft w:val="0"/>
              <w:marRight w:val="0"/>
              <w:marTop w:val="0"/>
              <w:marBottom w:val="0"/>
              <w:divBdr>
                <w:top w:val="none" w:sz="0" w:space="0" w:color="auto"/>
                <w:left w:val="none" w:sz="0" w:space="0" w:color="auto"/>
                <w:bottom w:val="none" w:sz="0" w:space="0" w:color="auto"/>
                <w:right w:val="none" w:sz="0" w:space="0" w:color="auto"/>
              </w:divBdr>
              <w:divsChild>
                <w:div w:id="9854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6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EDF@mzgroup.us" TargetMode="External"/><Relationship Id="rId3" Type="http://schemas.openxmlformats.org/officeDocument/2006/relationships/webSettings" Target="webSettings.xml"/><Relationship Id="rId7" Type="http://schemas.openxmlformats.org/officeDocument/2006/relationships/hyperlink" Target="https://www.linkedin.com/company/predictmedi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redictmedix/" TargetMode="External"/><Relationship Id="rId11" Type="http://schemas.openxmlformats.org/officeDocument/2006/relationships/theme" Target="theme/theme1.xml"/><Relationship Id="rId5" Type="http://schemas.openxmlformats.org/officeDocument/2006/relationships/hyperlink" Target="https://twitter.com/Predictmedix" TargetMode="External"/><Relationship Id="rId10" Type="http://schemas.openxmlformats.org/officeDocument/2006/relationships/fontTable" Target="fontTable.xml"/><Relationship Id="rId4" Type="http://schemas.openxmlformats.org/officeDocument/2006/relationships/hyperlink" Target="https://predictmedix.com" TargetMode="External"/><Relationship Id="rId9" Type="http://schemas.openxmlformats.org/officeDocument/2006/relationships/hyperlink" Target="https://nam04.safelinks.protection.outlook.com/?url=http%3A%2F%2Fwww.mzgroup.us%2F&amp;data=01%7C01%7Cmhenshaw%40mzgroup.us%7C47b036713c97485abe6b08d824050daf%7C14aaeb7b437a4302bd7b0ab1671f5062%7C0&amp;sdata=FritmGMyfp7LAvujjEbGAYS1LIa7cIAb%2F4SilRbN45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Henshaw</dc:creator>
  <cp:keywords/>
  <dc:description/>
  <cp:lastModifiedBy>Microsoft Office User</cp:lastModifiedBy>
  <cp:revision>8</cp:revision>
  <dcterms:created xsi:type="dcterms:W3CDTF">2022-01-25T19:31:00Z</dcterms:created>
  <dcterms:modified xsi:type="dcterms:W3CDTF">2022-01-25T20:26:00Z</dcterms:modified>
</cp:coreProperties>
</file>