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D3DB66" w14:textId="77777777" w:rsidR="00C31CAB" w:rsidRDefault="00C31CAB" w:rsidP="005815D5">
      <w:pPr>
        <w:rPr>
          <w:rFonts w:ascii="Arial Narrow" w:hAnsi="Arial Narrow"/>
          <w:b/>
          <w:sz w:val="24"/>
        </w:rPr>
      </w:pPr>
      <w:r>
        <w:rPr>
          <w:rFonts w:ascii="Arial Narrow" w:hAnsi="Arial Narrow"/>
          <w:b/>
          <w:sz w:val="24"/>
        </w:rPr>
        <w:tab/>
      </w:r>
      <w:r>
        <w:rPr>
          <w:rFonts w:ascii="Arial Narrow" w:hAnsi="Arial Narrow"/>
          <w:b/>
          <w:sz w:val="24"/>
        </w:rPr>
        <w:tab/>
      </w:r>
      <w:r>
        <w:rPr>
          <w:rFonts w:ascii="Arial Narrow" w:hAnsi="Arial Narrow"/>
          <w:b/>
          <w:sz w:val="24"/>
        </w:rPr>
        <w:tab/>
      </w:r>
    </w:p>
    <w:p w14:paraId="6F94A800" w14:textId="77777777" w:rsidR="005815D5" w:rsidRDefault="005815D5" w:rsidP="005815D5">
      <w:pPr>
        <w:jc w:val="both"/>
        <w:rPr>
          <w:b/>
          <w:sz w:val="22"/>
          <w:szCs w:val="22"/>
        </w:rPr>
      </w:pPr>
    </w:p>
    <w:p w14:paraId="34FE00EF" w14:textId="77777777" w:rsidR="004C6E1A" w:rsidRPr="004C6E1A" w:rsidRDefault="004C6E1A" w:rsidP="004C6E1A">
      <w:pPr>
        <w:keepNext/>
        <w:tabs>
          <w:tab w:val="center" w:pos="4680"/>
          <w:tab w:val="left" w:pos="5130"/>
        </w:tabs>
        <w:outlineLvl w:val="0"/>
        <w:rPr>
          <w:b/>
          <w:sz w:val="22"/>
          <w:szCs w:val="22"/>
        </w:rPr>
      </w:pPr>
      <w:bookmarkStart w:id="0" w:name="_GoBack"/>
      <w:bookmarkEnd w:id="0"/>
      <w:r w:rsidRPr="004C6E1A">
        <w:rPr>
          <w:b/>
          <w:sz w:val="22"/>
          <w:szCs w:val="22"/>
        </w:rPr>
        <w:t>FOR IMMEDIATE RELEASE</w:t>
      </w:r>
    </w:p>
    <w:p w14:paraId="0F76B143" w14:textId="77777777" w:rsidR="004C6E1A" w:rsidRPr="004C6E1A" w:rsidRDefault="00F82ED0" w:rsidP="004C6E1A">
      <w:pPr>
        <w:keepNext/>
        <w:tabs>
          <w:tab w:val="center" w:pos="4680"/>
          <w:tab w:val="left" w:pos="5130"/>
        </w:tabs>
        <w:outlineLvl w:val="0"/>
        <w:rPr>
          <w:b/>
          <w:bCs/>
          <w:i/>
          <w:kern w:val="32"/>
        </w:rPr>
      </w:pPr>
      <w:r>
        <w:rPr>
          <w:b/>
          <w:bCs/>
          <w:noProof/>
          <w:kern w:val="32"/>
          <w:lang w:val="en-GB" w:eastAsia="en-GB"/>
        </w:rPr>
        <w:pict w14:anchorId="49A91E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position:absolute;margin-left:-187.1pt;margin-top:144.15pt;width:305.05pt;height:26.85pt;rotation:-90;z-index:251659264" fillcolor="navy" stroked="f">
            <v:shadow color="#868686"/>
            <v:textpath style="font-family:&quot;CitigateFrutigerLight&quot;;v-text-kern:t" trim="t" fitpath="t" string="Press Release"/>
            <w10:wrap type="square" side="largest"/>
          </v:shape>
        </w:pict>
      </w:r>
      <w:r w:rsidR="004C6E1A" w:rsidRPr="004C6E1A">
        <w:rPr>
          <w:b/>
        </w:rPr>
        <w:tab/>
      </w:r>
      <w:r w:rsidR="004C6E1A" w:rsidRPr="004C6E1A">
        <w:rPr>
          <w:b/>
          <w:bCs/>
          <w:noProof/>
          <w:kern w:val="32"/>
          <w:lang w:val="en-GB" w:eastAsia="en-GB"/>
        </w:rPr>
        <w:tab/>
      </w:r>
      <w:r w:rsidR="004C6E1A" w:rsidRPr="004C6E1A">
        <w:rPr>
          <w:b/>
          <w:bCs/>
          <w:noProof/>
          <w:kern w:val="32"/>
          <w:lang w:val="en-GB" w:eastAsia="en-GB"/>
        </w:rPr>
        <w:tab/>
      </w:r>
      <w:r w:rsidR="004C6E1A" w:rsidRPr="004C6E1A">
        <w:rPr>
          <w:b/>
          <w:bCs/>
          <w:noProof/>
          <w:kern w:val="32"/>
          <w:lang w:val="en-GB" w:eastAsia="en-GB"/>
        </w:rPr>
        <w:tab/>
      </w:r>
      <w:r w:rsidR="004C6E1A" w:rsidRPr="004C6E1A">
        <w:rPr>
          <w:b/>
          <w:bCs/>
          <w:noProof/>
          <w:kern w:val="32"/>
          <w:lang w:val="en-GB" w:eastAsia="en-GB"/>
        </w:rPr>
        <w:tab/>
      </w:r>
    </w:p>
    <w:p w14:paraId="577B020C" w14:textId="77777777" w:rsidR="004C6E1A" w:rsidRPr="004C6E1A" w:rsidRDefault="004C6E1A" w:rsidP="004C6E1A">
      <w:pPr>
        <w:jc w:val="both"/>
        <w:rPr>
          <w:b/>
          <w:sz w:val="22"/>
          <w:szCs w:val="22"/>
        </w:rPr>
      </w:pPr>
      <w:r w:rsidRPr="004C6E1A">
        <w:rPr>
          <w:b/>
          <w:sz w:val="22"/>
          <w:szCs w:val="22"/>
        </w:rPr>
        <w:t>For More Information Contact:</w:t>
      </w:r>
    </w:p>
    <w:p w14:paraId="250A74BB" w14:textId="680BCCA0" w:rsidR="004C6E1A" w:rsidRPr="004C6E1A" w:rsidRDefault="0088302F" w:rsidP="00F82ED0">
      <w:pPr>
        <w:ind w:firstLine="720"/>
        <w:jc w:val="both"/>
        <w:rPr>
          <w:sz w:val="22"/>
          <w:szCs w:val="22"/>
        </w:rPr>
      </w:pPr>
      <w:proofErr w:type="spellStart"/>
      <w:proofErr w:type="gramStart"/>
      <w:r>
        <w:rPr>
          <w:sz w:val="22"/>
          <w:szCs w:val="22"/>
        </w:rPr>
        <w:t>abrdn</w:t>
      </w:r>
      <w:proofErr w:type="spellEnd"/>
      <w:proofErr w:type="gramEnd"/>
      <w:r w:rsidR="004C6E1A" w:rsidRPr="004C6E1A">
        <w:rPr>
          <w:sz w:val="22"/>
          <w:szCs w:val="22"/>
        </w:rPr>
        <w:t xml:space="preserve"> Inc.</w:t>
      </w:r>
    </w:p>
    <w:p w14:paraId="1D2CF2C4" w14:textId="77777777" w:rsidR="004C6E1A" w:rsidRPr="004C6E1A" w:rsidRDefault="004C6E1A" w:rsidP="004C6E1A">
      <w:pPr>
        <w:ind w:firstLine="720"/>
        <w:jc w:val="both"/>
        <w:rPr>
          <w:sz w:val="22"/>
          <w:szCs w:val="22"/>
        </w:rPr>
      </w:pPr>
      <w:r w:rsidRPr="004C6E1A">
        <w:rPr>
          <w:sz w:val="22"/>
          <w:szCs w:val="22"/>
        </w:rPr>
        <w:t>Investor Relations</w:t>
      </w:r>
    </w:p>
    <w:p w14:paraId="606A11F5" w14:textId="77777777" w:rsidR="004C6E1A" w:rsidRPr="004C6E1A" w:rsidRDefault="004C6E1A" w:rsidP="004C6E1A">
      <w:pPr>
        <w:ind w:firstLine="720"/>
        <w:jc w:val="both"/>
        <w:rPr>
          <w:sz w:val="22"/>
          <w:szCs w:val="22"/>
        </w:rPr>
      </w:pPr>
      <w:r w:rsidRPr="004C6E1A">
        <w:rPr>
          <w:sz w:val="22"/>
          <w:szCs w:val="22"/>
        </w:rPr>
        <w:t>1-800-522-5465</w:t>
      </w:r>
    </w:p>
    <w:p w14:paraId="603FCC27" w14:textId="77777777" w:rsidR="005815D5" w:rsidRPr="00410CDB" w:rsidRDefault="004C6E1A" w:rsidP="00790F07">
      <w:pPr>
        <w:ind w:firstLine="720"/>
        <w:rPr>
          <w:sz w:val="22"/>
          <w:szCs w:val="22"/>
        </w:rPr>
      </w:pPr>
      <w:r w:rsidRPr="004C6E1A">
        <w:rPr>
          <w:sz w:val="22"/>
          <w:szCs w:val="22"/>
        </w:rPr>
        <w:t>Investor.Relations</w:t>
      </w:r>
      <w:r w:rsidRPr="00410CDB">
        <w:rPr>
          <w:sz w:val="22"/>
          <w:szCs w:val="22"/>
        </w:rPr>
        <w:t>@abrdn.com</w:t>
      </w:r>
    </w:p>
    <w:p w14:paraId="0A87E071" w14:textId="77777777" w:rsidR="005815D5" w:rsidRPr="00410CDB" w:rsidRDefault="005815D5" w:rsidP="005815D5">
      <w:pPr>
        <w:rPr>
          <w:sz w:val="22"/>
          <w:szCs w:val="22"/>
        </w:rPr>
      </w:pPr>
    </w:p>
    <w:p w14:paraId="19BA1496" w14:textId="77777777" w:rsidR="00410CDB" w:rsidRDefault="00410CDB" w:rsidP="00410CDB">
      <w:pPr>
        <w:jc w:val="center"/>
        <w:rPr>
          <w:b/>
          <w:sz w:val="22"/>
          <w:szCs w:val="22"/>
        </w:rPr>
      </w:pPr>
      <w:r w:rsidRPr="00410CDB">
        <w:rPr>
          <w:b/>
          <w:sz w:val="22"/>
          <w:szCs w:val="22"/>
        </w:rPr>
        <w:t xml:space="preserve">THE INDIA FUND, INC. </w:t>
      </w:r>
      <w:r w:rsidR="00193082" w:rsidRPr="00410CDB">
        <w:rPr>
          <w:b/>
          <w:sz w:val="22"/>
          <w:szCs w:val="22"/>
        </w:rPr>
        <w:t>ANNOUNCES</w:t>
      </w:r>
      <w:r w:rsidR="00D573BF" w:rsidRPr="00410CDB">
        <w:rPr>
          <w:b/>
          <w:sz w:val="22"/>
          <w:szCs w:val="22"/>
        </w:rPr>
        <w:t xml:space="preserve"> </w:t>
      </w:r>
      <w:r w:rsidR="00B6418B" w:rsidRPr="00410CDB">
        <w:rPr>
          <w:b/>
          <w:sz w:val="22"/>
          <w:szCs w:val="22"/>
        </w:rPr>
        <w:t>DISTRIBUTION</w:t>
      </w:r>
      <w:r w:rsidR="00193082" w:rsidRPr="00410CDB">
        <w:rPr>
          <w:b/>
          <w:sz w:val="22"/>
          <w:szCs w:val="22"/>
        </w:rPr>
        <w:t xml:space="preserve"> PAYMENT </w:t>
      </w:r>
    </w:p>
    <w:p w14:paraId="12B4878D" w14:textId="77777777" w:rsidR="005815D5" w:rsidRPr="00410CDB" w:rsidRDefault="00193082" w:rsidP="00410CDB">
      <w:pPr>
        <w:jc w:val="center"/>
        <w:rPr>
          <w:b/>
          <w:sz w:val="22"/>
          <w:szCs w:val="22"/>
        </w:rPr>
      </w:pPr>
      <w:r w:rsidRPr="00410CDB">
        <w:rPr>
          <w:b/>
          <w:sz w:val="22"/>
          <w:szCs w:val="22"/>
        </w:rPr>
        <w:t xml:space="preserve">AND </w:t>
      </w:r>
      <w:r w:rsidR="001F0B70">
        <w:rPr>
          <w:b/>
          <w:sz w:val="22"/>
          <w:szCs w:val="22"/>
        </w:rPr>
        <w:t xml:space="preserve">APPROVAL OF </w:t>
      </w:r>
      <w:r w:rsidR="00410CDB" w:rsidRPr="00410CDB">
        <w:rPr>
          <w:b/>
          <w:sz w:val="22"/>
          <w:szCs w:val="22"/>
        </w:rPr>
        <w:t xml:space="preserve">ELECTIVE STOCK DISTRIBUTION </w:t>
      </w:r>
      <w:r w:rsidR="0054706C">
        <w:rPr>
          <w:b/>
          <w:sz w:val="22"/>
          <w:szCs w:val="22"/>
        </w:rPr>
        <w:t>POLICY</w:t>
      </w:r>
    </w:p>
    <w:p w14:paraId="32C0E385" w14:textId="77777777" w:rsidR="005815D5" w:rsidRPr="00410CDB" w:rsidRDefault="005815D5" w:rsidP="005815D5">
      <w:pPr>
        <w:rPr>
          <w:sz w:val="22"/>
          <w:szCs w:val="22"/>
        </w:rPr>
      </w:pPr>
    </w:p>
    <w:p w14:paraId="2CE5411B" w14:textId="7BA288BB" w:rsidR="00410CDB" w:rsidRPr="00F82ED0" w:rsidRDefault="00240E5F" w:rsidP="008F53FC">
      <w:pPr>
        <w:rPr>
          <w:sz w:val="22"/>
          <w:szCs w:val="22"/>
          <w:highlight w:val="yellow"/>
        </w:rPr>
      </w:pPr>
      <w:r w:rsidRPr="00F82ED0">
        <w:rPr>
          <w:sz w:val="22"/>
          <w:szCs w:val="22"/>
        </w:rPr>
        <w:t xml:space="preserve">(Philadelphia, </w:t>
      </w:r>
      <w:r w:rsidR="00041429" w:rsidRPr="00F82ED0">
        <w:rPr>
          <w:sz w:val="22"/>
          <w:szCs w:val="22"/>
        </w:rPr>
        <w:t xml:space="preserve">March </w:t>
      </w:r>
      <w:r w:rsidR="00960B73" w:rsidRPr="00F82ED0">
        <w:rPr>
          <w:sz w:val="22"/>
          <w:szCs w:val="22"/>
        </w:rPr>
        <w:t>9</w:t>
      </w:r>
      <w:r w:rsidRPr="00F82ED0">
        <w:rPr>
          <w:sz w:val="22"/>
          <w:szCs w:val="22"/>
        </w:rPr>
        <w:t xml:space="preserve">, </w:t>
      </w:r>
      <w:r w:rsidR="00041429" w:rsidRPr="00F82ED0">
        <w:rPr>
          <w:sz w:val="22"/>
          <w:szCs w:val="22"/>
        </w:rPr>
        <w:t>2022</w:t>
      </w:r>
      <w:r w:rsidRPr="00F82ED0">
        <w:rPr>
          <w:sz w:val="22"/>
          <w:szCs w:val="22"/>
        </w:rPr>
        <w:t xml:space="preserve">) – </w:t>
      </w:r>
      <w:hyperlink r:id="rId9" w:history="1">
        <w:r w:rsidR="00410CDB" w:rsidRPr="00F82ED0">
          <w:rPr>
            <w:rStyle w:val="Hyperlink"/>
            <w:sz w:val="22"/>
            <w:szCs w:val="22"/>
          </w:rPr>
          <w:t>The India Fund, Inc. (NYSE: IFN) (the “Fund”),</w:t>
        </w:r>
      </w:hyperlink>
      <w:r w:rsidR="00410CDB" w:rsidRPr="00F82ED0">
        <w:rPr>
          <w:sz w:val="22"/>
          <w:szCs w:val="22"/>
        </w:rPr>
        <w:t xml:space="preserve"> a closed-end equity fund, announced today that it will pay a distribution of US$</w:t>
      </w:r>
      <w:r w:rsidR="00E13839">
        <w:rPr>
          <w:sz w:val="22"/>
          <w:szCs w:val="22"/>
        </w:rPr>
        <w:t>0.58</w:t>
      </w:r>
      <w:r w:rsidR="00410CDB" w:rsidRPr="00F82ED0">
        <w:rPr>
          <w:sz w:val="22"/>
          <w:szCs w:val="22"/>
        </w:rPr>
        <w:t xml:space="preserve"> per share on March 31, 2022 to all stockholders of record as of March 2</w:t>
      </w:r>
      <w:r w:rsidR="0088302F" w:rsidRPr="00F82ED0">
        <w:rPr>
          <w:sz w:val="22"/>
          <w:szCs w:val="22"/>
        </w:rPr>
        <w:t>4</w:t>
      </w:r>
      <w:r w:rsidR="00410CDB" w:rsidRPr="00F82ED0">
        <w:rPr>
          <w:sz w:val="22"/>
          <w:szCs w:val="22"/>
        </w:rPr>
        <w:t xml:space="preserve">, 2022 (ex-dividend date March </w:t>
      </w:r>
      <w:r w:rsidR="0088302F" w:rsidRPr="00F82ED0">
        <w:rPr>
          <w:sz w:val="22"/>
          <w:szCs w:val="22"/>
        </w:rPr>
        <w:t>23</w:t>
      </w:r>
      <w:r w:rsidR="00410CDB" w:rsidRPr="00F82ED0">
        <w:rPr>
          <w:sz w:val="22"/>
          <w:szCs w:val="22"/>
        </w:rPr>
        <w:t xml:space="preserve">, 2022). </w:t>
      </w:r>
    </w:p>
    <w:p w14:paraId="71FF6FD7" w14:textId="77777777" w:rsidR="00410CDB" w:rsidRPr="00F82ED0" w:rsidRDefault="00410CDB" w:rsidP="008F53FC">
      <w:pPr>
        <w:rPr>
          <w:sz w:val="22"/>
          <w:szCs w:val="22"/>
        </w:rPr>
      </w:pPr>
    </w:p>
    <w:p w14:paraId="6F726C6F" w14:textId="2564643F" w:rsidR="006E13F5" w:rsidRPr="00F82ED0" w:rsidRDefault="006E13F5" w:rsidP="006E13F5">
      <w:pPr>
        <w:rPr>
          <w:sz w:val="22"/>
          <w:szCs w:val="22"/>
        </w:rPr>
      </w:pPr>
      <w:r w:rsidRPr="00F82ED0">
        <w:rPr>
          <w:sz w:val="22"/>
          <w:szCs w:val="22"/>
        </w:rPr>
        <w:t>The Fund’s distribution policy (the “Distribution Policy”) is to pay quarterly distributions at an annual rate, set once a year, that is a percentage of the average daily NAV for the previous three months as of the month-end prior to declaration. In February 2022, the Board determined the rolling distribution rate to continue to be 10% for the 12-month period commencing with the distribution payable in March 202</w:t>
      </w:r>
      <w:r w:rsidR="00E13839">
        <w:rPr>
          <w:sz w:val="22"/>
          <w:szCs w:val="22"/>
        </w:rPr>
        <w:t>2</w:t>
      </w:r>
      <w:r w:rsidRPr="00F82ED0">
        <w:rPr>
          <w:sz w:val="22"/>
          <w:szCs w:val="22"/>
        </w:rPr>
        <w:t>. The Distribution Policy is subject to regular review by the Board. The Distribution Policy seeks to provide investors with a stable quarterly distribution out of current income, supplemented by realized capital gains and, to the extent necessary, paid-in capital.</w:t>
      </w:r>
    </w:p>
    <w:p w14:paraId="13B6DCBB" w14:textId="77777777" w:rsidR="006E13F5" w:rsidRPr="00F82ED0" w:rsidRDefault="006E13F5" w:rsidP="006E13F5">
      <w:pPr>
        <w:rPr>
          <w:sz w:val="22"/>
          <w:szCs w:val="22"/>
        </w:rPr>
      </w:pPr>
    </w:p>
    <w:p w14:paraId="693EB5E4" w14:textId="77777777" w:rsidR="001F0B70" w:rsidRPr="00F82ED0" w:rsidRDefault="001F0B70" w:rsidP="001F0B70">
      <w:pPr>
        <w:rPr>
          <w:sz w:val="22"/>
          <w:szCs w:val="22"/>
        </w:rPr>
      </w:pPr>
      <w:r w:rsidRPr="00F82ED0">
        <w:rPr>
          <w:sz w:val="22"/>
          <w:szCs w:val="22"/>
        </w:rPr>
        <w:t>The Board of Directors also approved an amendment to the Distribution Policy effective with the quarterly di</w:t>
      </w:r>
      <w:r w:rsidR="009463DF" w:rsidRPr="00F82ED0">
        <w:rPr>
          <w:sz w:val="22"/>
          <w:szCs w:val="22"/>
        </w:rPr>
        <w:t>stribution payable in June 2022.</w:t>
      </w:r>
      <w:r w:rsidRPr="00F82ED0">
        <w:rPr>
          <w:sz w:val="22"/>
          <w:szCs w:val="22"/>
        </w:rPr>
        <w:t xml:space="preserve">  Under the amended policy, distributions will be paid in newly issued shares of common stock of the Fund to all shareholders who have not otherwise elected to receive cash. </w:t>
      </w:r>
    </w:p>
    <w:p w14:paraId="25D4E25E" w14:textId="77777777" w:rsidR="001F0B70" w:rsidRPr="00F82ED0" w:rsidRDefault="001F0B70" w:rsidP="001F0B70">
      <w:pPr>
        <w:rPr>
          <w:sz w:val="22"/>
          <w:szCs w:val="22"/>
        </w:rPr>
      </w:pPr>
    </w:p>
    <w:p w14:paraId="72FCF142" w14:textId="77777777" w:rsidR="001F0B70" w:rsidRPr="00F82ED0" w:rsidRDefault="001F0B70" w:rsidP="001F0B70">
      <w:pPr>
        <w:rPr>
          <w:sz w:val="22"/>
          <w:szCs w:val="22"/>
        </w:rPr>
      </w:pPr>
      <w:r w:rsidRPr="00F82ED0">
        <w:rPr>
          <w:sz w:val="22"/>
          <w:szCs w:val="22"/>
        </w:rPr>
        <w:t xml:space="preserve">Shareholders may request to be paid their quarterly distributions in cash instead of shares of common stock by providing advance notice to the bank, brokerage or nominee who holds their shares if the shares are in “street name” or by filling out in advance an election card received from Computershare Investor Services if the shares are in registered form. To receive the quarterly distribution payable in June 2022 in cash instead of shares of common stock, the bank, brokerage or nominee who holds the shares must advise the Depository Trust Company as to their full and fractional share requirements by June 17, 2022 and written notification for the election of cash by registered shareholders must be received by Computershare Investor Services prior to June 17, 2022. </w:t>
      </w:r>
    </w:p>
    <w:p w14:paraId="6CC06B42" w14:textId="77777777" w:rsidR="001F0B70" w:rsidRPr="00F82ED0" w:rsidRDefault="001F0B70" w:rsidP="001F0B70">
      <w:pPr>
        <w:rPr>
          <w:sz w:val="22"/>
          <w:szCs w:val="22"/>
        </w:rPr>
      </w:pPr>
    </w:p>
    <w:p w14:paraId="2CDFAD9A" w14:textId="77777777" w:rsidR="001F0B70" w:rsidRPr="00F82ED0" w:rsidRDefault="001F0B70" w:rsidP="001F0B70">
      <w:pPr>
        <w:rPr>
          <w:sz w:val="22"/>
          <w:szCs w:val="22"/>
        </w:rPr>
      </w:pPr>
      <w:r w:rsidRPr="00F82ED0">
        <w:rPr>
          <w:sz w:val="22"/>
          <w:szCs w:val="22"/>
        </w:rPr>
        <w:t>Under the amended policies, shares of common stock will be issued at the lower of the net asset value (“NAV”) per share or the market price per share with a floor for the NAV of not less than 95% of the market price.</w:t>
      </w:r>
    </w:p>
    <w:p w14:paraId="1C13B2B5" w14:textId="77777777" w:rsidR="001F0B70" w:rsidRPr="00F82ED0" w:rsidRDefault="001F0B70" w:rsidP="001F0B70">
      <w:pPr>
        <w:rPr>
          <w:sz w:val="22"/>
          <w:szCs w:val="22"/>
        </w:rPr>
      </w:pPr>
    </w:p>
    <w:p w14:paraId="3ABB815A" w14:textId="0DA7C878" w:rsidR="001F0B70" w:rsidRPr="00F82ED0" w:rsidRDefault="001F0B70" w:rsidP="001F0B70">
      <w:pPr>
        <w:rPr>
          <w:sz w:val="22"/>
          <w:szCs w:val="22"/>
        </w:rPr>
      </w:pPr>
      <w:r w:rsidRPr="00F82ED0">
        <w:rPr>
          <w:sz w:val="22"/>
          <w:szCs w:val="22"/>
        </w:rPr>
        <w:t>The quarterly distribution announced today and payable in March 2022 will be paid in cash to all shareholders not enrolled in the Dividend Reinvestment Plan.</w:t>
      </w:r>
    </w:p>
    <w:p w14:paraId="465E2AFE" w14:textId="77777777" w:rsidR="001F0B70" w:rsidRPr="00F82ED0" w:rsidRDefault="001F0B70" w:rsidP="001F0B70">
      <w:pPr>
        <w:rPr>
          <w:sz w:val="22"/>
          <w:szCs w:val="22"/>
        </w:rPr>
      </w:pPr>
    </w:p>
    <w:p w14:paraId="25A42F30" w14:textId="77777777" w:rsidR="001F0B70" w:rsidRPr="00F82ED0" w:rsidRDefault="001F0B70" w:rsidP="001F0B70">
      <w:pPr>
        <w:rPr>
          <w:sz w:val="22"/>
          <w:szCs w:val="22"/>
        </w:rPr>
      </w:pPr>
      <w:r w:rsidRPr="00F82ED0">
        <w:rPr>
          <w:sz w:val="22"/>
          <w:szCs w:val="22"/>
        </w:rPr>
        <w:t>Shareholders should not draw any conclusions about a Fund’s investment performance from the terms of the Fund’s distribution policy.</w:t>
      </w:r>
    </w:p>
    <w:p w14:paraId="26B300E8" w14:textId="77777777" w:rsidR="001F0B70" w:rsidRPr="00F82ED0" w:rsidRDefault="001F0B70" w:rsidP="006E13F5">
      <w:pPr>
        <w:rPr>
          <w:sz w:val="22"/>
          <w:szCs w:val="22"/>
        </w:rPr>
      </w:pPr>
    </w:p>
    <w:p w14:paraId="3C368E29" w14:textId="77777777" w:rsidR="001F0B70" w:rsidRPr="00F82ED0" w:rsidRDefault="001F0B70" w:rsidP="006E13F5">
      <w:pPr>
        <w:rPr>
          <w:b/>
          <w:bCs/>
          <w:sz w:val="22"/>
          <w:szCs w:val="22"/>
          <w:u w:val="single"/>
        </w:rPr>
      </w:pPr>
      <w:r w:rsidRPr="00F82ED0">
        <w:rPr>
          <w:b/>
          <w:bCs/>
          <w:sz w:val="22"/>
          <w:szCs w:val="22"/>
          <w:u w:val="single"/>
        </w:rPr>
        <w:t>Distribution Payment Details</w:t>
      </w:r>
    </w:p>
    <w:p w14:paraId="13F8987C" w14:textId="77777777" w:rsidR="00193082" w:rsidRPr="00F82ED0" w:rsidRDefault="00193082" w:rsidP="008F53FC">
      <w:pPr>
        <w:rPr>
          <w:sz w:val="22"/>
          <w:szCs w:val="22"/>
        </w:rPr>
      </w:pPr>
      <w:r w:rsidRPr="00F82ED0">
        <w:rPr>
          <w:sz w:val="22"/>
          <w:szCs w:val="22"/>
        </w:rPr>
        <w:t>Under applicable U.S. tax rules, the amount and character of distributable income for each Fund’s fiscal year can be finally determined only as of the end of the Fund’s fiscal year. However, under Section 19 of the Investment Company Act of 1940, as amended (the “1940 Act”) and related rules, the Funds may be required to indicate to shareholders the estimated source of certain distributions to shareholders.</w:t>
      </w:r>
    </w:p>
    <w:p w14:paraId="42FE7B81" w14:textId="77777777" w:rsidR="00193082" w:rsidRPr="00F82ED0" w:rsidRDefault="00193082" w:rsidP="008F53FC">
      <w:pPr>
        <w:rPr>
          <w:sz w:val="22"/>
          <w:szCs w:val="22"/>
          <w:highlight w:val="yellow"/>
        </w:rPr>
      </w:pPr>
    </w:p>
    <w:p w14:paraId="37D4CF04" w14:textId="77777777" w:rsidR="00193082" w:rsidRPr="00F82ED0" w:rsidRDefault="006E13F5" w:rsidP="006E13F5">
      <w:pPr>
        <w:rPr>
          <w:sz w:val="22"/>
          <w:szCs w:val="22"/>
          <w:highlight w:val="yellow"/>
        </w:rPr>
      </w:pPr>
      <w:r w:rsidRPr="00F82ED0">
        <w:rPr>
          <w:sz w:val="22"/>
          <w:szCs w:val="22"/>
        </w:rPr>
        <w:lastRenderedPageBreak/>
        <w:t xml:space="preserve"> The following table sets forth the estimated amounts of the sources of the distribution for purposes of Section 19 of the 1940 Act and the Rules adopted thereunder. The table has been computed based on generally accepted accounting principles. The table includes estimated amounts and percentages for the distribution to be paid on March 31, 2022 as well as the estimated cumulative distributions declared fiscal year to date (01/01/2022 - 02/28/2022), from the following sources: net investment income; net realized short-term capital gains; net realized long-term capital gains; and return of capital. The estimated composition of the distributions may vary from quarter to quarter because the estimated composition may be impacted by future income, expenses and realized gains and losses on securities and currencies.</w:t>
      </w:r>
    </w:p>
    <w:p w14:paraId="7A16AD68" w14:textId="77777777" w:rsidR="00193082" w:rsidRPr="00F82ED0" w:rsidRDefault="00193082" w:rsidP="008F53FC">
      <w:pPr>
        <w:rPr>
          <w:sz w:val="22"/>
          <w:szCs w:val="22"/>
          <w:highlight w:val="yellow"/>
        </w:rPr>
      </w:pPr>
    </w:p>
    <w:tbl>
      <w:tblPr>
        <w:tblW w:w="10169" w:type="dxa"/>
        <w:jc w:val="center"/>
        <w:tblInd w:w="422" w:type="dxa"/>
        <w:tblLook w:val="04A0" w:firstRow="1" w:lastRow="0" w:firstColumn="1" w:lastColumn="0" w:noHBand="0" w:noVBand="1"/>
      </w:tblPr>
      <w:tblGrid>
        <w:gridCol w:w="730"/>
        <w:gridCol w:w="1646"/>
        <w:gridCol w:w="1080"/>
        <w:gridCol w:w="845"/>
        <w:gridCol w:w="1501"/>
        <w:gridCol w:w="945"/>
        <w:gridCol w:w="1234"/>
        <w:gridCol w:w="818"/>
        <w:gridCol w:w="1080"/>
        <w:gridCol w:w="290"/>
      </w:tblGrid>
      <w:tr w:rsidR="00191A6D" w:rsidRPr="002C455F" w14:paraId="0E3F5601" w14:textId="77777777" w:rsidTr="00F82ED0">
        <w:trPr>
          <w:trHeight w:val="315"/>
          <w:jc w:val="center"/>
        </w:trPr>
        <w:tc>
          <w:tcPr>
            <w:tcW w:w="10168"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14:paraId="0F71726C"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Estimated Amounts of Current Distribution per Share</w:t>
            </w:r>
          </w:p>
        </w:tc>
      </w:tr>
      <w:tr w:rsidR="00191A6D" w:rsidRPr="002C455F" w14:paraId="58AEAEA3" w14:textId="77777777" w:rsidTr="00F82ED0">
        <w:trPr>
          <w:trHeight w:val="855"/>
          <w:jc w:val="center"/>
        </w:trPr>
        <w:tc>
          <w:tcPr>
            <w:tcW w:w="730" w:type="dxa"/>
            <w:tcBorders>
              <w:top w:val="nil"/>
              <w:left w:val="single" w:sz="8" w:space="0" w:color="auto"/>
              <w:bottom w:val="single" w:sz="4" w:space="0" w:color="auto"/>
              <w:right w:val="nil"/>
            </w:tcBorders>
            <w:shd w:val="clear" w:color="auto" w:fill="auto"/>
            <w:vAlign w:val="center"/>
            <w:hideMark/>
          </w:tcPr>
          <w:p w14:paraId="2ED323C1"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Fund</w:t>
            </w:r>
          </w:p>
        </w:tc>
        <w:tc>
          <w:tcPr>
            <w:tcW w:w="1646" w:type="dxa"/>
            <w:tcBorders>
              <w:top w:val="nil"/>
              <w:left w:val="single" w:sz="8" w:space="0" w:color="auto"/>
              <w:bottom w:val="single" w:sz="4" w:space="0" w:color="auto"/>
              <w:right w:val="single" w:sz="8" w:space="0" w:color="auto"/>
            </w:tcBorders>
            <w:shd w:val="clear" w:color="auto" w:fill="auto"/>
            <w:vAlign w:val="center"/>
            <w:hideMark/>
          </w:tcPr>
          <w:p w14:paraId="750F7036"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Distribution Amount</w:t>
            </w:r>
          </w:p>
        </w:tc>
        <w:tc>
          <w:tcPr>
            <w:tcW w:w="1948" w:type="dxa"/>
            <w:gridSpan w:val="2"/>
            <w:tcBorders>
              <w:top w:val="nil"/>
              <w:left w:val="nil"/>
              <w:bottom w:val="single" w:sz="4" w:space="0" w:color="auto"/>
              <w:right w:val="single" w:sz="4" w:space="0" w:color="auto"/>
            </w:tcBorders>
            <w:shd w:val="clear" w:color="auto" w:fill="auto"/>
            <w:vAlign w:val="center"/>
            <w:hideMark/>
          </w:tcPr>
          <w:p w14:paraId="6C50C44C"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Investment Income</w:t>
            </w:r>
          </w:p>
        </w:tc>
        <w:tc>
          <w:tcPr>
            <w:tcW w:w="2473" w:type="dxa"/>
            <w:gridSpan w:val="2"/>
            <w:tcBorders>
              <w:top w:val="nil"/>
              <w:left w:val="nil"/>
              <w:bottom w:val="single" w:sz="4" w:space="0" w:color="auto"/>
              <w:right w:val="single" w:sz="4" w:space="0" w:color="auto"/>
            </w:tcBorders>
            <w:shd w:val="clear" w:color="auto" w:fill="auto"/>
            <w:vAlign w:val="center"/>
            <w:hideMark/>
          </w:tcPr>
          <w:p w14:paraId="71877B09"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Realized Short-Term Gains*</w:t>
            </w:r>
            <w:r>
              <w:rPr>
                <w:b/>
                <w:bCs/>
                <w:color w:val="000000"/>
                <w:sz w:val="22"/>
                <w:szCs w:val="22"/>
                <w:lang w:eastAsia="ja-JP" w:bidi="th-TH"/>
              </w:rPr>
              <w:t>*</w:t>
            </w:r>
          </w:p>
        </w:tc>
        <w:tc>
          <w:tcPr>
            <w:tcW w:w="2056" w:type="dxa"/>
            <w:gridSpan w:val="2"/>
            <w:tcBorders>
              <w:top w:val="nil"/>
              <w:left w:val="nil"/>
              <w:bottom w:val="single" w:sz="4" w:space="0" w:color="auto"/>
              <w:right w:val="single" w:sz="4" w:space="0" w:color="auto"/>
            </w:tcBorders>
            <w:shd w:val="clear" w:color="auto" w:fill="auto"/>
            <w:vAlign w:val="center"/>
            <w:hideMark/>
          </w:tcPr>
          <w:p w14:paraId="758809F8"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Realized Long-Term Gains</w:t>
            </w:r>
          </w:p>
        </w:tc>
        <w:tc>
          <w:tcPr>
            <w:tcW w:w="1315" w:type="dxa"/>
            <w:gridSpan w:val="2"/>
            <w:tcBorders>
              <w:top w:val="nil"/>
              <w:left w:val="nil"/>
              <w:bottom w:val="single" w:sz="4" w:space="0" w:color="auto"/>
              <w:right w:val="single" w:sz="8" w:space="0" w:color="auto"/>
            </w:tcBorders>
            <w:shd w:val="clear" w:color="auto" w:fill="auto"/>
            <w:vAlign w:val="center"/>
            <w:hideMark/>
          </w:tcPr>
          <w:p w14:paraId="7EF3591D"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Return of Capital</w:t>
            </w:r>
          </w:p>
        </w:tc>
      </w:tr>
      <w:tr w:rsidR="00191A6D" w:rsidRPr="002C455F" w14:paraId="0256BA6A" w14:textId="77777777" w:rsidTr="00F82ED0">
        <w:trPr>
          <w:trHeight w:val="300"/>
          <w:jc w:val="center"/>
        </w:trPr>
        <w:tc>
          <w:tcPr>
            <w:tcW w:w="730" w:type="dxa"/>
            <w:tcBorders>
              <w:top w:val="single" w:sz="4" w:space="0" w:color="auto"/>
              <w:left w:val="single" w:sz="8" w:space="0" w:color="auto"/>
              <w:bottom w:val="single" w:sz="4" w:space="0" w:color="auto"/>
              <w:right w:val="nil"/>
            </w:tcBorders>
            <w:shd w:val="clear" w:color="auto" w:fill="auto"/>
            <w:noWrap/>
            <w:vAlign w:val="center"/>
          </w:tcPr>
          <w:p w14:paraId="708E952D" w14:textId="046FA488" w:rsidR="00191A6D" w:rsidRPr="002C455F" w:rsidRDefault="00191A6D" w:rsidP="00674D17">
            <w:pPr>
              <w:jc w:val="center"/>
              <w:rPr>
                <w:color w:val="000000"/>
                <w:sz w:val="22"/>
                <w:szCs w:val="22"/>
                <w:lang w:eastAsia="ja-JP" w:bidi="th-TH"/>
              </w:rPr>
            </w:pPr>
            <w:r>
              <w:rPr>
                <w:color w:val="000000"/>
                <w:sz w:val="22"/>
                <w:szCs w:val="22"/>
                <w:lang w:eastAsia="ja-JP" w:bidi="th-TH"/>
              </w:rPr>
              <w:t>IFN</w:t>
            </w:r>
          </w:p>
        </w:tc>
        <w:tc>
          <w:tcPr>
            <w:tcW w:w="1646" w:type="dxa"/>
            <w:tcBorders>
              <w:top w:val="single" w:sz="4" w:space="0" w:color="auto"/>
              <w:left w:val="single" w:sz="8" w:space="0" w:color="auto"/>
              <w:bottom w:val="single" w:sz="4" w:space="0" w:color="auto"/>
              <w:right w:val="single" w:sz="8" w:space="0" w:color="auto"/>
            </w:tcBorders>
            <w:shd w:val="clear" w:color="auto" w:fill="auto"/>
            <w:noWrap/>
            <w:vAlign w:val="center"/>
          </w:tcPr>
          <w:p w14:paraId="28FDD849" w14:textId="55D023A8" w:rsidR="00191A6D" w:rsidRPr="00FE787E" w:rsidRDefault="00191A6D" w:rsidP="00674D17">
            <w:pPr>
              <w:jc w:val="center"/>
              <w:rPr>
                <w:color w:val="000000"/>
                <w:sz w:val="22"/>
                <w:szCs w:val="22"/>
                <w:lang w:eastAsia="ja-JP" w:bidi="th-TH"/>
              </w:rPr>
            </w:pPr>
            <w:r w:rsidRPr="00B85ECF">
              <w:rPr>
                <w:color w:val="000000"/>
                <w:sz w:val="22"/>
                <w:szCs w:val="22"/>
                <w:lang w:eastAsia="ja-JP" w:bidi="th-TH"/>
              </w:rPr>
              <w:t>$0.</w:t>
            </w:r>
            <w:r w:rsidR="00C82A9F">
              <w:rPr>
                <w:color w:val="000000"/>
                <w:sz w:val="22"/>
                <w:szCs w:val="22"/>
                <w:lang w:eastAsia="ja-JP" w:bidi="th-TH"/>
              </w:rPr>
              <w:t>58</w:t>
            </w:r>
            <w:r w:rsidRPr="00B85ECF">
              <w:rPr>
                <w:color w:val="000000"/>
                <w:sz w:val="22"/>
                <w:szCs w:val="22"/>
                <w:lang w:eastAsia="ja-JP" w:bidi="th-TH"/>
              </w:rPr>
              <w:t>00</w:t>
            </w:r>
          </w:p>
        </w:tc>
        <w:tc>
          <w:tcPr>
            <w:tcW w:w="1080" w:type="dxa"/>
            <w:tcBorders>
              <w:top w:val="single" w:sz="4" w:space="0" w:color="auto"/>
              <w:left w:val="nil"/>
              <w:bottom w:val="single" w:sz="4" w:space="0" w:color="auto"/>
              <w:right w:val="single" w:sz="4" w:space="0" w:color="auto"/>
            </w:tcBorders>
            <w:shd w:val="clear" w:color="auto" w:fill="auto"/>
            <w:noWrap/>
            <w:vAlign w:val="center"/>
          </w:tcPr>
          <w:p w14:paraId="2D5F2271" w14:textId="05CAADB0"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868" w:type="dxa"/>
            <w:tcBorders>
              <w:top w:val="single" w:sz="4" w:space="0" w:color="auto"/>
              <w:left w:val="nil"/>
              <w:bottom w:val="single" w:sz="4" w:space="0" w:color="auto"/>
              <w:right w:val="single" w:sz="4" w:space="0" w:color="auto"/>
            </w:tcBorders>
            <w:shd w:val="clear" w:color="auto" w:fill="auto"/>
            <w:vAlign w:val="center"/>
          </w:tcPr>
          <w:p w14:paraId="35B90C30" w14:textId="0957BBC2"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1501" w:type="dxa"/>
            <w:tcBorders>
              <w:top w:val="single" w:sz="4" w:space="0" w:color="auto"/>
              <w:left w:val="nil"/>
              <w:bottom w:val="single" w:sz="4" w:space="0" w:color="auto"/>
              <w:right w:val="single" w:sz="4" w:space="0" w:color="auto"/>
            </w:tcBorders>
            <w:shd w:val="clear" w:color="auto" w:fill="auto"/>
            <w:noWrap/>
            <w:vAlign w:val="center"/>
          </w:tcPr>
          <w:p w14:paraId="17155DB0" w14:textId="45528226" w:rsidR="00191A6D" w:rsidDel="000425E0" w:rsidRDefault="00C82A9F" w:rsidP="00674D17">
            <w:pPr>
              <w:jc w:val="center"/>
              <w:rPr>
                <w:color w:val="000000"/>
                <w:sz w:val="22"/>
                <w:szCs w:val="22"/>
                <w:lang w:eastAsia="ja-JP" w:bidi="th-TH"/>
              </w:rPr>
            </w:pPr>
            <w:r>
              <w:rPr>
                <w:color w:val="000000"/>
                <w:sz w:val="22"/>
                <w:szCs w:val="22"/>
                <w:lang w:eastAsia="ja-JP" w:bidi="th-TH"/>
              </w:rPr>
              <w:t>-</w:t>
            </w:r>
          </w:p>
        </w:tc>
        <w:tc>
          <w:tcPr>
            <w:tcW w:w="972" w:type="dxa"/>
            <w:tcBorders>
              <w:top w:val="single" w:sz="4" w:space="0" w:color="auto"/>
              <w:left w:val="nil"/>
              <w:bottom w:val="single" w:sz="4" w:space="0" w:color="auto"/>
              <w:right w:val="single" w:sz="4" w:space="0" w:color="auto"/>
            </w:tcBorders>
            <w:shd w:val="clear" w:color="auto" w:fill="auto"/>
            <w:vAlign w:val="center"/>
          </w:tcPr>
          <w:p w14:paraId="29B7F105" w14:textId="78A0A122" w:rsidR="00191A6D" w:rsidDel="000425E0" w:rsidRDefault="00C82A9F" w:rsidP="00674D17">
            <w:pPr>
              <w:jc w:val="center"/>
              <w:rPr>
                <w:color w:val="000000"/>
                <w:sz w:val="22"/>
                <w:szCs w:val="22"/>
                <w:lang w:eastAsia="ja-JP" w:bidi="th-TH"/>
              </w:rPr>
            </w:pPr>
            <w:r>
              <w:rPr>
                <w:color w:val="000000"/>
                <w:sz w:val="22"/>
                <w:szCs w:val="22"/>
                <w:lang w:eastAsia="ja-JP" w:bidi="th-TH"/>
              </w:rPr>
              <w:t>-</w:t>
            </w:r>
          </w:p>
        </w:tc>
        <w:tc>
          <w:tcPr>
            <w:tcW w:w="1234" w:type="dxa"/>
            <w:tcBorders>
              <w:top w:val="single" w:sz="4" w:space="0" w:color="auto"/>
              <w:left w:val="nil"/>
              <w:bottom w:val="single" w:sz="4" w:space="0" w:color="auto"/>
              <w:right w:val="single" w:sz="4" w:space="0" w:color="auto"/>
            </w:tcBorders>
            <w:shd w:val="clear" w:color="auto" w:fill="auto"/>
            <w:noWrap/>
            <w:vAlign w:val="center"/>
          </w:tcPr>
          <w:p w14:paraId="10A61C9E" w14:textId="73B1CBC4" w:rsidR="00191A6D" w:rsidDel="000425E0" w:rsidRDefault="00C82A9F" w:rsidP="00674D17">
            <w:pPr>
              <w:jc w:val="center"/>
              <w:rPr>
                <w:color w:val="000000"/>
                <w:sz w:val="22"/>
                <w:szCs w:val="22"/>
                <w:lang w:eastAsia="ja-JP" w:bidi="th-TH"/>
              </w:rPr>
            </w:pPr>
            <w:r w:rsidRPr="00C82A9F">
              <w:rPr>
                <w:color w:val="000000"/>
                <w:sz w:val="22"/>
                <w:szCs w:val="22"/>
                <w:lang w:eastAsia="ja-JP" w:bidi="th-TH"/>
              </w:rPr>
              <w:t>$0.5800</w:t>
            </w:r>
          </w:p>
        </w:tc>
        <w:tc>
          <w:tcPr>
            <w:tcW w:w="822" w:type="dxa"/>
            <w:tcBorders>
              <w:top w:val="single" w:sz="4" w:space="0" w:color="auto"/>
              <w:left w:val="nil"/>
              <w:bottom w:val="single" w:sz="4" w:space="0" w:color="auto"/>
              <w:right w:val="single" w:sz="4" w:space="0" w:color="auto"/>
            </w:tcBorders>
            <w:shd w:val="clear" w:color="auto" w:fill="auto"/>
            <w:vAlign w:val="center"/>
          </w:tcPr>
          <w:p w14:paraId="4FA49E08" w14:textId="06E313EB" w:rsidR="00191A6D" w:rsidDel="000425E0" w:rsidRDefault="00C82A9F" w:rsidP="00674D17">
            <w:pPr>
              <w:jc w:val="center"/>
              <w:rPr>
                <w:color w:val="000000"/>
                <w:sz w:val="22"/>
                <w:szCs w:val="22"/>
                <w:lang w:eastAsia="ja-JP" w:bidi="th-TH"/>
              </w:rPr>
            </w:pPr>
            <w:r>
              <w:rPr>
                <w:color w:val="000000"/>
                <w:sz w:val="22"/>
                <w:szCs w:val="22"/>
                <w:lang w:eastAsia="ja-JP" w:bidi="th-TH"/>
              </w:rPr>
              <w:t>100%</w:t>
            </w:r>
          </w:p>
        </w:tc>
        <w:tc>
          <w:tcPr>
            <w:tcW w:w="1080" w:type="dxa"/>
            <w:tcBorders>
              <w:top w:val="single" w:sz="4" w:space="0" w:color="auto"/>
              <w:left w:val="nil"/>
              <w:bottom w:val="single" w:sz="4" w:space="0" w:color="auto"/>
              <w:right w:val="single" w:sz="8" w:space="0" w:color="auto"/>
            </w:tcBorders>
            <w:shd w:val="clear" w:color="auto" w:fill="auto"/>
            <w:noWrap/>
            <w:vAlign w:val="center"/>
          </w:tcPr>
          <w:p w14:paraId="794F816E" w14:textId="507FDFA2"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236" w:type="dxa"/>
            <w:tcBorders>
              <w:top w:val="single" w:sz="4" w:space="0" w:color="auto"/>
              <w:left w:val="nil"/>
              <w:bottom w:val="single" w:sz="4" w:space="0" w:color="auto"/>
              <w:right w:val="single" w:sz="8" w:space="0" w:color="auto"/>
            </w:tcBorders>
            <w:shd w:val="clear" w:color="auto" w:fill="auto"/>
            <w:vAlign w:val="center"/>
          </w:tcPr>
          <w:p w14:paraId="7A2541B5" w14:textId="54B32BB5"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r>
    </w:tbl>
    <w:p w14:paraId="543A1926" w14:textId="77777777" w:rsidR="00191A6D" w:rsidRDefault="00191A6D" w:rsidP="00191A6D">
      <w:pPr>
        <w:jc w:val="center"/>
        <w:rPr>
          <w:sz w:val="22"/>
          <w:szCs w:val="22"/>
        </w:rPr>
      </w:pPr>
    </w:p>
    <w:tbl>
      <w:tblPr>
        <w:tblW w:w="10197" w:type="dxa"/>
        <w:jc w:val="center"/>
        <w:tblInd w:w="164" w:type="dxa"/>
        <w:tblLook w:val="04A0" w:firstRow="1" w:lastRow="0" w:firstColumn="1" w:lastColumn="0" w:noHBand="0" w:noVBand="1"/>
      </w:tblPr>
      <w:tblGrid>
        <w:gridCol w:w="753"/>
        <w:gridCol w:w="1621"/>
        <w:gridCol w:w="1386"/>
        <w:gridCol w:w="725"/>
        <w:gridCol w:w="1317"/>
        <w:gridCol w:w="1023"/>
        <w:gridCol w:w="1225"/>
        <w:gridCol w:w="755"/>
        <w:gridCol w:w="1088"/>
        <w:gridCol w:w="304"/>
      </w:tblGrid>
      <w:tr w:rsidR="00191A6D" w:rsidRPr="002C455F" w14:paraId="5D912E62" w14:textId="77777777" w:rsidTr="00F82ED0">
        <w:trPr>
          <w:trHeight w:val="294"/>
          <w:jc w:val="center"/>
        </w:trPr>
        <w:tc>
          <w:tcPr>
            <w:tcW w:w="10197" w:type="dxa"/>
            <w:gridSpan w:val="10"/>
            <w:tcBorders>
              <w:top w:val="single" w:sz="8" w:space="0" w:color="auto"/>
              <w:left w:val="single" w:sz="8" w:space="0" w:color="auto"/>
              <w:bottom w:val="single" w:sz="8" w:space="0" w:color="auto"/>
              <w:right w:val="single" w:sz="8" w:space="0" w:color="000000"/>
            </w:tcBorders>
            <w:shd w:val="clear" w:color="auto" w:fill="auto"/>
            <w:vAlign w:val="center"/>
            <w:hideMark/>
          </w:tcPr>
          <w:p w14:paraId="53E399D4"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Estimated Amounts of Fiscal Year to Date Cumulative Distributions per Share</w:t>
            </w:r>
          </w:p>
        </w:tc>
      </w:tr>
      <w:tr w:rsidR="00F82ED0" w:rsidRPr="002C455F" w14:paraId="6EE493DA" w14:textId="77777777" w:rsidTr="00F82ED0">
        <w:trPr>
          <w:trHeight w:val="1065"/>
          <w:jc w:val="center"/>
        </w:trPr>
        <w:tc>
          <w:tcPr>
            <w:tcW w:w="753" w:type="dxa"/>
            <w:tcBorders>
              <w:top w:val="nil"/>
              <w:left w:val="single" w:sz="8" w:space="0" w:color="auto"/>
              <w:bottom w:val="single" w:sz="4" w:space="0" w:color="auto"/>
              <w:right w:val="single" w:sz="8" w:space="0" w:color="auto"/>
            </w:tcBorders>
            <w:shd w:val="clear" w:color="auto" w:fill="auto"/>
            <w:vAlign w:val="center"/>
            <w:hideMark/>
          </w:tcPr>
          <w:p w14:paraId="25AD53AC"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Fund</w:t>
            </w:r>
          </w:p>
        </w:tc>
        <w:tc>
          <w:tcPr>
            <w:tcW w:w="1621" w:type="dxa"/>
            <w:tcBorders>
              <w:top w:val="nil"/>
              <w:left w:val="nil"/>
              <w:bottom w:val="single" w:sz="4" w:space="0" w:color="auto"/>
              <w:right w:val="single" w:sz="8" w:space="0" w:color="auto"/>
            </w:tcBorders>
            <w:shd w:val="clear" w:color="auto" w:fill="auto"/>
            <w:vAlign w:val="center"/>
            <w:hideMark/>
          </w:tcPr>
          <w:p w14:paraId="056FC0CF"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Fiscal Year</w:t>
            </w:r>
            <w:r>
              <w:rPr>
                <w:b/>
                <w:bCs/>
                <w:color w:val="000000"/>
                <w:sz w:val="22"/>
                <w:szCs w:val="22"/>
                <w:lang w:eastAsia="ja-JP" w:bidi="th-TH"/>
              </w:rPr>
              <w:t>*</w:t>
            </w:r>
            <w:r w:rsidRPr="002C455F">
              <w:rPr>
                <w:b/>
                <w:bCs/>
                <w:color w:val="000000"/>
                <w:sz w:val="22"/>
                <w:szCs w:val="22"/>
                <w:lang w:eastAsia="ja-JP" w:bidi="th-TH"/>
              </w:rPr>
              <w:t xml:space="preserve"> to Date Distribution Amount</w:t>
            </w:r>
          </w:p>
        </w:tc>
        <w:tc>
          <w:tcPr>
            <w:tcW w:w="2111" w:type="dxa"/>
            <w:gridSpan w:val="2"/>
            <w:tcBorders>
              <w:top w:val="nil"/>
              <w:left w:val="nil"/>
              <w:bottom w:val="single" w:sz="4" w:space="0" w:color="auto"/>
              <w:right w:val="single" w:sz="4" w:space="0" w:color="auto"/>
            </w:tcBorders>
            <w:shd w:val="clear" w:color="auto" w:fill="auto"/>
            <w:vAlign w:val="center"/>
            <w:hideMark/>
          </w:tcPr>
          <w:p w14:paraId="2B447814"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Investment Income</w:t>
            </w:r>
          </w:p>
        </w:tc>
        <w:tc>
          <w:tcPr>
            <w:tcW w:w="2340" w:type="dxa"/>
            <w:gridSpan w:val="2"/>
            <w:tcBorders>
              <w:top w:val="nil"/>
              <w:left w:val="nil"/>
              <w:bottom w:val="single" w:sz="4" w:space="0" w:color="auto"/>
              <w:right w:val="single" w:sz="4" w:space="0" w:color="auto"/>
            </w:tcBorders>
            <w:shd w:val="clear" w:color="auto" w:fill="auto"/>
            <w:vAlign w:val="center"/>
            <w:hideMark/>
          </w:tcPr>
          <w:p w14:paraId="7CBF578D"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Realized Short-Term Gains*</w:t>
            </w:r>
            <w:r>
              <w:rPr>
                <w:b/>
                <w:bCs/>
                <w:color w:val="000000"/>
                <w:sz w:val="22"/>
                <w:szCs w:val="22"/>
                <w:lang w:eastAsia="ja-JP" w:bidi="th-TH"/>
              </w:rPr>
              <w:t>*</w:t>
            </w:r>
          </w:p>
        </w:tc>
        <w:tc>
          <w:tcPr>
            <w:tcW w:w="1980" w:type="dxa"/>
            <w:gridSpan w:val="2"/>
            <w:tcBorders>
              <w:top w:val="nil"/>
              <w:left w:val="nil"/>
              <w:bottom w:val="single" w:sz="4" w:space="0" w:color="auto"/>
              <w:right w:val="single" w:sz="4" w:space="0" w:color="auto"/>
            </w:tcBorders>
            <w:shd w:val="clear" w:color="auto" w:fill="auto"/>
            <w:vAlign w:val="center"/>
            <w:hideMark/>
          </w:tcPr>
          <w:p w14:paraId="538EB694"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Net Realized Long-Term Gains</w:t>
            </w:r>
          </w:p>
        </w:tc>
        <w:tc>
          <w:tcPr>
            <w:tcW w:w="1392" w:type="dxa"/>
            <w:gridSpan w:val="2"/>
            <w:tcBorders>
              <w:top w:val="nil"/>
              <w:left w:val="nil"/>
              <w:bottom w:val="single" w:sz="4" w:space="0" w:color="auto"/>
              <w:right w:val="single" w:sz="8" w:space="0" w:color="auto"/>
            </w:tcBorders>
            <w:shd w:val="clear" w:color="auto" w:fill="auto"/>
            <w:vAlign w:val="center"/>
            <w:hideMark/>
          </w:tcPr>
          <w:p w14:paraId="24FF3D6F" w14:textId="77777777" w:rsidR="00191A6D" w:rsidRPr="002C455F" w:rsidRDefault="00191A6D" w:rsidP="00674D17">
            <w:pPr>
              <w:jc w:val="center"/>
              <w:rPr>
                <w:b/>
                <w:bCs/>
                <w:color w:val="000000"/>
                <w:sz w:val="22"/>
                <w:szCs w:val="22"/>
                <w:lang w:eastAsia="ja-JP" w:bidi="th-TH"/>
              </w:rPr>
            </w:pPr>
            <w:r w:rsidRPr="002C455F">
              <w:rPr>
                <w:b/>
                <w:bCs/>
                <w:color w:val="000000"/>
                <w:sz w:val="22"/>
                <w:szCs w:val="22"/>
                <w:lang w:eastAsia="ja-JP" w:bidi="th-TH"/>
              </w:rPr>
              <w:t>Return of Capital</w:t>
            </w:r>
          </w:p>
        </w:tc>
      </w:tr>
      <w:tr w:rsidR="00F82ED0" w:rsidRPr="002C455F" w14:paraId="3B2B07D2" w14:textId="77777777" w:rsidTr="00F82ED0">
        <w:trPr>
          <w:trHeight w:val="280"/>
          <w:jc w:val="center"/>
        </w:trPr>
        <w:tc>
          <w:tcPr>
            <w:tcW w:w="753" w:type="dxa"/>
            <w:tcBorders>
              <w:top w:val="single" w:sz="4" w:space="0" w:color="auto"/>
              <w:left w:val="single" w:sz="8" w:space="0" w:color="auto"/>
              <w:bottom w:val="single" w:sz="4" w:space="0" w:color="auto"/>
              <w:right w:val="nil"/>
            </w:tcBorders>
            <w:shd w:val="clear" w:color="auto" w:fill="auto"/>
            <w:noWrap/>
            <w:vAlign w:val="center"/>
          </w:tcPr>
          <w:p w14:paraId="6F5DA100" w14:textId="7E836EE4" w:rsidR="00191A6D" w:rsidRPr="002C455F" w:rsidRDefault="00191A6D" w:rsidP="00674D17">
            <w:pPr>
              <w:jc w:val="center"/>
              <w:rPr>
                <w:color w:val="000000"/>
                <w:sz w:val="22"/>
                <w:szCs w:val="22"/>
                <w:lang w:eastAsia="ja-JP" w:bidi="th-TH"/>
              </w:rPr>
            </w:pPr>
            <w:r>
              <w:rPr>
                <w:color w:val="000000"/>
                <w:sz w:val="22"/>
                <w:szCs w:val="22"/>
                <w:lang w:eastAsia="ja-JP" w:bidi="th-TH"/>
              </w:rPr>
              <w:t>IFN</w:t>
            </w:r>
          </w:p>
        </w:tc>
        <w:tc>
          <w:tcPr>
            <w:tcW w:w="1621" w:type="dxa"/>
            <w:tcBorders>
              <w:top w:val="single" w:sz="4" w:space="0" w:color="auto"/>
              <w:left w:val="single" w:sz="8" w:space="0" w:color="auto"/>
              <w:bottom w:val="single" w:sz="4" w:space="0" w:color="auto"/>
              <w:right w:val="single" w:sz="8" w:space="0" w:color="auto"/>
            </w:tcBorders>
            <w:shd w:val="clear" w:color="auto" w:fill="auto"/>
            <w:noWrap/>
            <w:vAlign w:val="center"/>
          </w:tcPr>
          <w:p w14:paraId="75F65EA1" w14:textId="5F2E9B1B" w:rsidR="00191A6D" w:rsidRPr="009F23DB" w:rsidDel="000425E0" w:rsidRDefault="00C82A9F" w:rsidP="00674D17">
            <w:pPr>
              <w:jc w:val="center"/>
              <w:rPr>
                <w:color w:val="000000"/>
                <w:sz w:val="22"/>
                <w:szCs w:val="22"/>
                <w:lang w:eastAsia="ja-JP" w:bidi="th-TH"/>
              </w:rPr>
            </w:pPr>
            <w:r w:rsidRPr="00B85ECF">
              <w:rPr>
                <w:color w:val="000000"/>
                <w:sz w:val="22"/>
                <w:szCs w:val="22"/>
                <w:lang w:eastAsia="ja-JP" w:bidi="th-TH"/>
              </w:rPr>
              <w:t>$0.</w:t>
            </w:r>
            <w:r>
              <w:rPr>
                <w:color w:val="000000"/>
                <w:sz w:val="22"/>
                <w:szCs w:val="22"/>
                <w:lang w:eastAsia="ja-JP" w:bidi="th-TH"/>
              </w:rPr>
              <w:t>58</w:t>
            </w:r>
            <w:r w:rsidRPr="00B85ECF">
              <w:rPr>
                <w:color w:val="000000"/>
                <w:sz w:val="22"/>
                <w:szCs w:val="22"/>
                <w:lang w:eastAsia="ja-JP" w:bidi="th-TH"/>
              </w:rPr>
              <w:t>00</w:t>
            </w:r>
          </w:p>
        </w:tc>
        <w:tc>
          <w:tcPr>
            <w:tcW w:w="1386" w:type="dxa"/>
            <w:tcBorders>
              <w:top w:val="single" w:sz="4" w:space="0" w:color="auto"/>
              <w:left w:val="nil"/>
              <w:bottom w:val="single" w:sz="4" w:space="0" w:color="auto"/>
              <w:right w:val="single" w:sz="4" w:space="0" w:color="auto"/>
            </w:tcBorders>
            <w:shd w:val="clear" w:color="auto" w:fill="auto"/>
            <w:noWrap/>
            <w:vAlign w:val="center"/>
          </w:tcPr>
          <w:p w14:paraId="07993A68" w14:textId="1A0150F9"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725" w:type="dxa"/>
            <w:tcBorders>
              <w:top w:val="single" w:sz="4" w:space="0" w:color="auto"/>
              <w:left w:val="nil"/>
              <w:bottom w:val="single" w:sz="4" w:space="0" w:color="auto"/>
              <w:right w:val="single" w:sz="4" w:space="0" w:color="auto"/>
            </w:tcBorders>
            <w:shd w:val="clear" w:color="auto" w:fill="auto"/>
            <w:vAlign w:val="center"/>
          </w:tcPr>
          <w:p w14:paraId="1C625B42" w14:textId="3F8C2517"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1317" w:type="dxa"/>
            <w:tcBorders>
              <w:top w:val="single" w:sz="4" w:space="0" w:color="auto"/>
              <w:left w:val="nil"/>
              <w:bottom w:val="single" w:sz="4" w:space="0" w:color="auto"/>
              <w:right w:val="single" w:sz="4" w:space="0" w:color="auto"/>
            </w:tcBorders>
            <w:shd w:val="clear" w:color="auto" w:fill="auto"/>
            <w:noWrap/>
            <w:vAlign w:val="center"/>
          </w:tcPr>
          <w:p w14:paraId="0453C4A7" w14:textId="7E77CBE0" w:rsidR="00191A6D" w:rsidDel="000425E0" w:rsidRDefault="00C82A9F" w:rsidP="00674D17">
            <w:pPr>
              <w:jc w:val="center"/>
              <w:rPr>
                <w:color w:val="000000"/>
                <w:sz w:val="22"/>
                <w:szCs w:val="22"/>
                <w:lang w:eastAsia="ja-JP" w:bidi="th-TH"/>
              </w:rPr>
            </w:pPr>
            <w:r>
              <w:rPr>
                <w:color w:val="000000"/>
                <w:sz w:val="22"/>
                <w:szCs w:val="22"/>
                <w:lang w:eastAsia="ja-JP" w:bidi="th-TH"/>
              </w:rPr>
              <w:t>-</w:t>
            </w:r>
          </w:p>
        </w:tc>
        <w:tc>
          <w:tcPr>
            <w:tcW w:w="1023" w:type="dxa"/>
            <w:tcBorders>
              <w:top w:val="single" w:sz="4" w:space="0" w:color="auto"/>
              <w:left w:val="nil"/>
              <w:bottom w:val="single" w:sz="4" w:space="0" w:color="auto"/>
              <w:right w:val="single" w:sz="4" w:space="0" w:color="auto"/>
            </w:tcBorders>
            <w:shd w:val="clear" w:color="auto" w:fill="auto"/>
            <w:vAlign w:val="center"/>
          </w:tcPr>
          <w:p w14:paraId="1CABEDB2" w14:textId="54D55F7D" w:rsidR="00191A6D" w:rsidDel="000425E0" w:rsidRDefault="00C82A9F" w:rsidP="00674D17">
            <w:pPr>
              <w:jc w:val="center"/>
              <w:rPr>
                <w:color w:val="000000"/>
                <w:sz w:val="22"/>
                <w:szCs w:val="22"/>
                <w:lang w:eastAsia="ja-JP" w:bidi="th-TH"/>
              </w:rPr>
            </w:pPr>
            <w:r>
              <w:rPr>
                <w:color w:val="000000"/>
                <w:sz w:val="22"/>
                <w:szCs w:val="22"/>
                <w:lang w:eastAsia="ja-JP" w:bidi="th-TH"/>
              </w:rPr>
              <w:t>-</w:t>
            </w:r>
          </w:p>
        </w:tc>
        <w:tc>
          <w:tcPr>
            <w:tcW w:w="1225" w:type="dxa"/>
            <w:tcBorders>
              <w:top w:val="single" w:sz="4" w:space="0" w:color="auto"/>
              <w:left w:val="nil"/>
              <w:bottom w:val="single" w:sz="4" w:space="0" w:color="auto"/>
              <w:right w:val="single" w:sz="4" w:space="0" w:color="auto"/>
            </w:tcBorders>
            <w:shd w:val="clear" w:color="auto" w:fill="auto"/>
            <w:noWrap/>
            <w:vAlign w:val="center"/>
          </w:tcPr>
          <w:p w14:paraId="0ACA93E5" w14:textId="2F21279F" w:rsidR="00191A6D" w:rsidDel="000425E0" w:rsidRDefault="00C82A9F" w:rsidP="00674D17">
            <w:pPr>
              <w:jc w:val="center"/>
              <w:rPr>
                <w:color w:val="000000"/>
                <w:sz w:val="22"/>
                <w:szCs w:val="22"/>
                <w:lang w:eastAsia="ja-JP" w:bidi="th-TH"/>
              </w:rPr>
            </w:pPr>
            <w:r w:rsidRPr="00C82A9F">
              <w:rPr>
                <w:color w:val="000000"/>
                <w:sz w:val="22"/>
                <w:szCs w:val="22"/>
                <w:lang w:eastAsia="ja-JP" w:bidi="th-TH"/>
              </w:rPr>
              <w:t>$0.5800</w:t>
            </w:r>
          </w:p>
        </w:tc>
        <w:tc>
          <w:tcPr>
            <w:tcW w:w="755" w:type="dxa"/>
            <w:tcBorders>
              <w:top w:val="single" w:sz="4" w:space="0" w:color="auto"/>
              <w:left w:val="nil"/>
              <w:bottom w:val="single" w:sz="4" w:space="0" w:color="auto"/>
              <w:right w:val="single" w:sz="4" w:space="0" w:color="auto"/>
            </w:tcBorders>
            <w:shd w:val="clear" w:color="auto" w:fill="auto"/>
            <w:vAlign w:val="center"/>
          </w:tcPr>
          <w:p w14:paraId="18985D95" w14:textId="25F9C63F" w:rsidR="00191A6D" w:rsidDel="000425E0" w:rsidRDefault="00C82A9F" w:rsidP="00674D17">
            <w:pPr>
              <w:jc w:val="center"/>
              <w:rPr>
                <w:color w:val="000000"/>
                <w:sz w:val="22"/>
                <w:szCs w:val="22"/>
                <w:lang w:eastAsia="ja-JP" w:bidi="th-TH"/>
              </w:rPr>
            </w:pPr>
            <w:r>
              <w:rPr>
                <w:color w:val="000000"/>
                <w:sz w:val="22"/>
                <w:szCs w:val="22"/>
                <w:lang w:eastAsia="ja-JP" w:bidi="th-TH"/>
              </w:rPr>
              <w:t>100%</w:t>
            </w:r>
          </w:p>
        </w:tc>
        <w:tc>
          <w:tcPr>
            <w:tcW w:w="1088" w:type="dxa"/>
            <w:tcBorders>
              <w:top w:val="single" w:sz="4" w:space="0" w:color="auto"/>
              <w:left w:val="nil"/>
              <w:bottom w:val="single" w:sz="4" w:space="0" w:color="auto"/>
              <w:right w:val="single" w:sz="8" w:space="0" w:color="auto"/>
            </w:tcBorders>
            <w:shd w:val="clear" w:color="auto" w:fill="auto"/>
            <w:noWrap/>
            <w:vAlign w:val="center"/>
          </w:tcPr>
          <w:p w14:paraId="284AE91C" w14:textId="7A371D4C"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c>
          <w:tcPr>
            <w:tcW w:w="304" w:type="dxa"/>
            <w:tcBorders>
              <w:top w:val="single" w:sz="4" w:space="0" w:color="auto"/>
              <w:left w:val="nil"/>
              <w:bottom w:val="single" w:sz="4" w:space="0" w:color="auto"/>
              <w:right w:val="single" w:sz="8" w:space="0" w:color="auto"/>
            </w:tcBorders>
            <w:shd w:val="clear" w:color="auto" w:fill="auto"/>
            <w:vAlign w:val="center"/>
          </w:tcPr>
          <w:p w14:paraId="5CDD91B0" w14:textId="2F6BF894" w:rsidR="00191A6D" w:rsidRPr="009F23DB" w:rsidDel="000425E0" w:rsidRDefault="00C82A9F" w:rsidP="00674D17">
            <w:pPr>
              <w:jc w:val="center"/>
              <w:rPr>
                <w:color w:val="000000"/>
                <w:sz w:val="22"/>
                <w:szCs w:val="22"/>
                <w:lang w:eastAsia="ja-JP" w:bidi="th-TH"/>
              </w:rPr>
            </w:pPr>
            <w:r>
              <w:rPr>
                <w:color w:val="000000"/>
                <w:sz w:val="22"/>
                <w:szCs w:val="22"/>
                <w:lang w:eastAsia="ja-JP" w:bidi="th-TH"/>
              </w:rPr>
              <w:t>-</w:t>
            </w:r>
          </w:p>
        </w:tc>
      </w:tr>
    </w:tbl>
    <w:p w14:paraId="7FAA13E6" w14:textId="5F967268" w:rsidR="00191A6D" w:rsidRPr="009E4949" w:rsidRDefault="00191A6D" w:rsidP="00191A6D">
      <w:r>
        <w:t xml:space="preserve"> **</w:t>
      </w:r>
      <w:r w:rsidRPr="009E4949">
        <w:t>includes currency gains</w:t>
      </w:r>
    </w:p>
    <w:p w14:paraId="5F78C872" w14:textId="77777777" w:rsidR="00193082" w:rsidRPr="00F82ED0" w:rsidRDefault="00193082" w:rsidP="008F53FC">
      <w:pPr>
        <w:rPr>
          <w:sz w:val="22"/>
          <w:szCs w:val="22"/>
          <w:highlight w:val="yellow"/>
        </w:rPr>
      </w:pPr>
    </w:p>
    <w:p w14:paraId="79AC20C0" w14:textId="77777777" w:rsidR="006E13F5" w:rsidRPr="00F82ED0" w:rsidRDefault="006E13F5" w:rsidP="006E13F5">
      <w:pPr>
        <w:rPr>
          <w:b/>
          <w:bCs/>
          <w:sz w:val="22"/>
          <w:szCs w:val="22"/>
        </w:rPr>
      </w:pPr>
      <w:r w:rsidRPr="00F82ED0">
        <w:rPr>
          <w:b/>
          <w:bCs/>
          <w:sz w:val="22"/>
          <w:szCs w:val="22"/>
        </w:rPr>
        <w:t xml:space="preserve">Shareholders should not draw any conclusions about the Fund’s investment performance from the amount of the Fund’s current distributions or from the terms of the distribution policy (the “Distribution Policy”). </w:t>
      </w:r>
    </w:p>
    <w:p w14:paraId="5B715B9C" w14:textId="77777777" w:rsidR="006E13F5" w:rsidRPr="00F82ED0" w:rsidRDefault="006E13F5" w:rsidP="008F53FC">
      <w:pPr>
        <w:rPr>
          <w:sz w:val="22"/>
          <w:szCs w:val="22"/>
        </w:rPr>
      </w:pPr>
    </w:p>
    <w:p w14:paraId="26D4653C" w14:textId="77777777" w:rsidR="00193082" w:rsidRPr="00F82ED0" w:rsidRDefault="00193082" w:rsidP="008F53FC">
      <w:pPr>
        <w:rPr>
          <w:b/>
          <w:bCs/>
          <w:sz w:val="22"/>
          <w:szCs w:val="22"/>
        </w:rPr>
      </w:pPr>
      <w:r w:rsidRPr="00F82ED0">
        <w:rPr>
          <w:b/>
          <w:bCs/>
          <w:sz w:val="22"/>
          <w:szCs w:val="22"/>
        </w:rPr>
        <w:t xml:space="preserve">The amounts and sources of distributions reported in this notice are only estimates and are not being provided for tax reporting purposes. The final determination of the source of all distributions for the current year will only be made after year-end. The actual amounts and sources of the amounts for tax reporting purposes will depend upon the Fund’s investment experience during the remainder of the fiscal year and may be subject to change based on tax regulations. After the end of each calendar year, a Form 1099-DIV will be sent to shareholders for the prior calendar year that will tell you how to report these distributions for federal income tax purposes. </w:t>
      </w:r>
    </w:p>
    <w:p w14:paraId="3D3C8869" w14:textId="77777777" w:rsidR="00193082" w:rsidRPr="00F82ED0" w:rsidRDefault="00193082" w:rsidP="008F53FC">
      <w:pPr>
        <w:rPr>
          <w:sz w:val="22"/>
          <w:szCs w:val="22"/>
        </w:rPr>
      </w:pPr>
    </w:p>
    <w:p w14:paraId="564A0746" w14:textId="77777777" w:rsidR="00193082" w:rsidRPr="00F82ED0" w:rsidRDefault="00193082" w:rsidP="008F53FC">
      <w:pPr>
        <w:rPr>
          <w:sz w:val="22"/>
          <w:szCs w:val="22"/>
        </w:rPr>
      </w:pPr>
      <w:r w:rsidRPr="00F82ED0">
        <w:rPr>
          <w:sz w:val="22"/>
          <w:szCs w:val="22"/>
        </w:rPr>
        <w:t>The following table provides the Fund</w:t>
      </w:r>
      <w:r w:rsidR="006E13F5" w:rsidRPr="00F82ED0">
        <w:rPr>
          <w:sz w:val="22"/>
          <w:szCs w:val="22"/>
        </w:rPr>
        <w:t>’</w:t>
      </w:r>
      <w:r w:rsidRPr="00F82ED0">
        <w:rPr>
          <w:sz w:val="22"/>
          <w:szCs w:val="22"/>
        </w:rPr>
        <w:t>s total return performance based on net asset value (NAV) over various time periods compared to the Funds’ annualized and cumulative distribution rates.</w:t>
      </w:r>
    </w:p>
    <w:p w14:paraId="7105EE2E" w14:textId="77777777" w:rsidR="00193082" w:rsidRPr="00F82ED0" w:rsidRDefault="00193082" w:rsidP="008F53FC">
      <w:pPr>
        <w:rPr>
          <w:sz w:val="22"/>
          <w:szCs w:val="22"/>
          <w:highlight w:val="yellow"/>
        </w:rPr>
      </w:pPr>
    </w:p>
    <w:tbl>
      <w:tblPr>
        <w:tblW w:w="7650" w:type="dxa"/>
        <w:jc w:val="center"/>
        <w:tblInd w:w="93" w:type="dxa"/>
        <w:tblLook w:val="04A0" w:firstRow="1" w:lastRow="0" w:firstColumn="1" w:lastColumn="0" w:noHBand="0" w:noVBand="1"/>
      </w:tblPr>
      <w:tblGrid>
        <w:gridCol w:w="730"/>
        <w:gridCol w:w="1720"/>
        <w:gridCol w:w="1741"/>
        <w:gridCol w:w="1718"/>
        <w:gridCol w:w="1741"/>
      </w:tblGrid>
      <w:tr w:rsidR="00191A6D" w:rsidRPr="002C455F" w14:paraId="48191BD1" w14:textId="77777777" w:rsidTr="00674D17">
        <w:trPr>
          <w:trHeight w:val="315"/>
          <w:jc w:val="center"/>
        </w:trPr>
        <w:tc>
          <w:tcPr>
            <w:tcW w:w="7650" w:type="dxa"/>
            <w:gridSpan w:val="5"/>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9B32180" w14:textId="77777777" w:rsidR="00191A6D" w:rsidRPr="001905C3" w:rsidRDefault="00191A6D" w:rsidP="00674D17">
            <w:pPr>
              <w:jc w:val="center"/>
              <w:rPr>
                <w:b/>
                <w:bCs/>
                <w:color w:val="000000"/>
                <w:sz w:val="22"/>
                <w:szCs w:val="22"/>
                <w:lang w:eastAsia="ja-JP" w:bidi="th-TH"/>
              </w:rPr>
            </w:pPr>
            <w:r w:rsidRPr="001905C3">
              <w:rPr>
                <w:b/>
                <w:bCs/>
                <w:color w:val="000000"/>
                <w:sz w:val="22"/>
                <w:szCs w:val="22"/>
                <w:lang w:eastAsia="ja-JP" w:bidi="th-TH"/>
              </w:rPr>
              <w:t>Fund Performance and Distribution Rate Information</w:t>
            </w:r>
          </w:p>
        </w:tc>
      </w:tr>
      <w:tr w:rsidR="00191A6D" w:rsidRPr="002C455F" w14:paraId="611F6C14" w14:textId="77777777" w:rsidTr="00674D17">
        <w:trPr>
          <w:trHeight w:val="1800"/>
          <w:jc w:val="center"/>
        </w:trPr>
        <w:tc>
          <w:tcPr>
            <w:tcW w:w="730" w:type="dxa"/>
            <w:tcBorders>
              <w:top w:val="nil"/>
              <w:left w:val="single" w:sz="8" w:space="0" w:color="auto"/>
              <w:bottom w:val="single" w:sz="4" w:space="0" w:color="auto"/>
              <w:right w:val="single" w:sz="4" w:space="0" w:color="auto"/>
            </w:tcBorders>
            <w:shd w:val="clear" w:color="auto" w:fill="auto"/>
            <w:noWrap/>
            <w:vAlign w:val="center"/>
            <w:hideMark/>
          </w:tcPr>
          <w:p w14:paraId="064D057C" w14:textId="77777777" w:rsidR="00191A6D" w:rsidRPr="001905C3" w:rsidRDefault="00191A6D" w:rsidP="00674D17">
            <w:pPr>
              <w:jc w:val="center"/>
              <w:rPr>
                <w:color w:val="000000"/>
                <w:sz w:val="22"/>
                <w:szCs w:val="22"/>
                <w:lang w:eastAsia="ja-JP" w:bidi="th-TH"/>
              </w:rPr>
            </w:pPr>
            <w:r w:rsidRPr="001905C3">
              <w:rPr>
                <w:color w:val="000000"/>
                <w:sz w:val="22"/>
                <w:szCs w:val="22"/>
                <w:lang w:eastAsia="ja-JP" w:bidi="th-TH"/>
              </w:rPr>
              <w:t>Fund</w:t>
            </w:r>
          </w:p>
        </w:tc>
        <w:tc>
          <w:tcPr>
            <w:tcW w:w="1720" w:type="dxa"/>
            <w:tcBorders>
              <w:top w:val="nil"/>
              <w:left w:val="nil"/>
              <w:bottom w:val="single" w:sz="4" w:space="0" w:color="auto"/>
              <w:right w:val="single" w:sz="4" w:space="0" w:color="auto"/>
            </w:tcBorders>
            <w:shd w:val="clear" w:color="auto" w:fill="auto"/>
            <w:vAlign w:val="center"/>
            <w:hideMark/>
          </w:tcPr>
          <w:p w14:paraId="53D81061" w14:textId="77777777" w:rsidR="00191A6D" w:rsidRPr="001905C3" w:rsidRDefault="00191A6D" w:rsidP="00674D17">
            <w:pPr>
              <w:jc w:val="center"/>
              <w:rPr>
                <w:color w:val="000000"/>
                <w:sz w:val="22"/>
                <w:szCs w:val="22"/>
                <w:lang w:eastAsia="ja-JP" w:bidi="th-TH"/>
              </w:rPr>
            </w:pPr>
            <w:r w:rsidRPr="001905C3">
              <w:rPr>
                <w:color w:val="000000"/>
                <w:sz w:val="22"/>
                <w:szCs w:val="22"/>
                <w:lang w:eastAsia="ja-JP" w:bidi="th-TH"/>
              </w:rPr>
              <w:t>Average Annual Total Return on NAV for the 5 Year Period Ending 0</w:t>
            </w:r>
            <w:r>
              <w:rPr>
                <w:color w:val="000000"/>
                <w:sz w:val="22"/>
                <w:szCs w:val="22"/>
                <w:lang w:eastAsia="ja-JP" w:bidi="th-TH"/>
              </w:rPr>
              <w:t>2</w:t>
            </w:r>
            <w:r w:rsidRPr="001905C3">
              <w:rPr>
                <w:color w:val="000000"/>
                <w:sz w:val="22"/>
                <w:szCs w:val="22"/>
                <w:lang w:eastAsia="ja-JP" w:bidi="th-TH"/>
              </w:rPr>
              <w:t>/</w:t>
            </w:r>
            <w:r>
              <w:rPr>
                <w:color w:val="000000"/>
                <w:sz w:val="22"/>
                <w:szCs w:val="22"/>
                <w:lang w:eastAsia="ja-JP" w:bidi="th-TH"/>
              </w:rPr>
              <w:t>28</w:t>
            </w:r>
            <w:r w:rsidRPr="001905C3">
              <w:rPr>
                <w:color w:val="000000"/>
                <w:sz w:val="22"/>
                <w:szCs w:val="22"/>
                <w:lang w:eastAsia="ja-JP" w:bidi="th-TH"/>
              </w:rPr>
              <w:t>/2022¹</w:t>
            </w:r>
          </w:p>
        </w:tc>
        <w:tc>
          <w:tcPr>
            <w:tcW w:w="1741" w:type="dxa"/>
            <w:tcBorders>
              <w:top w:val="nil"/>
              <w:left w:val="nil"/>
              <w:bottom w:val="single" w:sz="4" w:space="0" w:color="auto"/>
              <w:right w:val="single" w:sz="4" w:space="0" w:color="auto"/>
            </w:tcBorders>
            <w:shd w:val="clear" w:color="auto" w:fill="auto"/>
            <w:vAlign w:val="center"/>
            <w:hideMark/>
          </w:tcPr>
          <w:p w14:paraId="22F94B22" w14:textId="77777777" w:rsidR="00191A6D" w:rsidRPr="001905C3" w:rsidRDefault="00191A6D" w:rsidP="00674D17">
            <w:pPr>
              <w:jc w:val="center"/>
              <w:rPr>
                <w:color w:val="000000"/>
                <w:sz w:val="22"/>
                <w:szCs w:val="22"/>
                <w:lang w:eastAsia="ja-JP" w:bidi="th-TH"/>
              </w:rPr>
            </w:pPr>
            <w:r w:rsidRPr="001905C3">
              <w:rPr>
                <w:color w:val="000000"/>
                <w:sz w:val="22"/>
                <w:szCs w:val="22"/>
                <w:lang w:eastAsia="ja-JP" w:bidi="th-TH"/>
              </w:rPr>
              <w:t>Current Fiscal Period’s Annualized Distribution Rate on NAV²</w:t>
            </w:r>
          </w:p>
        </w:tc>
        <w:tc>
          <w:tcPr>
            <w:tcW w:w="1718" w:type="dxa"/>
            <w:tcBorders>
              <w:top w:val="nil"/>
              <w:left w:val="nil"/>
              <w:bottom w:val="single" w:sz="4" w:space="0" w:color="auto"/>
              <w:right w:val="single" w:sz="4" w:space="0" w:color="auto"/>
            </w:tcBorders>
            <w:shd w:val="clear" w:color="auto" w:fill="auto"/>
            <w:vAlign w:val="center"/>
            <w:hideMark/>
          </w:tcPr>
          <w:p w14:paraId="50C40E6C" w14:textId="77777777" w:rsidR="00191A6D" w:rsidRPr="001905C3" w:rsidRDefault="00191A6D" w:rsidP="00674D17">
            <w:pPr>
              <w:jc w:val="center"/>
              <w:rPr>
                <w:color w:val="000000"/>
                <w:sz w:val="22"/>
                <w:szCs w:val="22"/>
                <w:lang w:eastAsia="ja-JP" w:bidi="th-TH"/>
              </w:rPr>
            </w:pPr>
            <w:r w:rsidRPr="001905C3">
              <w:rPr>
                <w:color w:val="000000"/>
                <w:sz w:val="22"/>
                <w:szCs w:val="22"/>
                <w:lang w:eastAsia="ja-JP" w:bidi="th-TH"/>
              </w:rPr>
              <w:t>Cumulative Total Return on NAV¹</w:t>
            </w:r>
          </w:p>
        </w:tc>
        <w:tc>
          <w:tcPr>
            <w:tcW w:w="1741" w:type="dxa"/>
            <w:tcBorders>
              <w:top w:val="nil"/>
              <w:left w:val="nil"/>
              <w:bottom w:val="single" w:sz="4" w:space="0" w:color="auto"/>
              <w:right w:val="single" w:sz="8" w:space="0" w:color="auto"/>
            </w:tcBorders>
            <w:shd w:val="clear" w:color="auto" w:fill="auto"/>
            <w:vAlign w:val="center"/>
            <w:hideMark/>
          </w:tcPr>
          <w:p w14:paraId="0C6A327C" w14:textId="77777777" w:rsidR="00191A6D" w:rsidRPr="001905C3" w:rsidRDefault="00191A6D" w:rsidP="00674D17">
            <w:pPr>
              <w:jc w:val="center"/>
              <w:rPr>
                <w:color w:val="000000"/>
                <w:sz w:val="22"/>
                <w:szCs w:val="22"/>
                <w:lang w:eastAsia="ja-JP" w:bidi="th-TH"/>
              </w:rPr>
            </w:pPr>
            <w:r w:rsidRPr="001905C3">
              <w:rPr>
                <w:color w:val="000000"/>
                <w:sz w:val="22"/>
                <w:szCs w:val="22"/>
                <w:lang w:eastAsia="ja-JP" w:bidi="th-TH"/>
              </w:rPr>
              <w:t>Cumulative Distribution Rate on NAV²</w:t>
            </w:r>
          </w:p>
        </w:tc>
      </w:tr>
      <w:tr w:rsidR="00191A6D" w:rsidRPr="002C455F" w14:paraId="6D396CF9" w14:textId="77777777" w:rsidTr="00674D17">
        <w:trPr>
          <w:trHeight w:val="300"/>
          <w:jc w:val="center"/>
        </w:trPr>
        <w:tc>
          <w:tcPr>
            <w:tcW w:w="730"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9AA5FA4" w14:textId="2F72AC6B" w:rsidR="00191A6D" w:rsidRPr="001905C3" w:rsidRDefault="00191A6D" w:rsidP="00674D17">
            <w:pPr>
              <w:jc w:val="center"/>
              <w:rPr>
                <w:color w:val="000000"/>
                <w:sz w:val="22"/>
                <w:szCs w:val="22"/>
                <w:lang w:eastAsia="ja-JP" w:bidi="th-TH"/>
              </w:rPr>
            </w:pPr>
            <w:r>
              <w:rPr>
                <w:color w:val="000000"/>
                <w:sz w:val="22"/>
                <w:szCs w:val="22"/>
                <w:lang w:eastAsia="ja-JP" w:bidi="th-TH"/>
              </w:rPr>
              <w:t>I</w:t>
            </w:r>
            <w:r w:rsidRPr="001905C3">
              <w:rPr>
                <w:color w:val="000000"/>
                <w:sz w:val="22"/>
                <w:szCs w:val="22"/>
                <w:lang w:eastAsia="ja-JP" w:bidi="th-TH"/>
              </w:rPr>
              <w:t>F</w:t>
            </w:r>
            <w:r>
              <w:rPr>
                <w:color w:val="000000"/>
                <w:sz w:val="22"/>
                <w:szCs w:val="22"/>
                <w:lang w:eastAsia="ja-JP" w:bidi="th-TH"/>
              </w:rPr>
              <w:t>N</w:t>
            </w:r>
          </w:p>
        </w:tc>
        <w:tc>
          <w:tcPr>
            <w:tcW w:w="1720" w:type="dxa"/>
            <w:tcBorders>
              <w:top w:val="single" w:sz="4" w:space="0" w:color="auto"/>
              <w:left w:val="nil"/>
              <w:bottom w:val="single" w:sz="4" w:space="0" w:color="auto"/>
              <w:right w:val="single" w:sz="4" w:space="0" w:color="auto"/>
            </w:tcBorders>
            <w:shd w:val="clear" w:color="auto" w:fill="auto"/>
            <w:noWrap/>
            <w:vAlign w:val="center"/>
          </w:tcPr>
          <w:p w14:paraId="3823D871" w14:textId="10C0A5D1" w:rsidR="00191A6D" w:rsidRPr="001905C3" w:rsidDel="000425E0" w:rsidRDefault="00B62CEF" w:rsidP="00674D17">
            <w:pPr>
              <w:jc w:val="center"/>
              <w:rPr>
                <w:color w:val="000000"/>
                <w:sz w:val="22"/>
                <w:szCs w:val="22"/>
                <w:lang w:eastAsia="ja-JP" w:bidi="th-TH"/>
              </w:rPr>
            </w:pPr>
            <w:r w:rsidRPr="00B62CEF">
              <w:rPr>
                <w:color w:val="000000"/>
                <w:sz w:val="22"/>
                <w:szCs w:val="22"/>
                <w:lang w:eastAsia="ja-JP" w:bidi="th-TH"/>
              </w:rPr>
              <w:t>9.85%</w:t>
            </w:r>
          </w:p>
        </w:tc>
        <w:tc>
          <w:tcPr>
            <w:tcW w:w="1741" w:type="dxa"/>
            <w:tcBorders>
              <w:top w:val="single" w:sz="4" w:space="0" w:color="auto"/>
              <w:left w:val="nil"/>
              <w:bottom w:val="single" w:sz="4" w:space="0" w:color="auto"/>
              <w:right w:val="single" w:sz="4" w:space="0" w:color="auto"/>
            </w:tcBorders>
            <w:shd w:val="clear" w:color="auto" w:fill="auto"/>
            <w:noWrap/>
            <w:vAlign w:val="center"/>
          </w:tcPr>
          <w:p w14:paraId="523333ED" w14:textId="7C72761F" w:rsidR="00191A6D" w:rsidRPr="001905C3" w:rsidDel="000425E0" w:rsidRDefault="001E2C0E" w:rsidP="00674D17">
            <w:pPr>
              <w:jc w:val="center"/>
              <w:rPr>
                <w:color w:val="000000"/>
                <w:sz w:val="22"/>
                <w:szCs w:val="22"/>
                <w:lang w:eastAsia="ja-JP" w:bidi="th-TH"/>
              </w:rPr>
            </w:pPr>
            <w:r w:rsidRPr="001E2C0E">
              <w:rPr>
                <w:color w:val="000000"/>
                <w:sz w:val="22"/>
                <w:szCs w:val="22"/>
                <w:lang w:eastAsia="ja-JP" w:bidi="th-TH"/>
              </w:rPr>
              <w:t>N/A*</w:t>
            </w:r>
          </w:p>
        </w:tc>
        <w:tc>
          <w:tcPr>
            <w:tcW w:w="1718" w:type="dxa"/>
            <w:tcBorders>
              <w:top w:val="single" w:sz="4" w:space="0" w:color="auto"/>
              <w:left w:val="nil"/>
              <w:bottom w:val="single" w:sz="4" w:space="0" w:color="auto"/>
              <w:right w:val="single" w:sz="4" w:space="0" w:color="auto"/>
            </w:tcBorders>
            <w:shd w:val="clear" w:color="auto" w:fill="auto"/>
            <w:noWrap/>
            <w:vAlign w:val="center"/>
          </w:tcPr>
          <w:p w14:paraId="115BF2E0" w14:textId="35EAC785" w:rsidR="00191A6D" w:rsidRPr="001905C3" w:rsidDel="000425E0" w:rsidRDefault="00B62CEF" w:rsidP="00674D17">
            <w:pPr>
              <w:jc w:val="center"/>
              <w:rPr>
                <w:color w:val="000000"/>
                <w:sz w:val="22"/>
                <w:szCs w:val="22"/>
                <w:lang w:eastAsia="ja-JP" w:bidi="th-TH"/>
              </w:rPr>
            </w:pPr>
            <w:r w:rsidRPr="00B62CEF">
              <w:rPr>
                <w:color w:val="000000"/>
                <w:sz w:val="22"/>
                <w:szCs w:val="22"/>
                <w:lang w:eastAsia="ja-JP" w:bidi="th-TH"/>
              </w:rPr>
              <w:t>-8.01%</w:t>
            </w:r>
          </w:p>
        </w:tc>
        <w:tc>
          <w:tcPr>
            <w:tcW w:w="1741" w:type="dxa"/>
            <w:tcBorders>
              <w:top w:val="single" w:sz="4" w:space="0" w:color="auto"/>
              <w:left w:val="nil"/>
              <w:bottom w:val="single" w:sz="4" w:space="0" w:color="auto"/>
              <w:right w:val="single" w:sz="8" w:space="0" w:color="auto"/>
            </w:tcBorders>
            <w:shd w:val="clear" w:color="auto" w:fill="auto"/>
            <w:noWrap/>
            <w:vAlign w:val="center"/>
          </w:tcPr>
          <w:p w14:paraId="0F8144CF" w14:textId="1FA866B6" w:rsidR="00191A6D" w:rsidRPr="001905C3" w:rsidDel="000425E0" w:rsidRDefault="001E2C0E" w:rsidP="00674D17">
            <w:pPr>
              <w:jc w:val="center"/>
              <w:rPr>
                <w:color w:val="000000"/>
                <w:sz w:val="22"/>
                <w:szCs w:val="22"/>
                <w:lang w:eastAsia="ja-JP" w:bidi="th-TH"/>
              </w:rPr>
            </w:pPr>
            <w:r w:rsidRPr="001E2C0E">
              <w:rPr>
                <w:color w:val="000000"/>
                <w:sz w:val="22"/>
                <w:szCs w:val="22"/>
                <w:lang w:eastAsia="ja-JP" w:bidi="th-TH"/>
              </w:rPr>
              <w:t>N/A*</w:t>
            </w:r>
          </w:p>
        </w:tc>
      </w:tr>
    </w:tbl>
    <w:p w14:paraId="4F167A00" w14:textId="77777777" w:rsidR="00191A6D" w:rsidRPr="00E57CA1" w:rsidRDefault="00191A6D" w:rsidP="00191A6D">
      <w:r w:rsidRPr="00E57CA1">
        <w:rPr>
          <w:vertAlign w:val="superscript"/>
        </w:rPr>
        <w:t>1</w:t>
      </w:r>
      <w:r w:rsidRPr="00E57CA1">
        <w:t xml:space="preserve"> </w:t>
      </w:r>
      <w:r w:rsidRPr="00517854">
        <w:t>Return data is net of all fund expenses and fees and assumes the reinvestment of all distributions reinvested at prices obtained under the Fund’s dividend reinvestment plan</w:t>
      </w:r>
      <w:r>
        <w:t>.</w:t>
      </w:r>
    </w:p>
    <w:p w14:paraId="2C534145" w14:textId="77777777" w:rsidR="00191A6D" w:rsidRDefault="00191A6D" w:rsidP="00191A6D">
      <w:proofErr w:type="gramStart"/>
      <w:r w:rsidRPr="00E57CA1">
        <w:rPr>
          <w:vertAlign w:val="superscript"/>
        </w:rPr>
        <w:t xml:space="preserve">2 </w:t>
      </w:r>
      <w:r w:rsidRPr="00E57CA1">
        <w:t xml:space="preserve">Based on the Fund’s NAV as of </w:t>
      </w:r>
      <w:r>
        <w:t>February 28</w:t>
      </w:r>
      <w:r w:rsidRPr="00E57CA1">
        <w:t>, 202</w:t>
      </w:r>
      <w:r>
        <w:t>2</w:t>
      </w:r>
      <w:r w:rsidRPr="00E57CA1">
        <w:t>.</w:t>
      </w:r>
      <w:proofErr w:type="gramEnd"/>
    </w:p>
    <w:p w14:paraId="13B6EABE" w14:textId="279D4E27" w:rsidR="00193082" w:rsidRPr="00F82ED0" w:rsidRDefault="001E2C0E" w:rsidP="008F53FC">
      <w:pPr>
        <w:rPr>
          <w:sz w:val="22"/>
          <w:szCs w:val="22"/>
        </w:rPr>
      </w:pPr>
      <w:r w:rsidRPr="00F82ED0">
        <w:t>*The Fund’s f</w:t>
      </w:r>
      <w:r>
        <w:t>iscal period to date is 1/1/2022 to 2/28/2022</w:t>
      </w:r>
      <w:r w:rsidRPr="00F82ED0">
        <w:t xml:space="preserve"> and there were no distributions in this period</w:t>
      </w:r>
      <w:r w:rsidRPr="001E2C0E">
        <w:rPr>
          <w:sz w:val="22"/>
          <w:szCs w:val="22"/>
        </w:rPr>
        <w:t>.</w:t>
      </w:r>
      <w:r w:rsidR="00191A6D" w:rsidRPr="00191A6D" w:rsidDel="00191A6D">
        <w:rPr>
          <w:sz w:val="22"/>
          <w:szCs w:val="22"/>
          <w:highlight w:val="yellow"/>
        </w:rPr>
        <w:t xml:space="preserve"> </w:t>
      </w:r>
    </w:p>
    <w:p w14:paraId="6B583F0E" w14:textId="77777777" w:rsidR="003F0581" w:rsidRPr="00F82ED0" w:rsidRDefault="003F0581" w:rsidP="003F0581">
      <w:pPr>
        <w:rPr>
          <w:sz w:val="22"/>
          <w:szCs w:val="22"/>
        </w:rPr>
      </w:pPr>
      <w:r w:rsidRPr="00F82ED0">
        <w:rPr>
          <w:sz w:val="22"/>
          <w:szCs w:val="22"/>
        </w:rPr>
        <w:lastRenderedPageBreak/>
        <w:t xml:space="preserve">While NAV performance may be indicative of the Fund’s investment performance, it does not measure the value of a shareholder’s investment in the Fund. The value of a shareholder’s investment in the Fund is determined by the Fund’s market price, which is based on the supply and demand for the Fund’s shares in the open market. </w:t>
      </w:r>
    </w:p>
    <w:p w14:paraId="3377F998" w14:textId="77777777" w:rsidR="003F0581" w:rsidRPr="00F82ED0" w:rsidRDefault="003F0581" w:rsidP="003F0581">
      <w:pPr>
        <w:rPr>
          <w:sz w:val="22"/>
          <w:szCs w:val="22"/>
          <w:highlight w:val="yellow"/>
        </w:rPr>
      </w:pPr>
    </w:p>
    <w:p w14:paraId="1CAEF94A" w14:textId="5BB019D8" w:rsidR="003F0581" w:rsidRPr="00F82ED0" w:rsidRDefault="003F0581" w:rsidP="003F0581">
      <w:pPr>
        <w:rPr>
          <w:sz w:val="22"/>
          <w:szCs w:val="22"/>
        </w:rPr>
      </w:pPr>
      <w:r w:rsidRPr="00F82ED0">
        <w:rPr>
          <w:sz w:val="22"/>
          <w:szCs w:val="22"/>
        </w:rPr>
        <w:t>Pursuant to an exemptive order granted by the Securities and Exchange Commission, the Funds may distribute any long-term capital gains more frequently than the limits provided in Section 19(b) under the 1940 Act and Rule 19b-1 thereunder. Therefore, distributions paid by the Funds during the year may include net income, short-term capital gains, long-term capital gains and/or a return of capital. Net income dividends and short</w:t>
      </w:r>
      <w:r w:rsidR="00340DAF" w:rsidRPr="00F82ED0">
        <w:rPr>
          <w:sz w:val="22"/>
          <w:szCs w:val="22"/>
        </w:rPr>
        <w:t>-</w:t>
      </w:r>
      <w:r w:rsidRPr="00F82ED0">
        <w:rPr>
          <w:sz w:val="22"/>
          <w:szCs w:val="22"/>
        </w:rPr>
        <w:t xml:space="preserve">term capital gain dividends, while generally taxable at ordinary income rates, may be eligible, to the extent of qualified dividend income earned by the Funds, to be taxed at a lower rate not to exceed the maximum rate applicable to your long-term capital gains. Distributions made in any calendar year in excess of investment company taxable income and net capital gain are treated as taxable ordinary dividends to the extent of undistributed earnings and profits, and then as a return of capital that reduces the adjusted basis in the shares held. To the extent return of capital distributions exceed the adjusted basis in the shares held, capital gain is recognized with a holding period based on the period the shares have been held at the date such amount is received. </w:t>
      </w:r>
    </w:p>
    <w:p w14:paraId="7F9E40C7" w14:textId="77777777" w:rsidR="003F0581" w:rsidRPr="00F82ED0" w:rsidRDefault="003F0581" w:rsidP="003F0581">
      <w:pPr>
        <w:rPr>
          <w:sz w:val="22"/>
          <w:szCs w:val="22"/>
        </w:rPr>
      </w:pPr>
    </w:p>
    <w:p w14:paraId="75281BA2" w14:textId="77777777" w:rsidR="003F0581" w:rsidRPr="00F82ED0" w:rsidRDefault="003F0581" w:rsidP="003F0581">
      <w:pPr>
        <w:rPr>
          <w:sz w:val="22"/>
          <w:szCs w:val="22"/>
        </w:rPr>
      </w:pPr>
      <w:r w:rsidRPr="00F82ED0">
        <w:rPr>
          <w:sz w:val="22"/>
          <w:szCs w:val="22"/>
        </w:rPr>
        <w:t>The payment of distributions in accordance with the Distribution Policy may result in a decrease in the Fund’s net assets. A decrease in the Fund’s net assets may cause an increase in the Fund’s annual operating expense ratio and a decrease in the Fund’s market price per share to the extent the market price correlates closely to the Fund’s net asset value per share. The Distribution Policy may also negatively affect the Fund’s investment activities to the extent that the Fund is required to hold larger cash positions than it typically would hold or to the extent that the Fund must liquidate securities that it would not have sold, for the purpose of paying the distribution. Each Fund’s Board has the right to amend, suspend or terminate the Distribution Policy at any time. The amendment, suspension or termination of the Distribution Policy may affect the Fund’s market price per share. Investors should consult their tax advisor regarding federal, state and local tax considerations that may be applicable in their particular circumstances.</w:t>
      </w:r>
    </w:p>
    <w:p w14:paraId="1EB9141C" w14:textId="77777777" w:rsidR="00D573BF" w:rsidRPr="00F82ED0" w:rsidRDefault="00D573BF" w:rsidP="008F53FC">
      <w:pPr>
        <w:rPr>
          <w:sz w:val="22"/>
          <w:szCs w:val="22"/>
        </w:rPr>
      </w:pPr>
    </w:p>
    <w:p w14:paraId="7715DE7D" w14:textId="56BCCB8A" w:rsidR="00193082" w:rsidRPr="00F82ED0" w:rsidRDefault="00193082" w:rsidP="008F53FC">
      <w:pPr>
        <w:rPr>
          <w:sz w:val="22"/>
          <w:szCs w:val="22"/>
        </w:rPr>
      </w:pPr>
      <w:r w:rsidRPr="00F82ED0">
        <w:rPr>
          <w:sz w:val="22"/>
          <w:szCs w:val="22"/>
        </w:rPr>
        <w:t xml:space="preserve">In the United States, </w:t>
      </w:r>
      <w:proofErr w:type="spellStart"/>
      <w:r w:rsidRPr="00F82ED0">
        <w:rPr>
          <w:sz w:val="22"/>
          <w:szCs w:val="22"/>
        </w:rPr>
        <w:t>abrdn</w:t>
      </w:r>
      <w:proofErr w:type="spellEnd"/>
      <w:r w:rsidRPr="00F82ED0">
        <w:rPr>
          <w:sz w:val="22"/>
          <w:szCs w:val="22"/>
        </w:rPr>
        <w:t xml:space="preserve"> is the marketing name for the following affiliated, registered investment advisers: </w:t>
      </w:r>
      <w:proofErr w:type="spellStart"/>
      <w:r w:rsidR="0088302F" w:rsidRPr="00F82ED0">
        <w:rPr>
          <w:sz w:val="22"/>
          <w:szCs w:val="22"/>
        </w:rPr>
        <w:t>abrdn</w:t>
      </w:r>
      <w:proofErr w:type="spellEnd"/>
      <w:r w:rsidRPr="00F82ED0">
        <w:rPr>
          <w:sz w:val="22"/>
          <w:szCs w:val="22"/>
        </w:rPr>
        <w:t xml:space="preserve"> Inc., Aberdeen Asset Managers Ltd., </w:t>
      </w:r>
      <w:proofErr w:type="spellStart"/>
      <w:r w:rsidRPr="00F82ED0">
        <w:rPr>
          <w:sz w:val="22"/>
          <w:szCs w:val="22"/>
        </w:rPr>
        <w:t>abrdn</w:t>
      </w:r>
      <w:proofErr w:type="spellEnd"/>
      <w:r w:rsidRPr="00F82ED0">
        <w:rPr>
          <w:sz w:val="22"/>
          <w:szCs w:val="22"/>
        </w:rPr>
        <w:t xml:space="preserve"> Australia Limited, </w:t>
      </w:r>
      <w:proofErr w:type="spellStart"/>
      <w:r w:rsidRPr="00F82ED0">
        <w:rPr>
          <w:sz w:val="22"/>
          <w:szCs w:val="22"/>
        </w:rPr>
        <w:t>abrdn</w:t>
      </w:r>
      <w:proofErr w:type="spellEnd"/>
      <w:r w:rsidRPr="00F82ED0">
        <w:rPr>
          <w:sz w:val="22"/>
          <w:szCs w:val="22"/>
        </w:rPr>
        <w:t xml:space="preserve"> Asia Ltd., Aberdeen Capital Management, LLC, </w:t>
      </w:r>
      <w:proofErr w:type="spellStart"/>
      <w:r w:rsidR="0088302F" w:rsidRPr="00F82ED0">
        <w:rPr>
          <w:sz w:val="22"/>
          <w:szCs w:val="22"/>
        </w:rPr>
        <w:t>abrdn</w:t>
      </w:r>
      <w:proofErr w:type="spellEnd"/>
      <w:r w:rsidR="0088302F" w:rsidRPr="00F82ED0">
        <w:rPr>
          <w:sz w:val="22"/>
          <w:szCs w:val="22"/>
        </w:rPr>
        <w:t xml:space="preserve"> ETFs Advisors LLC</w:t>
      </w:r>
      <w:r w:rsidRPr="00F82ED0">
        <w:rPr>
          <w:sz w:val="22"/>
          <w:szCs w:val="22"/>
        </w:rPr>
        <w:t xml:space="preserve"> and Aberdeen Standard Alternative Funds Limited. </w:t>
      </w:r>
    </w:p>
    <w:p w14:paraId="1D0562BD" w14:textId="77777777" w:rsidR="00193082" w:rsidRPr="00F82ED0" w:rsidRDefault="00193082" w:rsidP="008F53FC">
      <w:pPr>
        <w:rPr>
          <w:sz w:val="22"/>
          <w:szCs w:val="22"/>
        </w:rPr>
      </w:pPr>
    </w:p>
    <w:p w14:paraId="72A9B3EA" w14:textId="416A2919" w:rsidR="00193082" w:rsidRPr="00F82ED0" w:rsidRDefault="00193082" w:rsidP="008F53FC">
      <w:pPr>
        <w:rPr>
          <w:sz w:val="22"/>
          <w:szCs w:val="22"/>
        </w:rPr>
      </w:pPr>
      <w:r w:rsidRPr="00F82ED0">
        <w:rPr>
          <w:sz w:val="22"/>
          <w:szCs w:val="22"/>
        </w:rPr>
        <w:t>Closed-end funds are traded on the secondary market through one of the stock exchanges. A Fund’s investment return and principal value will fluctuate so that an investor’s shares may be worth more or less than the original cost. Shares of closed-end funds may trade above (a premium) or below (a discount) the net asset value (NAV) of the fund’s portfolio. There is no assurance that a Fund will achieve its investment objective. Past performance does not guarantee future results</w:t>
      </w:r>
      <w:r w:rsidR="00340DAF" w:rsidRPr="00F82ED0">
        <w:rPr>
          <w:sz w:val="22"/>
          <w:szCs w:val="22"/>
        </w:rPr>
        <w:t>.</w:t>
      </w:r>
    </w:p>
    <w:p w14:paraId="73680E3E" w14:textId="77777777" w:rsidR="00193082" w:rsidRPr="00C2057D" w:rsidRDefault="00193082" w:rsidP="008F53FC">
      <w:pPr>
        <w:rPr>
          <w:sz w:val="22"/>
          <w:szCs w:val="22"/>
        </w:rPr>
      </w:pPr>
    </w:p>
    <w:p w14:paraId="79F752A3" w14:textId="77777777" w:rsidR="00790F07" w:rsidRPr="00C2057D" w:rsidRDefault="00790F07" w:rsidP="00790F07">
      <w:pPr>
        <w:pStyle w:val="NormalWeb"/>
        <w:jc w:val="both"/>
        <w:rPr>
          <w:sz w:val="22"/>
          <w:szCs w:val="22"/>
        </w:rPr>
      </w:pPr>
    </w:p>
    <w:p w14:paraId="202A29A2" w14:textId="77777777" w:rsidR="00790F07" w:rsidRPr="00C2057D" w:rsidRDefault="00790F07" w:rsidP="00790F07">
      <w:pPr>
        <w:pBdr>
          <w:top w:val="single" w:sz="12" w:space="1" w:color="auto"/>
          <w:left w:val="single" w:sz="12" w:space="4" w:color="auto"/>
          <w:bottom w:val="single" w:sz="12" w:space="1" w:color="auto"/>
          <w:right w:val="single" w:sz="12" w:space="0" w:color="auto"/>
        </w:pBdr>
        <w:jc w:val="center"/>
        <w:rPr>
          <w:snapToGrid w:val="0"/>
          <w:color w:val="0000FF"/>
          <w:u w:val="single"/>
        </w:rPr>
      </w:pPr>
      <w:r w:rsidRPr="00C2057D">
        <w:rPr>
          <w:vanish/>
        </w:rPr>
        <w:t xml:space="preserve">If you </w:t>
      </w:r>
      <w:r w:rsidRPr="00C2057D">
        <w:t>If you wish to receive this information electronically, please contact Investor.Relations@abrdn.com</w:t>
      </w:r>
    </w:p>
    <w:p w14:paraId="0C8BED6B" w14:textId="77777777" w:rsidR="00790F07" w:rsidRPr="00C2057D" w:rsidRDefault="00790F07" w:rsidP="00790F07">
      <w:pPr>
        <w:jc w:val="center"/>
        <w:rPr>
          <w:sz w:val="22"/>
          <w:szCs w:val="22"/>
        </w:rPr>
      </w:pPr>
    </w:p>
    <w:p w14:paraId="6F1FD2DF" w14:textId="77777777" w:rsidR="00790F07" w:rsidRPr="009E4949" w:rsidRDefault="00790F07" w:rsidP="00790F07">
      <w:pPr>
        <w:jc w:val="center"/>
        <w:rPr>
          <w:sz w:val="22"/>
          <w:szCs w:val="22"/>
        </w:rPr>
      </w:pPr>
      <w:r w:rsidRPr="00C2057D">
        <w:rPr>
          <w:sz w:val="22"/>
          <w:szCs w:val="22"/>
        </w:rPr>
        <w:t>###</w:t>
      </w:r>
    </w:p>
    <w:p w14:paraId="32E9AD46" w14:textId="77777777" w:rsidR="00C31CAB" w:rsidRDefault="00C31CAB">
      <w:pPr>
        <w:ind w:left="90"/>
        <w:jc w:val="right"/>
        <w:rPr>
          <w:b/>
          <w:sz w:val="48"/>
        </w:rPr>
      </w:pPr>
    </w:p>
    <w:sectPr w:rsidR="00C31CAB">
      <w:headerReference w:type="default" r:id="rId10"/>
      <w:pgSz w:w="12240" w:h="15840" w:code="1"/>
      <w:pgMar w:top="567" w:right="1134" w:bottom="426"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BFA8DE" w14:textId="77777777" w:rsidR="0055728E" w:rsidRDefault="0055728E">
      <w:r>
        <w:separator/>
      </w:r>
    </w:p>
  </w:endnote>
  <w:endnote w:type="continuationSeparator" w:id="0">
    <w:p w14:paraId="5C4DB84F" w14:textId="77777777" w:rsidR="0055728E" w:rsidRDefault="005572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00193B" w14:textId="77777777" w:rsidR="0055728E" w:rsidRDefault="0055728E">
      <w:r>
        <w:separator/>
      </w:r>
    </w:p>
  </w:footnote>
  <w:footnote w:type="continuationSeparator" w:id="0">
    <w:p w14:paraId="4B1E2743" w14:textId="77777777" w:rsidR="0055728E" w:rsidRDefault="005572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3DC848" w14:textId="77777777" w:rsidR="00C31CAB" w:rsidRDefault="00F82ED0">
    <w:pPr>
      <w:tabs>
        <w:tab w:val="center" w:pos="4320"/>
        <w:tab w:val="right" w:pos="8640"/>
      </w:tabs>
      <w:jc w:val="right"/>
    </w:pPr>
    <w:sdt>
      <w:sdtPr>
        <w:id w:val="1854528517"/>
        <w:docPartObj>
          <w:docPartGallery w:val="Watermarks"/>
          <w:docPartUnique/>
        </w:docPartObj>
      </w:sdtPr>
      <w:sdtEndPr/>
      <w:sdtContent>
        <w:r>
          <w:rPr>
            <w:noProof/>
            <w:lang w:eastAsia="zh-TW"/>
          </w:rPr>
          <w:pict w14:anchorId="330D794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4C6E1A">
      <w:rPr>
        <w:noProof/>
        <w:lang w:val="en-GB" w:eastAsia="en-GB"/>
      </w:rPr>
      <w:drawing>
        <wp:inline distT="0" distB="0" distL="0" distR="0" wp14:anchorId="26F26872" wp14:editId="3C9D941D">
          <wp:extent cx="2001520" cy="4311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1520" cy="431165"/>
                  </a:xfrm>
                  <a:prstGeom prst="rect">
                    <a:avLst/>
                  </a:prstGeom>
                  <a:noFill/>
                  <a:ln>
                    <a:noFill/>
                  </a:ln>
                </pic:spPr>
              </pic:pic>
            </a:graphicData>
          </a:graphic>
        </wp:inline>
      </w:drawing>
    </w:r>
  </w:p>
  <w:p w14:paraId="7C3943C0" w14:textId="77777777" w:rsidR="00C31CAB" w:rsidRDefault="00C31CA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C484E8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409886B4"/>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32649072"/>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F89E4646"/>
    <w:lvl w:ilvl="0">
      <w:start w:val="1"/>
      <w:numFmt w:val="decimal"/>
      <w:pStyle w:val="ListNumber2"/>
      <w:lvlText w:val="%1."/>
      <w:lvlJc w:val="left"/>
      <w:pPr>
        <w:tabs>
          <w:tab w:val="num" w:pos="720"/>
        </w:tabs>
        <w:ind w:left="720" w:hanging="360"/>
      </w:pPr>
    </w:lvl>
  </w:abstractNum>
  <w:abstractNum w:abstractNumId="4">
    <w:nsid w:val="FFFFFF80"/>
    <w:multiLevelType w:val="singleLevel"/>
    <w:tmpl w:val="CBE0F94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85C449B6"/>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2408D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2842EC84"/>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406CD3F4"/>
    <w:lvl w:ilvl="0">
      <w:start w:val="1"/>
      <w:numFmt w:val="decimal"/>
      <w:pStyle w:val="ListNumber"/>
      <w:lvlText w:val="%1."/>
      <w:lvlJc w:val="left"/>
      <w:pPr>
        <w:tabs>
          <w:tab w:val="num" w:pos="360"/>
        </w:tabs>
        <w:ind w:left="360" w:hanging="360"/>
      </w:pPr>
    </w:lvl>
  </w:abstractNum>
  <w:abstractNum w:abstractNumId="9">
    <w:nsid w:val="FFFFFF89"/>
    <w:multiLevelType w:val="singleLevel"/>
    <w:tmpl w:val="8962D9B2"/>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5C602881"/>
    <w:multiLevelType w:val="hybridMultilevel"/>
    <w:tmpl w:val="221E5496"/>
    <w:lvl w:ilvl="0" w:tplc="A1107DEA">
      <w:start w:val="1"/>
      <w:numFmt w:val="bullet"/>
      <w:lvlText w:val=""/>
      <w:lvlJc w:val="left"/>
      <w:pPr>
        <w:tabs>
          <w:tab w:val="num" w:pos="720"/>
        </w:tabs>
        <w:ind w:left="720" w:hanging="360"/>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DE0724D"/>
    <w:multiLevelType w:val="hybridMultilevel"/>
    <w:tmpl w:val="4888FE94"/>
    <w:lvl w:ilvl="0" w:tplc="08090011">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chert LLP">
    <w15:presenceInfo w15:providerId="None" w15:userId="Dechert LL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5"/>
    <o:shapelayout v:ext="edit">
      <o:idmap v:ext="edit" data="1"/>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471C"/>
    <w:rsid w:val="000025E8"/>
    <w:rsid w:val="0002559C"/>
    <w:rsid w:val="00041429"/>
    <w:rsid w:val="0005194F"/>
    <w:rsid w:val="0005758A"/>
    <w:rsid w:val="000C4788"/>
    <w:rsid w:val="000D3DE1"/>
    <w:rsid w:val="00115A13"/>
    <w:rsid w:val="00137BB1"/>
    <w:rsid w:val="001505E5"/>
    <w:rsid w:val="00154F55"/>
    <w:rsid w:val="001843FB"/>
    <w:rsid w:val="00191A6D"/>
    <w:rsid w:val="00193082"/>
    <w:rsid w:val="001E2C0E"/>
    <w:rsid w:val="001F0B70"/>
    <w:rsid w:val="00240E5F"/>
    <w:rsid w:val="00256E84"/>
    <w:rsid w:val="002619E9"/>
    <w:rsid w:val="002B1FEE"/>
    <w:rsid w:val="002E63B4"/>
    <w:rsid w:val="00340DAF"/>
    <w:rsid w:val="003926C8"/>
    <w:rsid w:val="003D02E9"/>
    <w:rsid w:val="003E6750"/>
    <w:rsid w:val="003F0581"/>
    <w:rsid w:val="00410CDB"/>
    <w:rsid w:val="00417A49"/>
    <w:rsid w:val="004611A3"/>
    <w:rsid w:val="004C6E1A"/>
    <w:rsid w:val="005162AD"/>
    <w:rsid w:val="00522442"/>
    <w:rsid w:val="005378CC"/>
    <w:rsid w:val="0054706C"/>
    <w:rsid w:val="0055728E"/>
    <w:rsid w:val="00557979"/>
    <w:rsid w:val="00567EE2"/>
    <w:rsid w:val="005815D5"/>
    <w:rsid w:val="00583648"/>
    <w:rsid w:val="005A1C34"/>
    <w:rsid w:val="005B5CE1"/>
    <w:rsid w:val="0061328D"/>
    <w:rsid w:val="006524A0"/>
    <w:rsid w:val="00667425"/>
    <w:rsid w:val="006778AF"/>
    <w:rsid w:val="006E0F44"/>
    <w:rsid w:val="006E13F5"/>
    <w:rsid w:val="0072736D"/>
    <w:rsid w:val="007317A1"/>
    <w:rsid w:val="00790F07"/>
    <w:rsid w:val="007C7D7B"/>
    <w:rsid w:val="007D385E"/>
    <w:rsid w:val="007D545B"/>
    <w:rsid w:val="0088302F"/>
    <w:rsid w:val="0088565B"/>
    <w:rsid w:val="008C70B5"/>
    <w:rsid w:val="008F4264"/>
    <w:rsid w:val="008F53FC"/>
    <w:rsid w:val="0093224E"/>
    <w:rsid w:val="009463DF"/>
    <w:rsid w:val="00960B73"/>
    <w:rsid w:val="009A68CC"/>
    <w:rsid w:val="009B1841"/>
    <w:rsid w:val="00A916BC"/>
    <w:rsid w:val="00AA74F9"/>
    <w:rsid w:val="00AD632F"/>
    <w:rsid w:val="00B52C50"/>
    <w:rsid w:val="00B54279"/>
    <w:rsid w:val="00B62CEF"/>
    <w:rsid w:val="00B6418B"/>
    <w:rsid w:val="00B708A7"/>
    <w:rsid w:val="00B9447D"/>
    <w:rsid w:val="00BF42F3"/>
    <w:rsid w:val="00C2057D"/>
    <w:rsid w:val="00C31CAB"/>
    <w:rsid w:val="00C362D8"/>
    <w:rsid w:val="00C429B8"/>
    <w:rsid w:val="00C82A9F"/>
    <w:rsid w:val="00D274E9"/>
    <w:rsid w:val="00D53F18"/>
    <w:rsid w:val="00D573BF"/>
    <w:rsid w:val="00D705F9"/>
    <w:rsid w:val="00DC69A8"/>
    <w:rsid w:val="00DC6DCF"/>
    <w:rsid w:val="00DC7300"/>
    <w:rsid w:val="00DF7ADE"/>
    <w:rsid w:val="00E13839"/>
    <w:rsid w:val="00E178AE"/>
    <w:rsid w:val="00E53403"/>
    <w:rsid w:val="00E651D8"/>
    <w:rsid w:val="00E746E3"/>
    <w:rsid w:val="00EC471C"/>
    <w:rsid w:val="00EE02D2"/>
    <w:rsid w:val="00F10DBD"/>
    <w:rsid w:val="00F41A95"/>
    <w:rsid w:val="00F471FC"/>
    <w:rsid w:val="00F82ED0"/>
    <w:rsid w:val="00F90334"/>
    <w:rsid w:val="00F9714A"/>
    <w:rsid w:val="00FB5E2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oNotEmbedSmartTags/>
  <w:decimalSymbol w:val="."/>
  <w:listSeparator w:val=","/>
  <w14:docId w14:val="55736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ind w:left="504"/>
      <w:outlineLvl w:val="0"/>
    </w:pPr>
    <w:rPr>
      <w:rFonts w:ascii="Arial Narrow" w:hAnsi="Arial Narrow"/>
      <w:sz w:val="24"/>
    </w:rPr>
  </w:style>
  <w:style w:type="paragraph" w:styleId="Heading2">
    <w:name w:val="heading 2"/>
    <w:basedOn w:val="Normal"/>
    <w:next w:val="Normal"/>
    <w:qFormat/>
    <w:pPr>
      <w:keepNext/>
      <w:spacing w:line="360" w:lineRule="auto"/>
      <w:jc w:val="center"/>
      <w:outlineLvl w:val="1"/>
    </w:pPr>
    <w:rPr>
      <w:rFonts w:ascii="Arial Narrow" w:hAnsi="Arial Narrow"/>
      <w:b/>
      <w:sz w:val="24"/>
    </w:rPr>
  </w:style>
  <w:style w:type="paragraph" w:styleId="Heading3">
    <w:name w:val="heading 3"/>
    <w:basedOn w:val="Normal"/>
    <w:next w:val="Normal"/>
    <w:qFormat/>
    <w:pPr>
      <w:keepNext/>
      <w:tabs>
        <w:tab w:val="center" w:pos="4572"/>
        <w:tab w:val="left" w:pos="4824"/>
        <w:tab w:val="left" w:pos="5544"/>
        <w:tab w:val="left" w:pos="6264"/>
        <w:tab w:val="left" w:pos="6984"/>
        <w:tab w:val="left" w:pos="7704"/>
        <w:tab w:val="left" w:pos="8424"/>
        <w:tab w:val="left" w:pos="9144"/>
      </w:tabs>
      <w:spacing w:line="287" w:lineRule="auto"/>
      <w:ind w:left="-216"/>
      <w:jc w:val="center"/>
      <w:outlineLvl w:val="2"/>
    </w:pPr>
    <w:rPr>
      <w:rFonts w:ascii="Arial Narrow" w:hAnsi="Arial Narrow"/>
      <w:sz w:val="24"/>
    </w:rPr>
  </w:style>
  <w:style w:type="paragraph" w:styleId="Heading4">
    <w:name w:val="heading 4"/>
    <w:basedOn w:val="Normal"/>
    <w:next w:val="Normal"/>
    <w:qFormat/>
    <w:pPr>
      <w:keepNext/>
      <w:ind w:left="504"/>
      <w:jc w:val="center"/>
      <w:outlineLvl w:val="3"/>
    </w:pPr>
    <w:rPr>
      <w:rFonts w:ascii="Arial Narrow" w:hAnsi="Arial Narrow"/>
      <w:b/>
      <w:caps/>
      <w:sz w:val="24"/>
      <w:u w:val="single"/>
    </w:rPr>
  </w:style>
  <w:style w:type="paragraph" w:styleId="Heading5">
    <w:name w:val="heading 5"/>
    <w:basedOn w:val="Normal"/>
    <w:next w:val="Normal"/>
    <w:qFormat/>
    <w:pPr>
      <w:keepNext/>
      <w:jc w:val="center"/>
      <w:outlineLvl w:val="4"/>
    </w:pPr>
    <w:rPr>
      <w:b/>
      <w:sz w:val="24"/>
      <w:u w:val="single"/>
    </w:rPr>
  </w:style>
  <w:style w:type="paragraph" w:styleId="Heading6">
    <w:name w:val="heading 6"/>
    <w:basedOn w:val="Normal"/>
    <w:next w:val="Normal"/>
    <w:qFormat/>
    <w:pPr>
      <w:keepNext/>
      <w:ind w:left="90"/>
      <w:outlineLvl w:val="5"/>
    </w:pPr>
    <w:rPr>
      <w:rFonts w:ascii="Arial" w:hAnsi="Arial"/>
      <w:snapToGrid w:val="0"/>
      <w:color w:val="000000"/>
      <w:sz w:val="24"/>
      <w:lang w:val="en-AU"/>
    </w:rPr>
  </w:style>
  <w:style w:type="paragraph" w:styleId="Heading7">
    <w:name w:val="heading 7"/>
    <w:basedOn w:val="Normal"/>
    <w:next w:val="Normal"/>
    <w:qFormat/>
    <w:pPr>
      <w:keepNext/>
      <w:ind w:firstLine="720"/>
      <w:jc w:val="both"/>
      <w:outlineLvl w:val="6"/>
    </w:pPr>
    <w:rPr>
      <w:sz w:val="24"/>
      <w:u w:val="single"/>
    </w:rPr>
  </w:style>
  <w:style w:type="paragraph" w:styleId="Heading8">
    <w:name w:val="heading 8"/>
    <w:basedOn w:val="Normal"/>
    <w:next w:val="Normal"/>
    <w:qFormat/>
    <w:pPr>
      <w:keepNext/>
      <w:jc w:val="both"/>
      <w:outlineLvl w:val="7"/>
    </w:pPr>
    <w:rPr>
      <w:b/>
      <w:sz w:val="24"/>
    </w:rPr>
  </w:style>
  <w:style w:type="paragraph" w:styleId="Heading9">
    <w:name w:val="heading 9"/>
    <w:basedOn w:val="Normal"/>
    <w:next w:val="Normal"/>
    <w:qFormat/>
    <w:pPr>
      <w:keepNext/>
      <w:outlineLvl w:val="8"/>
    </w:pPr>
    <w:rPr>
      <w:snapToGrid w:val="0"/>
      <w:sz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line="360" w:lineRule="auto"/>
    </w:pPr>
    <w:rPr>
      <w:rFonts w:ascii="Arial Narrow" w:hAnsi="Arial Narrow"/>
      <w:sz w:val="24"/>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0000FF"/>
      <w:u w:val="single"/>
    </w:rPr>
  </w:style>
  <w:style w:type="paragraph" w:styleId="BodyText2">
    <w:name w:val="Body Text 2"/>
    <w:basedOn w:val="Normal"/>
    <w:pPr>
      <w:jc w:val="both"/>
    </w:pPr>
    <w:rPr>
      <w:sz w:val="24"/>
    </w:rPr>
  </w:style>
  <w:style w:type="character" w:styleId="FollowedHyperlink">
    <w:name w:val="FollowedHyperlink"/>
    <w:rPr>
      <w:color w:val="800080"/>
      <w:u w:val="single"/>
    </w:rPr>
  </w:style>
  <w:style w:type="paragraph" w:styleId="BlockText">
    <w:name w:val="Block Text"/>
    <w:basedOn w:val="Normal"/>
    <w:pPr>
      <w:spacing w:after="120"/>
      <w:ind w:left="1440" w:right="1440"/>
    </w:pPr>
  </w:style>
  <w:style w:type="paragraph" w:styleId="BodyText3">
    <w:name w:val="Body Text 3"/>
    <w:basedOn w:val="Normal"/>
    <w:pPr>
      <w:spacing w:after="120"/>
    </w:pPr>
    <w:rPr>
      <w:sz w:val="16"/>
      <w:szCs w:val="16"/>
    </w:rPr>
  </w:style>
  <w:style w:type="paragraph" w:styleId="BodyTextFirstIndent">
    <w:name w:val="Body Text First Indent"/>
    <w:basedOn w:val="BodyText"/>
    <w:pPr>
      <w:spacing w:after="120" w:line="240" w:lineRule="auto"/>
      <w:ind w:firstLine="210"/>
    </w:pPr>
    <w:rPr>
      <w:rFonts w:ascii="Times New Roman" w:hAnsi="Times New Roman"/>
      <w:sz w:val="20"/>
    </w:rPr>
  </w:style>
  <w:style w:type="paragraph" w:styleId="BodyTextIndent">
    <w:name w:val="Body Text Indent"/>
    <w:basedOn w:val="Normal"/>
    <w:pPr>
      <w:spacing w:after="120"/>
      <w:ind w:left="360"/>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360"/>
    </w:pPr>
  </w:style>
  <w:style w:type="paragraph" w:styleId="BodyTextIndent3">
    <w:name w:val="Body Text Indent 3"/>
    <w:basedOn w:val="Normal"/>
    <w:pPr>
      <w:spacing w:after="120"/>
      <w:ind w:left="360"/>
    </w:pPr>
    <w:rPr>
      <w:sz w:val="16"/>
      <w:szCs w:val="16"/>
    </w:rPr>
  </w:style>
  <w:style w:type="paragraph" w:styleId="Caption">
    <w:name w:val="caption"/>
    <w:basedOn w:val="Normal"/>
    <w:next w:val="Normal"/>
    <w:qFormat/>
    <w:pPr>
      <w:spacing w:before="120" w:after="120"/>
    </w:pPr>
    <w:rPr>
      <w:b/>
      <w:bCs/>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E-mailSignature">
    <w:name w:val="E-mail Signature"/>
    <w:basedOn w:val="Normal"/>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Pr>
      <w:rFonts w:ascii="Arial" w:hAnsi="Arial" w:cs="Arial"/>
    </w:rPr>
  </w:style>
  <w:style w:type="paragraph" w:styleId="Footer">
    <w:name w:val="footer"/>
    <w:basedOn w:val="Normal"/>
    <w:pPr>
      <w:tabs>
        <w:tab w:val="center" w:pos="4320"/>
        <w:tab w:val="right" w:pos="8640"/>
      </w:tabs>
    </w:pPr>
  </w:style>
  <w:style w:type="paragraph" w:styleId="FootnoteText">
    <w:name w:val="footnote text"/>
    <w:basedOn w:val="Normal"/>
    <w:semiHidden/>
  </w:style>
  <w:style w:type="paragraph" w:styleId="Header">
    <w:name w:val="header"/>
    <w:basedOn w:val="Normal"/>
    <w:pPr>
      <w:tabs>
        <w:tab w:val="center" w:pos="4320"/>
        <w:tab w:val="right" w:pos="8640"/>
      </w:tabs>
    </w:pPr>
  </w:style>
  <w:style w:type="paragraph" w:styleId="HTMLAddress">
    <w:name w:val="HTML Address"/>
    <w:basedOn w:val="Normal"/>
    <w:rPr>
      <w:i/>
      <w:iCs/>
    </w:rPr>
  </w:style>
  <w:style w:type="paragraph" w:styleId="HTMLPreformatted">
    <w:name w:val="HTML Preformatted"/>
    <w:basedOn w:val="Normal"/>
    <w:rPr>
      <w:rFonts w:ascii="Courier New" w:hAnsi="Courier New" w:cs="Tahoma"/>
    </w:r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paragraph" w:styleId="IndexHeading">
    <w:name w:val="index heading"/>
    <w:basedOn w:val="Normal"/>
    <w:next w:val="Index1"/>
    <w:semiHidden/>
    <w:rPr>
      <w:rFonts w:ascii="Arial" w:hAnsi="Arial" w:cs="Arial"/>
      <w:b/>
      <w:bCs/>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
      </w:numPr>
    </w:pPr>
  </w:style>
  <w:style w:type="paragraph" w:styleId="ListBullet2">
    <w:name w:val="List Bullet 2"/>
    <w:basedOn w:val="Normal"/>
    <w:autoRedefine/>
    <w:pPr>
      <w:numPr>
        <w:numId w:val="2"/>
      </w:numPr>
    </w:pPr>
  </w:style>
  <w:style w:type="paragraph" w:styleId="ListBullet3">
    <w:name w:val="List Bullet 3"/>
    <w:basedOn w:val="Normal"/>
    <w:autoRedefine/>
    <w:pPr>
      <w:numPr>
        <w:numId w:val="3"/>
      </w:numPr>
    </w:pPr>
  </w:style>
  <w:style w:type="paragraph" w:styleId="ListBullet4">
    <w:name w:val="List Bullet 4"/>
    <w:basedOn w:val="Normal"/>
    <w:autoRedefine/>
    <w:pPr>
      <w:numPr>
        <w:numId w:val="4"/>
      </w:numPr>
    </w:pPr>
  </w:style>
  <w:style w:type="paragraph" w:styleId="ListBullet5">
    <w:name w:val="List Bullet 5"/>
    <w:basedOn w:val="Normal"/>
    <w:autoRedefine/>
    <w:pPr>
      <w:numPr>
        <w:numId w:val="5"/>
      </w:numPr>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6"/>
      </w:numPr>
    </w:pPr>
  </w:style>
  <w:style w:type="paragraph" w:styleId="ListNumber2">
    <w:name w:val="List Number 2"/>
    <w:basedOn w:val="Normal"/>
    <w:pPr>
      <w:numPr>
        <w:numId w:val="7"/>
      </w:numPr>
    </w:pPr>
  </w:style>
  <w:style w:type="paragraph" w:styleId="ListNumber3">
    <w:name w:val="List Number 3"/>
    <w:basedOn w:val="Normal"/>
    <w:pPr>
      <w:numPr>
        <w:numId w:val="8"/>
      </w:numPr>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Tahom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rPr>
      <w:sz w:val="24"/>
      <w:szCs w:val="24"/>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cs="Tahoma"/>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cs="Arial"/>
      <w:sz w:val="24"/>
      <w:szCs w:val="24"/>
    </w:rPr>
  </w:style>
  <w:style w:type="paragraph" w:styleId="TableofAuthorities">
    <w:name w:val="table of authorities"/>
    <w:basedOn w:val="Normal"/>
    <w:next w:val="Normal"/>
    <w:semiHidden/>
    <w:pPr>
      <w:ind w:left="200" w:hanging="200"/>
    </w:pPr>
  </w:style>
  <w:style w:type="paragraph" w:styleId="TableofFigures">
    <w:name w:val="table of figures"/>
    <w:basedOn w:val="Normal"/>
    <w:next w:val="Normal"/>
    <w:semiHidden/>
    <w:pPr>
      <w:ind w:left="400" w:hanging="400"/>
    </w:pPr>
  </w:style>
  <w:style w:type="paragraph" w:styleId="Title">
    <w:name w:val="Title"/>
    <w:basedOn w:val="Normal"/>
    <w:qFormat/>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pPr>
      <w:spacing w:before="120"/>
    </w:pPr>
    <w:rPr>
      <w:rFonts w:ascii="Arial" w:hAnsi="Arial" w:cs="Arial"/>
      <w:b/>
      <w:bCs/>
      <w:sz w:val="24"/>
      <w:szCs w:val="24"/>
    </w:rPr>
  </w:style>
  <w:style w:type="paragraph" w:styleId="TOC1">
    <w:name w:val="toc 1"/>
    <w:basedOn w:val="Normal"/>
    <w:next w:val="Normal"/>
    <w:autoRedefine/>
    <w:semiHidden/>
  </w:style>
  <w:style w:type="paragraph" w:styleId="TOC2">
    <w:name w:val="toc 2"/>
    <w:basedOn w:val="Normal"/>
    <w:next w:val="Normal"/>
    <w:autoRedefine/>
    <w:semiHidden/>
    <w:pPr>
      <w:ind w:left="200"/>
    </w:p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customStyle="1" w:styleId="TableText">
    <w:name w:val="Table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80" w:after="80"/>
      <w:jc w:val="center"/>
    </w:pPr>
    <w:rPr>
      <w:color w:val="000000"/>
      <w:sz w:val="22"/>
    </w:rPr>
  </w:style>
  <w:style w:type="paragraph" w:styleId="BalloonText">
    <w:name w:val="Balloon Text"/>
    <w:basedOn w:val="Normal"/>
    <w:semiHidden/>
    <w:rPr>
      <w:rFonts w:ascii="Tahoma" w:hAnsi="Tahoma" w:cs="Tahoma"/>
      <w:sz w:val="16"/>
      <w:szCs w:val="16"/>
    </w:rPr>
  </w:style>
  <w:style w:type="paragraph" w:styleId="ListParagraph">
    <w:name w:val="List Paragraph"/>
    <w:basedOn w:val="Normal"/>
    <w:uiPriority w:val="34"/>
    <w:qFormat/>
    <w:pPr>
      <w:ind w:left="720"/>
    </w:pPr>
  </w:style>
  <w:style w:type="table" w:styleId="TableGrid">
    <w:name w:val="Table Grid"/>
    <w:basedOn w:val="TableNormal"/>
    <w:rsid w:val="001930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573BF"/>
    <w:pPr>
      <w:autoSpaceDE w:val="0"/>
      <w:autoSpaceDN w:val="0"/>
      <w:adjustRightInd w:val="0"/>
    </w:pPr>
    <w:rPr>
      <w:color w:val="000000"/>
      <w:sz w:val="24"/>
      <w:szCs w:val="24"/>
      <w:lang w:bidi="th-TH"/>
    </w:rPr>
  </w:style>
  <w:style w:type="paragraph" w:styleId="Revision">
    <w:name w:val="Revision"/>
    <w:hidden/>
    <w:uiPriority w:val="99"/>
    <w:semiHidden/>
    <w:rsid w:val="00340DA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ind w:left="504"/>
      <w:outlineLvl w:val="0"/>
    </w:pPr>
    <w:rPr>
      <w:rFonts w:ascii="Arial Narrow" w:hAnsi="Arial Narrow"/>
      <w:sz w:val="24"/>
    </w:rPr>
  </w:style>
  <w:style w:type="paragraph" w:styleId="Heading2">
    <w:name w:val="heading 2"/>
    <w:basedOn w:val="Normal"/>
    <w:next w:val="Normal"/>
    <w:qFormat/>
    <w:pPr>
      <w:keepNext/>
      <w:spacing w:line="360" w:lineRule="auto"/>
      <w:jc w:val="center"/>
      <w:outlineLvl w:val="1"/>
    </w:pPr>
    <w:rPr>
      <w:rFonts w:ascii="Arial Narrow" w:hAnsi="Arial Narrow"/>
      <w:b/>
      <w:sz w:val="24"/>
    </w:rPr>
  </w:style>
  <w:style w:type="paragraph" w:styleId="Heading3">
    <w:name w:val="heading 3"/>
    <w:basedOn w:val="Normal"/>
    <w:next w:val="Normal"/>
    <w:qFormat/>
    <w:pPr>
      <w:keepNext/>
      <w:tabs>
        <w:tab w:val="center" w:pos="4572"/>
        <w:tab w:val="left" w:pos="4824"/>
        <w:tab w:val="left" w:pos="5544"/>
        <w:tab w:val="left" w:pos="6264"/>
        <w:tab w:val="left" w:pos="6984"/>
        <w:tab w:val="left" w:pos="7704"/>
        <w:tab w:val="left" w:pos="8424"/>
        <w:tab w:val="left" w:pos="9144"/>
      </w:tabs>
      <w:spacing w:line="287" w:lineRule="auto"/>
      <w:ind w:left="-216"/>
      <w:jc w:val="center"/>
      <w:outlineLvl w:val="2"/>
    </w:pPr>
    <w:rPr>
      <w:rFonts w:ascii="Arial Narrow" w:hAnsi="Arial Narrow"/>
      <w:sz w:val="24"/>
    </w:rPr>
  </w:style>
  <w:style w:type="paragraph" w:styleId="Heading4">
    <w:name w:val="heading 4"/>
    <w:basedOn w:val="Normal"/>
    <w:next w:val="Normal"/>
    <w:qFormat/>
    <w:pPr>
      <w:keepNext/>
      <w:ind w:left="504"/>
      <w:jc w:val="center"/>
      <w:outlineLvl w:val="3"/>
    </w:pPr>
    <w:rPr>
      <w:rFonts w:ascii="Arial Narrow" w:hAnsi="Arial Narrow"/>
      <w:b/>
      <w:caps/>
      <w:sz w:val="24"/>
      <w:u w:val="single"/>
    </w:rPr>
  </w:style>
  <w:style w:type="paragraph" w:styleId="Heading5">
    <w:name w:val="heading 5"/>
    <w:basedOn w:val="Normal"/>
    <w:next w:val="Normal"/>
    <w:qFormat/>
    <w:pPr>
      <w:keepNext/>
      <w:jc w:val="center"/>
      <w:outlineLvl w:val="4"/>
    </w:pPr>
    <w:rPr>
      <w:b/>
      <w:sz w:val="24"/>
      <w:u w:val="single"/>
    </w:rPr>
  </w:style>
  <w:style w:type="paragraph" w:styleId="Heading6">
    <w:name w:val="heading 6"/>
    <w:basedOn w:val="Normal"/>
    <w:next w:val="Normal"/>
    <w:qFormat/>
    <w:pPr>
      <w:keepNext/>
      <w:ind w:left="90"/>
      <w:outlineLvl w:val="5"/>
    </w:pPr>
    <w:rPr>
      <w:rFonts w:ascii="Arial" w:hAnsi="Arial"/>
      <w:snapToGrid w:val="0"/>
      <w:color w:val="000000"/>
      <w:sz w:val="24"/>
      <w:lang w:val="en-AU"/>
    </w:rPr>
  </w:style>
  <w:style w:type="paragraph" w:styleId="Heading7">
    <w:name w:val="heading 7"/>
    <w:basedOn w:val="Normal"/>
    <w:next w:val="Normal"/>
    <w:qFormat/>
    <w:pPr>
      <w:keepNext/>
      <w:ind w:firstLine="720"/>
      <w:jc w:val="both"/>
      <w:outlineLvl w:val="6"/>
    </w:pPr>
    <w:rPr>
      <w:sz w:val="24"/>
      <w:u w:val="single"/>
    </w:rPr>
  </w:style>
  <w:style w:type="paragraph" w:styleId="Heading8">
    <w:name w:val="heading 8"/>
    <w:basedOn w:val="Normal"/>
    <w:next w:val="Normal"/>
    <w:qFormat/>
    <w:pPr>
      <w:keepNext/>
      <w:jc w:val="both"/>
      <w:outlineLvl w:val="7"/>
    </w:pPr>
    <w:rPr>
      <w:b/>
      <w:sz w:val="24"/>
    </w:rPr>
  </w:style>
  <w:style w:type="paragraph" w:styleId="Heading9">
    <w:name w:val="heading 9"/>
    <w:basedOn w:val="Normal"/>
    <w:next w:val="Normal"/>
    <w:qFormat/>
    <w:pPr>
      <w:keepNext/>
      <w:outlineLvl w:val="8"/>
    </w:pPr>
    <w:rPr>
      <w:snapToGrid w:val="0"/>
      <w:sz w:val="24"/>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spacing w:line="360" w:lineRule="auto"/>
    </w:pPr>
    <w:rPr>
      <w:rFonts w:ascii="Arial Narrow" w:hAnsi="Arial Narrow"/>
      <w:sz w:val="24"/>
    </w:rPr>
  </w:style>
  <w:style w:type="paragraph" w:styleId="DocumentMap">
    <w:name w:val="Document Map"/>
    <w:basedOn w:val="Normal"/>
    <w:semiHidden/>
    <w:pPr>
      <w:shd w:val="clear" w:color="auto" w:fill="000080"/>
    </w:pPr>
    <w:rPr>
      <w:rFonts w:ascii="Tahoma" w:hAnsi="Tahoma"/>
    </w:rPr>
  </w:style>
  <w:style w:type="character" w:styleId="Hyperlink">
    <w:name w:val="Hyperlink"/>
    <w:rPr>
      <w:color w:val="0000FF"/>
      <w:u w:val="single"/>
    </w:rPr>
  </w:style>
  <w:style w:type="paragraph" w:styleId="BodyText2">
    <w:name w:val="Body Text 2"/>
    <w:basedOn w:val="Normal"/>
    <w:pPr>
      <w:jc w:val="both"/>
    </w:pPr>
    <w:rPr>
      <w:sz w:val="24"/>
    </w:rPr>
  </w:style>
  <w:style w:type="character" w:styleId="FollowedHyperlink">
    <w:name w:val="FollowedHyperlink"/>
    <w:rPr>
      <w:color w:val="800080"/>
      <w:u w:val="single"/>
    </w:rPr>
  </w:style>
  <w:style w:type="paragraph" w:styleId="BlockText">
    <w:name w:val="Block Text"/>
    <w:basedOn w:val="Normal"/>
    <w:pPr>
      <w:spacing w:after="120"/>
      <w:ind w:left="1440" w:right="1440"/>
    </w:pPr>
  </w:style>
  <w:style w:type="paragraph" w:styleId="BodyText3">
    <w:name w:val="Body Text 3"/>
    <w:basedOn w:val="Normal"/>
    <w:pPr>
      <w:spacing w:after="120"/>
    </w:pPr>
    <w:rPr>
      <w:sz w:val="16"/>
      <w:szCs w:val="16"/>
    </w:rPr>
  </w:style>
  <w:style w:type="paragraph" w:styleId="BodyTextFirstIndent">
    <w:name w:val="Body Text First Indent"/>
    <w:basedOn w:val="BodyText"/>
    <w:pPr>
      <w:spacing w:after="120" w:line="240" w:lineRule="auto"/>
      <w:ind w:firstLine="210"/>
    </w:pPr>
    <w:rPr>
      <w:rFonts w:ascii="Times New Roman" w:hAnsi="Times New Roman"/>
      <w:sz w:val="20"/>
    </w:rPr>
  </w:style>
  <w:style w:type="paragraph" w:styleId="BodyTextIndent">
    <w:name w:val="Body Text Indent"/>
    <w:basedOn w:val="Normal"/>
    <w:pPr>
      <w:spacing w:after="120"/>
      <w:ind w:left="360"/>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360"/>
    </w:pPr>
  </w:style>
  <w:style w:type="paragraph" w:styleId="BodyTextIndent3">
    <w:name w:val="Body Text Indent 3"/>
    <w:basedOn w:val="Normal"/>
    <w:pPr>
      <w:spacing w:after="120"/>
      <w:ind w:left="360"/>
    </w:pPr>
    <w:rPr>
      <w:sz w:val="16"/>
      <w:szCs w:val="16"/>
    </w:rPr>
  </w:style>
  <w:style w:type="paragraph" w:styleId="Caption">
    <w:name w:val="caption"/>
    <w:basedOn w:val="Normal"/>
    <w:next w:val="Normal"/>
    <w:qFormat/>
    <w:pPr>
      <w:spacing w:before="120" w:after="120"/>
    </w:pPr>
    <w:rPr>
      <w:b/>
      <w:bCs/>
    </w:rPr>
  </w:style>
  <w:style w:type="paragraph" w:styleId="Closing">
    <w:name w:val="Closing"/>
    <w:basedOn w:val="Normal"/>
    <w:pPr>
      <w:ind w:left="4320"/>
    </w:pPr>
  </w:style>
  <w:style w:type="paragraph" w:styleId="CommentText">
    <w:name w:val="annotation text"/>
    <w:basedOn w:val="Normal"/>
    <w:semiHidden/>
  </w:style>
  <w:style w:type="paragraph" w:styleId="Date">
    <w:name w:val="Date"/>
    <w:basedOn w:val="Normal"/>
    <w:next w:val="Normal"/>
  </w:style>
  <w:style w:type="paragraph" w:styleId="E-mailSignature">
    <w:name w:val="E-mail Signature"/>
    <w:basedOn w:val="Normal"/>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rPr>
      <w:rFonts w:ascii="Arial" w:hAnsi="Arial" w:cs="Arial"/>
    </w:rPr>
  </w:style>
  <w:style w:type="paragraph" w:styleId="Footer">
    <w:name w:val="footer"/>
    <w:basedOn w:val="Normal"/>
    <w:pPr>
      <w:tabs>
        <w:tab w:val="center" w:pos="4320"/>
        <w:tab w:val="right" w:pos="8640"/>
      </w:tabs>
    </w:pPr>
  </w:style>
  <w:style w:type="paragraph" w:styleId="FootnoteText">
    <w:name w:val="footnote text"/>
    <w:basedOn w:val="Normal"/>
    <w:semiHidden/>
  </w:style>
  <w:style w:type="paragraph" w:styleId="Header">
    <w:name w:val="header"/>
    <w:basedOn w:val="Normal"/>
    <w:pPr>
      <w:tabs>
        <w:tab w:val="center" w:pos="4320"/>
        <w:tab w:val="right" w:pos="8640"/>
      </w:tabs>
    </w:pPr>
  </w:style>
  <w:style w:type="paragraph" w:styleId="HTMLAddress">
    <w:name w:val="HTML Address"/>
    <w:basedOn w:val="Normal"/>
    <w:rPr>
      <w:i/>
      <w:iCs/>
    </w:rPr>
  </w:style>
  <w:style w:type="paragraph" w:styleId="HTMLPreformatted">
    <w:name w:val="HTML Preformatted"/>
    <w:basedOn w:val="Normal"/>
    <w:rPr>
      <w:rFonts w:ascii="Courier New" w:hAnsi="Courier New" w:cs="Tahoma"/>
    </w:rPr>
  </w:style>
  <w:style w:type="paragraph" w:styleId="Index1">
    <w:name w:val="index 1"/>
    <w:basedOn w:val="Normal"/>
    <w:next w:val="Normal"/>
    <w:autoRedefine/>
    <w:semiHidden/>
    <w:pPr>
      <w:ind w:left="200" w:hanging="200"/>
    </w:pPr>
  </w:style>
  <w:style w:type="paragraph" w:styleId="Index2">
    <w:name w:val="index 2"/>
    <w:basedOn w:val="Normal"/>
    <w:next w:val="Normal"/>
    <w:autoRedefine/>
    <w:semiHidden/>
    <w:pPr>
      <w:ind w:left="400" w:hanging="200"/>
    </w:pPr>
  </w:style>
  <w:style w:type="paragraph" w:styleId="Index3">
    <w:name w:val="index 3"/>
    <w:basedOn w:val="Normal"/>
    <w:next w:val="Normal"/>
    <w:autoRedefine/>
    <w:semiHidden/>
    <w:pPr>
      <w:ind w:left="600" w:hanging="200"/>
    </w:pPr>
  </w:style>
  <w:style w:type="paragraph" w:styleId="Index4">
    <w:name w:val="index 4"/>
    <w:basedOn w:val="Normal"/>
    <w:next w:val="Normal"/>
    <w:autoRedefine/>
    <w:semiHidden/>
    <w:pPr>
      <w:ind w:left="800" w:hanging="200"/>
    </w:pPr>
  </w:style>
  <w:style w:type="paragraph" w:styleId="Index5">
    <w:name w:val="index 5"/>
    <w:basedOn w:val="Normal"/>
    <w:next w:val="Normal"/>
    <w:autoRedefine/>
    <w:semiHidden/>
    <w:pPr>
      <w:ind w:left="1000" w:hanging="200"/>
    </w:pPr>
  </w:style>
  <w:style w:type="paragraph" w:styleId="Index6">
    <w:name w:val="index 6"/>
    <w:basedOn w:val="Normal"/>
    <w:next w:val="Normal"/>
    <w:autoRedefine/>
    <w:semiHidden/>
    <w:pPr>
      <w:ind w:left="1200" w:hanging="200"/>
    </w:pPr>
  </w:style>
  <w:style w:type="paragraph" w:styleId="Index7">
    <w:name w:val="index 7"/>
    <w:basedOn w:val="Normal"/>
    <w:next w:val="Normal"/>
    <w:autoRedefine/>
    <w:semiHidden/>
    <w:pPr>
      <w:ind w:left="1400" w:hanging="200"/>
    </w:pPr>
  </w:style>
  <w:style w:type="paragraph" w:styleId="Index8">
    <w:name w:val="index 8"/>
    <w:basedOn w:val="Normal"/>
    <w:next w:val="Normal"/>
    <w:autoRedefine/>
    <w:semiHidden/>
    <w:pPr>
      <w:ind w:left="1600" w:hanging="200"/>
    </w:pPr>
  </w:style>
  <w:style w:type="paragraph" w:styleId="Index9">
    <w:name w:val="index 9"/>
    <w:basedOn w:val="Normal"/>
    <w:next w:val="Normal"/>
    <w:autoRedefine/>
    <w:semiHidden/>
    <w:pPr>
      <w:ind w:left="1800" w:hanging="200"/>
    </w:pPr>
  </w:style>
  <w:style w:type="paragraph" w:styleId="IndexHeading">
    <w:name w:val="index heading"/>
    <w:basedOn w:val="Normal"/>
    <w:next w:val="Index1"/>
    <w:semiHidden/>
    <w:rPr>
      <w:rFonts w:ascii="Arial" w:hAnsi="Arial" w:cs="Arial"/>
      <w:b/>
      <w:bCs/>
    </w:rPr>
  </w:style>
  <w:style w:type="paragraph" w:styleId="List">
    <w:name w:val="List"/>
    <w:basedOn w:val="Normal"/>
    <w:pPr>
      <w:ind w:left="360" w:hanging="360"/>
    </w:pPr>
  </w:style>
  <w:style w:type="paragraph" w:styleId="List2">
    <w:name w:val="List 2"/>
    <w:basedOn w:val="Normal"/>
    <w:pPr>
      <w:ind w:left="720" w:hanging="360"/>
    </w:pPr>
  </w:style>
  <w:style w:type="paragraph" w:styleId="List3">
    <w:name w:val="List 3"/>
    <w:basedOn w:val="Normal"/>
    <w:pPr>
      <w:ind w:left="1080" w:hanging="360"/>
    </w:pPr>
  </w:style>
  <w:style w:type="paragraph" w:styleId="List4">
    <w:name w:val="List 4"/>
    <w:basedOn w:val="Normal"/>
    <w:pPr>
      <w:ind w:left="1440" w:hanging="360"/>
    </w:pPr>
  </w:style>
  <w:style w:type="paragraph" w:styleId="List5">
    <w:name w:val="List 5"/>
    <w:basedOn w:val="Normal"/>
    <w:pPr>
      <w:ind w:left="1800" w:hanging="360"/>
    </w:pPr>
  </w:style>
  <w:style w:type="paragraph" w:styleId="ListBullet">
    <w:name w:val="List Bullet"/>
    <w:basedOn w:val="Normal"/>
    <w:autoRedefine/>
    <w:pPr>
      <w:numPr>
        <w:numId w:val="1"/>
      </w:numPr>
    </w:pPr>
  </w:style>
  <w:style w:type="paragraph" w:styleId="ListBullet2">
    <w:name w:val="List Bullet 2"/>
    <w:basedOn w:val="Normal"/>
    <w:autoRedefine/>
    <w:pPr>
      <w:numPr>
        <w:numId w:val="2"/>
      </w:numPr>
    </w:pPr>
  </w:style>
  <w:style w:type="paragraph" w:styleId="ListBullet3">
    <w:name w:val="List Bullet 3"/>
    <w:basedOn w:val="Normal"/>
    <w:autoRedefine/>
    <w:pPr>
      <w:numPr>
        <w:numId w:val="3"/>
      </w:numPr>
    </w:pPr>
  </w:style>
  <w:style w:type="paragraph" w:styleId="ListBullet4">
    <w:name w:val="List Bullet 4"/>
    <w:basedOn w:val="Normal"/>
    <w:autoRedefine/>
    <w:pPr>
      <w:numPr>
        <w:numId w:val="4"/>
      </w:numPr>
    </w:pPr>
  </w:style>
  <w:style w:type="paragraph" w:styleId="ListBullet5">
    <w:name w:val="List Bullet 5"/>
    <w:basedOn w:val="Normal"/>
    <w:autoRedefine/>
    <w:pPr>
      <w:numPr>
        <w:numId w:val="5"/>
      </w:numPr>
    </w:pPr>
  </w:style>
  <w:style w:type="paragraph" w:styleId="ListContinue">
    <w:name w:val="List Continue"/>
    <w:basedOn w:val="Normal"/>
    <w:pPr>
      <w:spacing w:after="120"/>
      <w:ind w:left="360"/>
    </w:p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styleId="ListContinue4">
    <w:name w:val="List Continue 4"/>
    <w:basedOn w:val="Normal"/>
    <w:pPr>
      <w:spacing w:after="120"/>
      <w:ind w:left="1440"/>
    </w:pPr>
  </w:style>
  <w:style w:type="paragraph" w:styleId="ListContinue5">
    <w:name w:val="List Continue 5"/>
    <w:basedOn w:val="Normal"/>
    <w:pPr>
      <w:spacing w:after="120"/>
      <w:ind w:left="1800"/>
    </w:pPr>
  </w:style>
  <w:style w:type="paragraph" w:styleId="ListNumber">
    <w:name w:val="List Number"/>
    <w:basedOn w:val="Normal"/>
    <w:pPr>
      <w:numPr>
        <w:numId w:val="6"/>
      </w:numPr>
    </w:pPr>
  </w:style>
  <w:style w:type="paragraph" w:styleId="ListNumber2">
    <w:name w:val="List Number 2"/>
    <w:basedOn w:val="Normal"/>
    <w:pPr>
      <w:numPr>
        <w:numId w:val="7"/>
      </w:numPr>
    </w:pPr>
  </w:style>
  <w:style w:type="paragraph" w:styleId="ListNumber3">
    <w:name w:val="List Number 3"/>
    <w:basedOn w:val="Normal"/>
    <w:pPr>
      <w:numPr>
        <w:numId w:val="8"/>
      </w:numPr>
    </w:pPr>
  </w:style>
  <w:style w:type="paragraph" w:styleId="ListNumber4">
    <w:name w:val="List Number 4"/>
    <w:basedOn w:val="Normal"/>
    <w:pPr>
      <w:numPr>
        <w:numId w:val="9"/>
      </w:numPr>
    </w:pPr>
  </w:style>
  <w:style w:type="paragraph" w:styleId="ListNumber5">
    <w:name w:val="List Number 5"/>
    <w:basedOn w:val="Normal"/>
    <w:pPr>
      <w:numPr>
        <w:numId w:val="10"/>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Tahom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rPr>
      <w:sz w:val="24"/>
      <w:szCs w:val="24"/>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cs="Tahoma"/>
    </w:rPr>
  </w:style>
  <w:style w:type="paragraph" w:styleId="Salutation">
    <w:name w:val="Salutation"/>
    <w:basedOn w:val="Normal"/>
    <w:next w:val="Normal"/>
  </w:style>
  <w:style w:type="paragraph" w:styleId="Signature">
    <w:name w:val="Signature"/>
    <w:basedOn w:val="Normal"/>
    <w:pPr>
      <w:ind w:left="4320"/>
    </w:pPr>
  </w:style>
  <w:style w:type="paragraph" w:styleId="Subtitle">
    <w:name w:val="Subtitle"/>
    <w:basedOn w:val="Normal"/>
    <w:qFormat/>
    <w:pPr>
      <w:spacing w:after="60"/>
      <w:jc w:val="center"/>
      <w:outlineLvl w:val="1"/>
    </w:pPr>
    <w:rPr>
      <w:rFonts w:ascii="Arial" w:hAnsi="Arial" w:cs="Arial"/>
      <w:sz w:val="24"/>
      <w:szCs w:val="24"/>
    </w:rPr>
  </w:style>
  <w:style w:type="paragraph" w:styleId="TableofAuthorities">
    <w:name w:val="table of authorities"/>
    <w:basedOn w:val="Normal"/>
    <w:next w:val="Normal"/>
    <w:semiHidden/>
    <w:pPr>
      <w:ind w:left="200" w:hanging="200"/>
    </w:pPr>
  </w:style>
  <w:style w:type="paragraph" w:styleId="TableofFigures">
    <w:name w:val="table of figures"/>
    <w:basedOn w:val="Normal"/>
    <w:next w:val="Normal"/>
    <w:semiHidden/>
    <w:pPr>
      <w:ind w:left="400" w:hanging="400"/>
    </w:pPr>
  </w:style>
  <w:style w:type="paragraph" w:styleId="Title">
    <w:name w:val="Title"/>
    <w:basedOn w:val="Normal"/>
    <w:qFormat/>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pPr>
      <w:spacing w:before="120"/>
    </w:pPr>
    <w:rPr>
      <w:rFonts w:ascii="Arial" w:hAnsi="Arial" w:cs="Arial"/>
      <w:b/>
      <w:bCs/>
      <w:sz w:val="24"/>
      <w:szCs w:val="24"/>
    </w:rPr>
  </w:style>
  <w:style w:type="paragraph" w:styleId="TOC1">
    <w:name w:val="toc 1"/>
    <w:basedOn w:val="Normal"/>
    <w:next w:val="Normal"/>
    <w:autoRedefine/>
    <w:semiHidden/>
  </w:style>
  <w:style w:type="paragraph" w:styleId="TOC2">
    <w:name w:val="toc 2"/>
    <w:basedOn w:val="Normal"/>
    <w:next w:val="Normal"/>
    <w:autoRedefine/>
    <w:semiHidden/>
    <w:pPr>
      <w:ind w:left="200"/>
    </w:pPr>
  </w:style>
  <w:style w:type="paragraph" w:styleId="TOC3">
    <w:name w:val="toc 3"/>
    <w:basedOn w:val="Normal"/>
    <w:next w:val="Normal"/>
    <w:autoRedefine/>
    <w:semiHidden/>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customStyle="1" w:styleId="TableText">
    <w:name w:val="Table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80" w:after="80"/>
      <w:jc w:val="center"/>
    </w:pPr>
    <w:rPr>
      <w:color w:val="000000"/>
      <w:sz w:val="22"/>
    </w:rPr>
  </w:style>
  <w:style w:type="paragraph" w:styleId="BalloonText">
    <w:name w:val="Balloon Text"/>
    <w:basedOn w:val="Normal"/>
    <w:semiHidden/>
    <w:rPr>
      <w:rFonts w:ascii="Tahoma" w:hAnsi="Tahoma" w:cs="Tahoma"/>
      <w:sz w:val="16"/>
      <w:szCs w:val="16"/>
    </w:rPr>
  </w:style>
  <w:style w:type="paragraph" w:styleId="ListParagraph">
    <w:name w:val="List Paragraph"/>
    <w:basedOn w:val="Normal"/>
    <w:uiPriority w:val="34"/>
    <w:qFormat/>
    <w:pPr>
      <w:ind w:left="720"/>
    </w:pPr>
  </w:style>
  <w:style w:type="table" w:styleId="TableGrid">
    <w:name w:val="Table Grid"/>
    <w:basedOn w:val="TableNormal"/>
    <w:rsid w:val="001930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573BF"/>
    <w:pPr>
      <w:autoSpaceDE w:val="0"/>
      <w:autoSpaceDN w:val="0"/>
      <w:adjustRightInd w:val="0"/>
    </w:pPr>
    <w:rPr>
      <w:color w:val="000000"/>
      <w:sz w:val="24"/>
      <w:szCs w:val="24"/>
      <w:lang w:bidi="th-TH"/>
    </w:rPr>
  </w:style>
  <w:style w:type="paragraph" w:styleId="Revision">
    <w:name w:val="Revision"/>
    <w:hidden/>
    <w:uiPriority w:val="99"/>
    <w:semiHidden/>
    <w:rsid w:val="00340D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614245">
      <w:bodyDiv w:val="1"/>
      <w:marLeft w:val="0"/>
      <w:marRight w:val="0"/>
      <w:marTop w:val="0"/>
      <w:marBottom w:val="0"/>
      <w:divBdr>
        <w:top w:val="none" w:sz="0" w:space="0" w:color="auto"/>
        <w:left w:val="none" w:sz="0" w:space="0" w:color="auto"/>
        <w:bottom w:val="none" w:sz="0" w:space="0" w:color="auto"/>
        <w:right w:val="none" w:sz="0" w:space="0" w:color="auto"/>
      </w:divBdr>
    </w:div>
    <w:div w:id="1098596331">
      <w:bodyDiv w:val="1"/>
      <w:marLeft w:val="0"/>
      <w:marRight w:val="0"/>
      <w:marTop w:val="0"/>
      <w:marBottom w:val="0"/>
      <w:divBdr>
        <w:top w:val="none" w:sz="0" w:space="0" w:color="auto"/>
        <w:left w:val="none" w:sz="0" w:space="0" w:color="auto"/>
        <w:bottom w:val="none" w:sz="0" w:space="0" w:color="auto"/>
        <w:right w:val="none" w:sz="0" w:space="0" w:color="auto"/>
      </w:divBdr>
    </w:div>
    <w:div w:id="120528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aberdeenif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64C911-8BE4-42C2-8C3C-598F45791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1541</Words>
  <Characters>8278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-DRAFT-</vt:lpstr>
    </vt:vector>
  </TitlesOfParts>
  <Company>Dewe Rogerson, Inc.</Company>
  <LinksUpToDate>false</LinksUpToDate>
  <CharactersWithSpaces>9800</CharactersWithSpaces>
  <SharedDoc>false</SharedDoc>
  <HLinks>
    <vt:vector size="6" baseType="variant">
      <vt:variant>
        <vt:i4>3473528</vt:i4>
      </vt:variant>
      <vt:variant>
        <vt:i4>0</vt:i4>
      </vt:variant>
      <vt:variant>
        <vt:i4>0</vt:i4>
      </vt:variant>
      <vt:variant>
        <vt:i4>5</vt:i4>
      </vt:variant>
      <vt:variant>
        <vt:lpwstr>http://www.aberdeengrr.com/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creator>Michela McManus</dc:creator>
  <cp:lastModifiedBy>Matt Welsh</cp:lastModifiedBy>
  <cp:revision>11</cp:revision>
  <cp:lastPrinted>2019-12-19T18:35:00Z</cp:lastPrinted>
  <dcterms:created xsi:type="dcterms:W3CDTF">2022-03-02T19:08:00Z</dcterms:created>
  <dcterms:modified xsi:type="dcterms:W3CDTF">2022-03-09T21:15:00Z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