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C3F5A" w14:textId="034330B7" w:rsidR="000138B8" w:rsidRDefault="00C44280" w:rsidP="000138B8">
      <w:pPr>
        <w:ind w:right="180"/>
        <w:rPr>
          <w:rFonts w:ascii="Arial" w:hAnsi="Arial" w:cs="Arial"/>
          <w:b/>
          <w:bCs/>
        </w:rPr>
      </w:pPr>
      <w:bookmarkStart w:id="0" w:name="_Hlk37064917"/>
      <w:r>
        <w:rPr>
          <w:rFonts w:ascii="Arial" w:hAnsi="Arial" w:cs="Arial"/>
          <w:b/>
        </w:rPr>
        <w:t>TEAF</w:t>
      </w:r>
      <w:r w:rsidR="000138B8" w:rsidRPr="0023554C">
        <w:rPr>
          <w:rFonts w:ascii="Arial" w:hAnsi="Arial" w:cs="Arial"/>
          <w:b/>
        </w:rPr>
        <w:t xml:space="preserve"> Provides </w:t>
      </w:r>
      <w:r w:rsidR="000138B8" w:rsidRPr="0023554C">
        <w:rPr>
          <w:rFonts w:ascii="Arial" w:hAnsi="Arial" w:cs="Arial"/>
          <w:b/>
          <w:bCs/>
        </w:rPr>
        <w:t xml:space="preserve">Unaudited Balance Sheet Information and Asset Coverage Ratio Updates as of </w:t>
      </w:r>
      <w:r w:rsidR="00E0320E">
        <w:rPr>
          <w:rFonts w:ascii="Arial" w:hAnsi="Arial" w:cs="Arial"/>
          <w:b/>
          <w:bCs/>
        </w:rPr>
        <w:t>March</w:t>
      </w:r>
      <w:r w:rsidR="000138B8" w:rsidRPr="0023554C">
        <w:rPr>
          <w:rFonts w:ascii="Arial" w:hAnsi="Arial" w:cs="Arial"/>
          <w:b/>
          <w:bCs/>
        </w:rPr>
        <w:t xml:space="preserve"> </w:t>
      </w:r>
      <w:r w:rsidR="00E0320E">
        <w:rPr>
          <w:rFonts w:ascii="Arial" w:hAnsi="Arial" w:cs="Arial"/>
          <w:b/>
          <w:bCs/>
        </w:rPr>
        <w:t>31</w:t>
      </w:r>
      <w:r w:rsidR="000138B8" w:rsidRPr="0023554C">
        <w:rPr>
          <w:rFonts w:ascii="Arial" w:hAnsi="Arial" w:cs="Arial"/>
          <w:b/>
          <w:bCs/>
        </w:rPr>
        <w:t>, 202</w:t>
      </w:r>
      <w:r w:rsidR="00BD06FB">
        <w:rPr>
          <w:rFonts w:ascii="Arial" w:hAnsi="Arial" w:cs="Arial"/>
          <w:b/>
          <w:bCs/>
        </w:rPr>
        <w:t>2</w:t>
      </w:r>
      <w:r w:rsidR="000138B8" w:rsidRPr="0023554C">
        <w:rPr>
          <w:rFonts w:ascii="Arial" w:hAnsi="Arial" w:cs="Arial"/>
          <w:b/>
          <w:bCs/>
        </w:rPr>
        <w:t xml:space="preserve"> </w:t>
      </w:r>
    </w:p>
    <w:bookmarkEnd w:id="0"/>
    <w:p w14:paraId="3F8BA606" w14:textId="77777777" w:rsidR="00FE27DC" w:rsidRPr="00437462" w:rsidRDefault="00FE27DC" w:rsidP="00FE27DC">
      <w:pPr>
        <w:spacing w:before="240" w:after="240" w:line="297" w:lineRule="atLeast"/>
        <w:textAlignment w:val="baseline"/>
        <w:rPr>
          <w:rFonts w:ascii="Arial" w:hAnsi="Arial" w:cs="Arial"/>
          <w:color w:val="000000"/>
          <w:sz w:val="20"/>
          <w:szCs w:val="20"/>
        </w:rPr>
      </w:pPr>
      <w:r w:rsidRPr="00437462">
        <w:rPr>
          <w:rFonts w:ascii="Arial" w:hAnsi="Arial" w:cs="Arial"/>
          <w:color w:val="000000"/>
          <w:sz w:val="20"/>
          <w:szCs w:val="20"/>
        </w:rPr>
        <w:t>FOR IMMEDIATE RELEASE</w:t>
      </w:r>
    </w:p>
    <w:p w14:paraId="710A265B" w14:textId="54B82795" w:rsidR="000D2524" w:rsidRDefault="00C72D6D" w:rsidP="000138B8">
      <w:pPr>
        <w:rPr>
          <w:rFonts w:ascii="Arial" w:hAnsi="Arial" w:cs="Arial"/>
          <w:sz w:val="20"/>
          <w:szCs w:val="20"/>
        </w:rPr>
      </w:pPr>
      <w:r>
        <w:rPr>
          <w:rFonts w:ascii="Arial" w:hAnsi="Arial" w:cs="Arial"/>
          <w:b/>
          <w:bCs/>
          <w:sz w:val="20"/>
          <w:szCs w:val="20"/>
        </w:rPr>
        <w:t>OVERLAND PARK</w:t>
      </w:r>
      <w:r w:rsidR="00FD30B0" w:rsidRPr="008259DC">
        <w:rPr>
          <w:rFonts w:ascii="Arial" w:hAnsi="Arial" w:cs="Arial"/>
          <w:b/>
          <w:bCs/>
          <w:sz w:val="20"/>
          <w:szCs w:val="20"/>
        </w:rPr>
        <w:t>, KS</w:t>
      </w:r>
      <w:r w:rsidR="00FE27DC" w:rsidRPr="008259DC">
        <w:rPr>
          <w:rFonts w:ascii="Arial" w:hAnsi="Arial" w:cs="Arial"/>
          <w:b/>
          <w:bCs/>
          <w:sz w:val="20"/>
          <w:szCs w:val="20"/>
        </w:rPr>
        <w:t xml:space="preserve"> </w:t>
      </w:r>
      <w:r w:rsidR="005241EA" w:rsidRPr="00FE27DC">
        <w:rPr>
          <w:rFonts w:ascii="Arial" w:hAnsi="Arial" w:cs="Arial"/>
          <w:sz w:val="20"/>
          <w:szCs w:val="20"/>
        </w:rPr>
        <w:t xml:space="preserve">– </w:t>
      </w:r>
      <w:r w:rsidR="00E0320E">
        <w:rPr>
          <w:rFonts w:ascii="Arial" w:hAnsi="Arial" w:cs="Arial"/>
          <w:sz w:val="20"/>
          <w:szCs w:val="20"/>
        </w:rPr>
        <w:t>April</w:t>
      </w:r>
      <w:r>
        <w:rPr>
          <w:rFonts w:ascii="Arial" w:hAnsi="Arial" w:cs="Arial"/>
          <w:sz w:val="20"/>
          <w:szCs w:val="20"/>
        </w:rPr>
        <w:t xml:space="preserve"> </w:t>
      </w:r>
      <w:r w:rsidR="00F90FD9">
        <w:rPr>
          <w:rFonts w:ascii="Arial" w:hAnsi="Arial" w:cs="Arial"/>
          <w:sz w:val="20"/>
          <w:szCs w:val="20"/>
        </w:rPr>
        <w:t>1</w:t>
      </w:r>
      <w:r w:rsidR="00106B12" w:rsidRPr="005241EA">
        <w:rPr>
          <w:rFonts w:ascii="Arial" w:hAnsi="Arial" w:cs="Arial"/>
          <w:sz w:val="20"/>
          <w:szCs w:val="20"/>
        </w:rPr>
        <w:t>, 202</w:t>
      </w:r>
      <w:r w:rsidR="003D4128">
        <w:rPr>
          <w:rFonts w:ascii="Arial" w:hAnsi="Arial" w:cs="Arial"/>
          <w:sz w:val="20"/>
          <w:szCs w:val="20"/>
        </w:rPr>
        <w:t>2</w:t>
      </w:r>
      <w:r w:rsidR="00FE27DC" w:rsidRPr="00FE27DC">
        <w:rPr>
          <w:rFonts w:ascii="Arial" w:hAnsi="Arial" w:cs="Arial"/>
          <w:sz w:val="20"/>
          <w:szCs w:val="20"/>
        </w:rPr>
        <w:t xml:space="preserve"> –</w:t>
      </w:r>
      <w:r w:rsidR="001C1633">
        <w:rPr>
          <w:rFonts w:ascii="Arial" w:hAnsi="Arial" w:cs="Arial"/>
          <w:sz w:val="20"/>
          <w:szCs w:val="20"/>
        </w:rPr>
        <w:t xml:space="preserve"> </w:t>
      </w:r>
      <w:r w:rsidR="00C44280">
        <w:rPr>
          <w:rFonts w:ascii="Arial" w:hAnsi="Arial" w:cs="Arial"/>
          <w:sz w:val="20"/>
          <w:szCs w:val="20"/>
        </w:rPr>
        <w:t>T</w:t>
      </w:r>
      <w:r w:rsidR="000138B8" w:rsidRPr="0023554C">
        <w:rPr>
          <w:rFonts w:ascii="Arial" w:hAnsi="Arial" w:cs="Arial"/>
          <w:sz w:val="20"/>
          <w:szCs w:val="20"/>
        </w:rPr>
        <w:t xml:space="preserve">he following unaudited balance sheet information and asset coverage ratio update </w:t>
      </w:r>
      <w:r w:rsidR="00C44280">
        <w:rPr>
          <w:rFonts w:ascii="Arial" w:hAnsi="Arial" w:cs="Arial"/>
          <w:sz w:val="20"/>
          <w:szCs w:val="20"/>
        </w:rPr>
        <w:t xml:space="preserve">is provided </w:t>
      </w:r>
      <w:r w:rsidR="000138B8">
        <w:rPr>
          <w:rFonts w:ascii="Arial" w:hAnsi="Arial" w:cs="Arial"/>
          <w:sz w:val="20"/>
          <w:szCs w:val="20"/>
        </w:rPr>
        <w:t xml:space="preserve">for </w:t>
      </w:r>
      <w:r w:rsidR="000138B8" w:rsidRPr="0023554C">
        <w:rPr>
          <w:rFonts w:ascii="Arial" w:hAnsi="Arial" w:cs="Arial"/>
          <w:b/>
          <w:bCs/>
          <w:sz w:val="20"/>
          <w:szCs w:val="20"/>
        </w:rPr>
        <w:t>Ecofin Sustainable and Social Impact Term Fund</w:t>
      </w:r>
      <w:r w:rsidR="000138B8" w:rsidRPr="0023554C" w:rsidDel="008F01D3">
        <w:rPr>
          <w:rFonts w:ascii="Arial" w:hAnsi="Arial" w:cs="Arial"/>
          <w:b/>
          <w:sz w:val="20"/>
          <w:szCs w:val="20"/>
        </w:rPr>
        <w:t xml:space="preserve"> </w:t>
      </w:r>
      <w:r w:rsidR="000138B8" w:rsidRPr="0023554C">
        <w:rPr>
          <w:rFonts w:ascii="Arial" w:hAnsi="Arial" w:cs="Arial"/>
          <w:b/>
          <w:sz w:val="20"/>
          <w:szCs w:val="20"/>
        </w:rPr>
        <w:t>(NYSE: TEAF)</w:t>
      </w:r>
      <w:r w:rsidR="000138B8">
        <w:rPr>
          <w:rFonts w:ascii="Arial" w:hAnsi="Arial" w:cs="Arial"/>
          <w:sz w:val="20"/>
          <w:szCs w:val="20"/>
        </w:rPr>
        <w:t>.</w:t>
      </w:r>
    </w:p>
    <w:p w14:paraId="29399580" w14:textId="77777777" w:rsidR="000138B8" w:rsidRDefault="000138B8" w:rsidP="000138B8">
      <w:pPr>
        <w:rPr>
          <w:rFonts w:ascii="Arial" w:hAnsi="Arial" w:cs="Arial"/>
          <w:sz w:val="20"/>
          <w:szCs w:val="20"/>
        </w:rPr>
      </w:pPr>
    </w:p>
    <w:p w14:paraId="49997CB4" w14:textId="4C5A1799" w:rsidR="000138B8" w:rsidRPr="0023554C" w:rsidRDefault="000138B8" w:rsidP="000138B8">
      <w:pPr>
        <w:ind w:right="180"/>
        <w:rPr>
          <w:rFonts w:ascii="Arial" w:hAnsi="Arial" w:cs="Arial"/>
          <w:sz w:val="20"/>
          <w:szCs w:val="20"/>
        </w:rPr>
      </w:pPr>
      <w:r>
        <w:rPr>
          <w:rFonts w:ascii="Arial" w:hAnsi="Arial" w:cs="Arial"/>
          <w:sz w:val="20"/>
          <w:szCs w:val="20"/>
        </w:rPr>
        <w:t>A</w:t>
      </w:r>
      <w:r w:rsidRPr="0023554C">
        <w:rPr>
          <w:rFonts w:ascii="Arial" w:hAnsi="Arial" w:cs="Arial"/>
          <w:sz w:val="20"/>
          <w:szCs w:val="20"/>
        </w:rPr>
        <w:t xml:space="preserve">s of </w:t>
      </w:r>
      <w:r w:rsidR="00E23253">
        <w:rPr>
          <w:rFonts w:ascii="Arial" w:hAnsi="Arial" w:cs="Arial"/>
          <w:sz w:val="20"/>
          <w:szCs w:val="20"/>
        </w:rPr>
        <w:t>March</w:t>
      </w:r>
      <w:r w:rsidRPr="0023554C">
        <w:rPr>
          <w:rFonts w:ascii="Arial" w:hAnsi="Arial" w:cs="Arial"/>
          <w:sz w:val="20"/>
          <w:szCs w:val="20"/>
        </w:rPr>
        <w:t xml:space="preserve"> </w:t>
      </w:r>
      <w:r w:rsidR="00E23253">
        <w:rPr>
          <w:rFonts w:ascii="Arial" w:hAnsi="Arial" w:cs="Arial"/>
          <w:sz w:val="20"/>
          <w:szCs w:val="20"/>
        </w:rPr>
        <w:t>31</w:t>
      </w:r>
      <w:r w:rsidRPr="0023554C">
        <w:rPr>
          <w:rFonts w:ascii="Arial" w:hAnsi="Arial" w:cs="Arial"/>
          <w:sz w:val="20"/>
          <w:szCs w:val="20"/>
        </w:rPr>
        <w:t>, 202</w:t>
      </w:r>
      <w:r w:rsidR="00F90FD9">
        <w:rPr>
          <w:rFonts w:ascii="Arial" w:hAnsi="Arial" w:cs="Arial"/>
          <w:sz w:val="20"/>
          <w:szCs w:val="20"/>
        </w:rPr>
        <w:t>2</w:t>
      </w:r>
      <w:r w:rsidRPr="0023554C">
        <w:rPr>
          <w:rFonts w:ascii="Arial" w:hAnsi="Arial" w:cs="Arial"/>
          <w:sz w:val="20"/>
          <w:szCs w:val="20"/>
        </w:rPr>
        <w:t>, the company’s unaudited total assets were approximately $2</w:t>
      </w:r>
      <w:r w:rsidR="00E23253">
        <w:rPr>
          <w:rFonts w:ascii="Arial" w:hAnsi="Arial" w:cs="Arial"/>
          <w:sz w:val="20"/>
          <w:szCs w:val="20"/>
        </w:rPr>
        <w:t>63</w:t>
      </w:r>
      <w:r w:rsidRPr="0023554C">
        <w:rPr>
          <w:rFonts w:ascii="Arial" w:hAnsi="Arial" w:cs="Arial"/>
          <w:sz w:val="20"/>
          <w:szCs w:val="20"/>
        </w:rPr>
        <w:t>.</w:t>
      </w:r>
      <w:r w:rsidR="00E23253">
        <w:rPr>
          <w:rFonts w:ascii="Arial" w:hAnsi="Arial" w:cs="Arial"/>
          <w:sz w:val="20"/>
          <w:szCs w:val="20"/>
        </w:rPr>
        <w:t>1</w:t>
      </w:r>
      <w:r w:rsidRPr="0023554C">
        <w:rPr>
          <w:rFonts w:ascii="Arial" w:hAnsi="Arial" w:cs="Arial"/>
          <w:sz w:val="20"/>
          <w:szCs w:val="20"/>
        </w:rPr>
        <w:t xml:space="preserve"> million and its unaudited net asset value was $2</w:t>
      </w:r>
      <w:r w:rsidR="009870B7">
        <w:rPr>
          <w:rFonts w:ascii="Arial" w:hAnsi="Arial" w:cs="Arial"/>
          <w:sz w:val="20"/>
          <w:szCs w:val="20"/>
        </w:rPr>
        <w:t>3</w:t>
      </w:r>
      <w:r w:rsidR="00E23253">
        <w:rPr>
          <w:rFonts w:ascii="Arial" w:hAnsi="Arial" w:cs="Arial"/>
          <w:sz w:val="20"/>
          <w:szCs w:val="20"/>
        </w:rPr>
        <w:t>6</w:t>
      </w:r>
      <w:r w:rsidRPr="0023554C">
        <w:rPr>
          <w:rFonts w:ascii="Arial" w:hAnsi="Arial" w:cs="Arial"/>
          <w:sz w:val="20"/>
          <w:szCs w:val="20"/>
        </w:rPr>
        <w:t>.</w:t>
      </w:r>
      <w:r w:rsidR="00E23253">
        <w:rPr>
          <w:rFonts w:ascii="Arial" w:hAnsi="Arial" w:cs="Arial"/>
          <w:sz w:val="20"/>
          <w:szCs w:val="20"/>
        </w:rPr>
        <w:t>8</w:t>
      </w:r>
      <w:r w:rsidR="000F071E">
        <w:rPr>
          <w:rFonts w:ascii="Arial" w:hAnsi="Arial" w:cs="Arial"/>
          <w:sz w:val="20"/>
          <w:szCs w:val="20"/>
        </w:rPr>
        <w:t xml:space="preserve"> </w:t>
      </w:r>
      <w:r w:rsidRPr="0023554C">
        <w:rPr>
          <w:rFonts w:ascii="Arial" w:hAnsi="Arial" w:cs="Arial"/>
          <w:sz w:val="20"/>
          <w:szCs w:val="20"/>
        </w:rPr>
        <w:t>million, or $1</w:t>
      </w:r>
      <w:r w:rsidR="009870B7">
        <w:rPr>
          <w:rFonts w:ascii="Arial" w:hAnsi="Arial" w:cs="Arial"/>
          <w:sz w:val="20"/>
          <w:szCs w:val="20"/>
        </w:rPr>
        <w:t>7</w:t>
      </w:r>
      <w:r w:rsidRPr="0023554C">
        <w:rPr>
          <w:rFonts w:ascii="Arial" w:hAnsi="Arial" w:cs="Arial"/>
          <w:sz w:val="20"/>
          <w:szCs w:val="20"/>
        </w:rPr>
        <w:t>.</w:t>
      </w:r>
      <w:r w:rsidR="00E23253">
        <w:rPr>
          <w:rFonts w:ascii="Arial" w:hAnsi="Arial" w:cs="Arial"/>
          <w:sz w:val="20"/>
          <w:szCs w:val="20"/>
        </w:rPr>
        <w:t>55</w:t>
      </w:r>
      <w:r w:rsidRPr="0023554C">
        <w:rPr>
          <w:rFonts w:ascii="Arial" w:hAnsi="Arial" w:cs="Arial"/>
          <w:sz w:val="20"/>
          <w:szCs w:val="20"/>
        </w:rPr>
        <w:t xml:space="preserve"> per share.  </w:t>
      </w:r>
    </w:p>
    <w:p w14:paraId="2051DF28" w14:textId="77777777" w:rsidR="000138B8" w:rsidRPr="0023554C" w:rsidRDefault="000138B8" w:rsidP="000138B8">
      <w:pPr>
        <w:ind w:left="180" w:right="180"/>
        <w:rPr>
          <w:rFonts w:ascii="Arial" w:hAnsi="Arial" w:cs="Arial"/>
          <w:sz w:val="20"/>
          <w:szCs w:val="20"/>
        </w:rPr>
      </w:pPr>
    </w:p>
    <w:p w14:paraId="7FEACC3B" w14:textId="43E4CDB1" w:rsidR="000138B8" w:rsidRPr="0023554C" w:rsidRDefault="000138B8" w:rsidP="000138B8">
      <w:pPr>
        <w:ind w:right="180"/>
        <w:rPr>
          <w:rFonts w:ascii="Arial" w:hAnsi="Arial" w:cs="Arial"/>
          <w:sz w:val="20"/>
          <w:szCs w:val="20"/>
        </w:rPr>
      </w:pPr>
      <w:r w:rsidRPr="0023554C">
        <w:rPr>
          <w:rFonts w:ascii="Arial" w:hAnsi="Arial" w:cs="Arial"/>
          <w:sz w:val="20"/>
          <w:szCs w:val="20"/>
        </w:rPr>
        <w:t xml:space="preserve">As of </w:t>
      </w:r>
      <w:r w:rsidR="00E23253">
        <w:rPr>
          <w:rFonts w:ascii="Arial" w:hAnsi="Arial" w:cs="Arial"/>
          <w:sz w:val="20"/>
          <w:szCs w:val="20"/>
        </w:rPr>
        <w:t>March</w:t>
      </w:r>
      <w:r w:rsidRPr="0023554C">
        <w:rPr>
          <w:rFonts w:ascii="Arial" w:hAnsi="Arial" w:cs="Arial"/>
          <w:sz w:val="20"/>
          <w:szCs w:val="20"/>
        </w:rPr>
        <w:t xml:space="preserve"> </w:t>
      </w:r>
      <w:r w:rsidR="00E23253">
        <w:rPr>
          <w:rFonts w:ascii="Arial" w:hAnsi="Arial" w:cs="Arial"/>
          <w:sz w:val="20"/>
          <w:szCs w:val="20"/>
        </w:rPr>
        <w:t>31</w:t>
      </w:r>
      <w:r w:rsidRPr="0023554C">
        <w:rPr>
          <w:rFonts w:ascii="Arial" w:hAnsi="Arial" w:cs="Arial"/>
          <w:sz w:val="20"/>
          <w:szCs w:val="20"/>
        </w:rPr>
        <w:t>, 202</w:t>
      </w:r>
      <w:r w:rsidR="00F90FD9">
        <w:rPr>
          <w:rFonts w:ascii="Arial" w:hAnsi="Arial" w:cs="Arial"/>
          <w:sz w:val="20"/>
          <w:szCs w:val="20"/>
        </w:rPr>
        <w:t>2</w:t>
      </w:r>
      <w:r w:rsidRPr="0023554C">
        <w:rPr>
          <w:rFonts w:ascii="Arial" w:hAnsi="Arial" w:cs="Arial"/>
          <w:sz w:val="20"/>
          <w:szCs w:val="20"/>
        </w:rPr>
        <w:t xml:space="preserve">, the company’s asset coverage ratio under the 1940 Act with respect to senior securities representing indebtedness was </w:t>
      </w:r>
      <w:r w:rsidR="006C2768">
        <w:rPr>
          <w:rFonts w:ascii="Arial" w:hAnsi="Arial" w:cs="Arial"/>
          <w:sz w:val="20"/>
          <w:szCs w:val="20"/>
        </w:rPr>
        <w:t>1,</w:t>
      </w:r>
      <w:r w:rsidR="00E23253">
        <w:rPr>
          <w:rFonts w:ascii="Arial" w:hAnsi="Arial" w:cs="Arial"/>
          <w:sz w:val="20"/>
          <w:szCs w:val="20"/>
        </w:rPr>
        <w:t>055</w:t>
      </w:r>
      <w:r w:rsidR="00DE6C04">
        <w:rPr>
          <w:rFonts w:ascii="Arial" w:hAnsi="Arial" w:cs="Arial"/>
          <w:sz w:val="20"/>
          <w:szCs w:val="20"/>
        </w:rPr>
        <w:t>%</w:t>
      </w:r>
      <w:r w:rsidRPr="0023554C">
        <w:rPr>
          <w:rFonts w:ascii="Arial" w:hAnsi="Arial" w:cs="Arial"/>
          <w:sz w:val="20"/>
          <w:szCs w:val="20"/>
        </w:rPr>
        <w:t xml:space="preserve">. For more information on the company’s coverage ratios, please refer to the leverage summary </w:t>
      </w:r>
      <w:r w:rsidRPr="0023554C">
        <w:rPr>
          <w:rFonts w:ascii="Arial" w:hAnsi="Arial" w:cs="Arial"/>
          <w:sz w:val="20"/>
          <w:szCs w:val="20"/>
          <w:lang w:val="en"/>
        </w:rPr>
        <w:t xml:space="preserve">web page at </w:t>
      </w:r>
      <w:hyperlink r:id="rId8" w:history="1">
        <w:r w:rsidRPr="0023554C">
          <w:rPr>
            <w:rStyle w:val="Hyperlink"/>
            <w:rFonts w:ascii="Arial" w:hAnsi="Arial" w:cs="Arial"/>
            <w:color w:val="auto"/>
            <w:sz w:val="20"/>
            <w:szCs w:val="20"/>
            <w:lang w:val="en"/>
          </w:rPr>
          <w:t>https://cef.tortoiseecofin.com</w:t>
        </w:r>
      </w:hyperlink>
      <w:r w:rsidRPr="0023554C">
        <w:rPr>
          <w:rFonts w:ascii="Arial" w:hAnsi="Arial" w:cs="Arial"/>
          <w:sz w:val="20"/>
          <w:szCs w:val="20"/>
        </w:rPr>
        <w:t>.</w:t>
      </w:r>
    </w:p>
    <w:p w14:paraId="6DA9F74E" w14:textId="77777777" w:rsidR="000138B8" w:rsidRPr="0023554C" w:rsidRDefault="000138B8" w:rsidP="000138B8">
      <w:pPr>
        <w:ind w:right="180"/>
        <w:rPr>
          <w:rFonts w:ascii="Arial" w:hAnsi="Arial" w:cs="Arial"/>
          <w:sz w:val="20"/>
          <w:szCs w:val="20"/>
        </w:rPr>
      </w:pPr>
    </w:p>
    <w:p w14:paraId="2C815F8D" w14:textId="03A17234" w:rsidR="000138B8" w:rsidRPr="0023554C" w:rsidRDefault="000138B8" w:rsidP="000138B8">
      <w:pPr>
        <w:ind w:right="180"/>
        <w:rPr>
          <w:rFonts w:ascii="Arial" w:hAnsi="Arial" w:cs="Arial"/>
          <w:sz w:val="20"/>
          <w:szCs w:val="20"/>
        </w:rPr>
      </w:pPr>
      <w:r w:rsidRPr="0023554C">
        <w:rPr>
          <w:rFonts w:ascii="Arial" w:hAnsi="Arial" w:cs="Arial"/>
          <w:sz w:val="20"/>
          <w:szCs w:val="20"/>
        </w:rPr>
        <w:t>Set forth below is a summary of the company’s unaudited</w:t>
      </w:r>
      <w:r w:rsidR="000F071E">
        <w:rPr>
          <w:rFonts w:ascii="Arial" w:hAnsi="Arial" w:cs="Arial"/>
          <w:sz w:val="20"/>
          <w:szCs w:val="20"/>
        </w:rPr>
        <w:t xml:space="preserve"> </w:t>
      </w:r>
      <w:r w:rsidRPr="0023554C">
        <w:rPr>
          <w:rFonts w:ascii="Arial" w:hAnsi="Arial" w:cs="Arial"/>
          <w:sz w:val="20"/>
          <w:szCs w:val="20"/>
        </w:rPr>
        <w:t xml:space="preserve">balance sheet at </w:t>
      </w:r>
      <w:r w:rsidR="00E23253">
        <w:rPr>
          <w:rFonts w:ascii="Arial" w:hAnsi="Arial" w:cs="Arial"/>
          <w:sz w:val="20"/>
          <w:szCs w:val="20"/>
        </w:rPr>
        <w:t>March</w:t>
      </w:r>
      <w:r w:rsidRPr="0023554C">
        <w:rPr>
          <w:rFonts w:ascii="Arial" w:hAnsi="Arial" w:cs="Arial"/>
          <w:sz w:val="20"/>
          <w:szCs w:val="20"/>
        </w:rPr>
        <w:t xml:space="preserve"> </w:t>
      </w:r>
      <w:r w:rsidR="00E23253">
        <w:rPr>
          <w:rFonts w:ascii="Arial" w:hAnsi="Arial" w:cs="Arial"/>
          <w:sz w:val="20"/>
          <w:szCs w:val="20"/>
        </w:rPr>
        <w:t>31</w:t>
      </w:r>
      <w:r w:rsidRPr="0023554C">
        <w:rPr>
          <w:rFonts w:ascii="Arial" w:hAnsi="Arial" w:cs="Arial"/>
          <w:sz w:val="20"/>
          <w:szCs w:val="20"/>
        </w:rPr>
        <w:t>, 202</w:t>
      </w:r>
      <w:r w:rsidR="00F90FD9">
        <w:rPr>
          <w:rFonts w:ascii="Arial" w:hAnsi="Arial" w:cs="Arial"/>
          <w:sz w:val="20"/>
          <w:szCs w:val="20"/>
        </w:rPr>
        <w:t>2</w:t>
      </w:r>
      <w:r w:rsidRPr="0023554C">
        <w:rPr>
          <w:rFonts w:ascii="Arial" w:hAnsi="Arial" w:cs="Arial"/>
          <w:sz w:val="20"/>
          <w:szCs w:val="20"/>
        </w:rPr>
        <w:t>.</w:t>
      </w:r>
    </w:p>
    <w:p w14:paraId="7A3B7392" w14:textId="77777777" w:rsidR="000138B8" w:rsidRPr="0023554C" w:rsidRDefault="000138B8" w:rsidP="000138B8">
      <w:pPr>
        <w:ind w:right="180"/>
        <w:rPr>
          <w:rFonts w:ascii="Arial" w:hAnsi="Arial" w:cs="Arial"/>
          <w:b/>
          <w:sz w:val="20"/>
          <w:szCs w:val="20"/>
        </w:rPr>
      </w:pPr>
    </w:p>
    <w:p w14:paraId="55CD8F97" w14:textId="6728ABAD" w:rsidR="000138B8" w:rsidRPr="0023554C" w:rsidRDefault="000138B8" w:rsidP="000138B8">
      <w:pPr>
        <w:ind w:right="180"/>
        <w:rPr>
          <w:rFonts w:ascii="Arial" w:hAnsi="Arial" w:cs="Arial"/>
          <w:b/>
          <w:sz w:val="20"/>
          <w:szCs w:val="20"/>
        </w:rPr>
      </w:pPr>
      <w:r w:rsidRPr="0023554C">
        <w:rPr>
          <w:rFonts w:ascii="Arial" w:hAnsi="Arial" w:cs="Arial"/>
          <w:b/>
          <w:sz w:val="20"/>
          <w:szCs w:val="20"/>
        </w:rPr>
        <w:t>Unaudited</w:t>
      </w:r>
      <w:r w:rsidR="000F071E">
        <w:rPr>
          <w:rFonts w:ascii="Arial" w:hAnsi="Arial" w:cs="Arial"/>
          <w:b/>
          <w:sz w:val="20"/>
          <w:szCs w:val="20"/>
        </w:rPr>
        <w:t xml:space="preserve"> </w:t>
      </w:r>
      <w:r w:rsidRPr="0023554C">
        <w:rPr>
          <w:rFonts w:ascii="Arial" w:hAnsi="Arial" w:cs="Arial"/>
          <w:b/>
          <w:sz w:val="20"/>
          <w:szCs w:val="20"/>
        </w:rPr>
        <w:t>balance sheet</w:t>
      </w:r>
    </w:p>
    <w:p w14:paraId="4A0A6EE5" w14:textId="77777777" w:rsidR="000138B8" w:rsidRPr="0023554C" w:rsidRDefault="000138B8" w:rsidP="000138B8">
      <w:pPr>
        <w:ind w:left="180" w:right="180"/>
        <w:rPr>
          <w:rFonts w:ascii="Arial" w:hAnsi="Arial" w:cs="Arial"/>
          <w:sz w:val="20"/>
          <w:szCs w:val="20"/>
        </w:rPr>
      </w:pPr>
      <w:bookmarkStart w:id="1" w:name="_GoBack"/>
      <w:bookmarkEnd w:id="1"/>
    </w:p>
    <w:tbl>
      <w:tblPr>
        <w:tblW w:w="7635" w:type="dxa"/>
        <w:tblInd w:w="915" w:type="dxa"/>
        <w:tblLook w:val="01E0" w:firstRow="1" w:lastRow="1" w:firstColumn="1" w:lastColumn="1" w:noHBand="0" w:noVBand="0"/>
      </w:tblPr>
      <w:tblGrid>
        <w:gridCol w:w="4421"/>
        <w:gridCol w:w="1689"/>
        <w:gridCol w:w="1525"/>
      </w:tblGrid>
      <w:tr w:rsidR="000138B8" w:rsidRPr="0023554C" w14:paraId="6E47F0EB" w14:textId="77777777" w:rsidTr="00187473">
        <w:trPr>
          <w:trHeight w:val="253"/>
        </w:trPr>
        <w:tc>
          <w:tcPr>
            <w:tcW w:w="4421" w:type="dxa"/>
          </w:tcPr>
          <w:p w14:paraId="0D4D1545" w14:textId="77777777" w:rsidR="000138B8" w:rsidRPr="0023554C" w:rsidRDefault="000138B8" w:rsidP="00135094">
            <w:pPr>
              <w:suppressAutoHyphens/>
              <w:ind w:left="180" w:right="180"/>
              <w:rPr>
                <w:rFonts w:ascii="Arial" w:hAnsi="Arial" w:cs="Arial"/>
                <w:sz w:val="20"/>
                <w:szCs w:val="20"/>
                <w:lang w:eastAsia="ja-JP"/>
              </w:rPr>
            </w:pPr>
          </w:p>
        </w:tc>
        <w:tc>
          <w:tcPr>
            <w:tcW w:w="1689" w:type="dxa"/>
            <w:hideMark/>
          </w:tcPr>
          <w:p w14:paraId="6135B5E1" w14:textId="77777777" w:rsidR="000138B8" w:rsidRPr="0023554C" w:rsidRDefault="000138B8" w:rsidP="00135094">
            <w:pPr>
              <w:suppressAutoHyphens/>
              <w:ind w:left="72"/>
              <w:jc w:val="center"/>
              <w:rPr>
                <w:rFonts w:ascii="Arial" w:hAnsi="Arial" w:cs="Arial"/>
                <w:sz w:val="20"/>
                <w:szCs w:val="20"/>
                <w:u w:val="single"/>
                <w:lang w:eastAsia="ja-JP"/>
              </w:rPr>
            </w:pPr>
            <w:r w:rsidRPr="0023554C">
              <w:rPr>
                <w:rFonts w:ascii="Arial" w:hAnsi="Arial" w:cs="Arial"/>
                <w:sz w:val="20"/>
                <w:szCs w:val="20"/>
                <w:u w:val="single"/>
                <w:lang w:eastAsia="ja-JP"/>
              </w:rPr>
              <w:t>(in Millions)</w:t>
            </w:r>
          </w:p>
        </w:tc>
        <w:tc>
          <w:tcPr>
            <w:tcW w:w="1525" w:type="dxa"/>
            <w:hideMark/>
          </w:tcPr>
          <w:p w14:paraId="648F7352" w14:textId="77777777" w:rsidR="000138B8" w:rsidRPr="0023554C" w:rsidRDefault="000138B8" w:rsidP="00135094">
            <w:pPr>
              <w:suppressAutoHyphens/>
              <w:jc w:val="center"/>
              <w:rPr>
                <w:rFonts w:ascii="Arial" w:hAnsi="Arial" w:cs="Arial"/>
                <w:sz w:val="20"/>
                <w:szCs w:val="20"/>
                <w:u w:val="single"/>
                <w:lang w:eastAsia="ja-JP"/>
              </w:rPr>
            </w:pPr>
            <w:r w:rsidRPr="0023554C">
              <w:rPr>
                <w:rFonts w:ascii="Arial" w:hAnsi="Arial" w:cs="Arial"/>
                <w:sz w:val="20"/>
                <w:szCs w:val="20"/>
                <w:u w:val="single"/>
                <w:lang w:eastAsia="ja-JP"/>
              </w:rPr>
              <w:t>Per Share</w:t>
            </w:r>
          </w:p>
        </w:tc>
      </w:tr>
      <w:tr w:rsidR="000138B8" w:rsidRPr="0023554C" w14:paraId="5E6521EA" w14:textId="77777777" w:rsidTr="00187473">
        <w:trPr>
          <w:trHeight w:val="247"/>
        </w:trPr>
        <w:tc>
          <w:tcPr>
            <w:tcW w:w="4421" w:type="dxa"/>
            <w:hideMark/>
          </w:tcPr>
          <w:p w14:paraId="58F2694C" w14:textId="77777777" w:rsidR="000138B8" w:rsidRPr="0023554C" w:rsidRDefault="000138B8" w:rsidP="00135094">
            <w:pPr>
              <w:suppressAutoHyphens/>
              <w:ind w:left="180" w:right="180"/>
              <w:rPr>
                <w:rFonts w:ascii="Arial" w:hAnsi="Arial" w:cs="Arial"/>
                <w:sz w:val="20"/>
                <w:szCs w:val="20"/>
                <w:lang w:eastAsia="ja-JP"/>
              </w:rPr>
            </w:pPr>
            <w:r w:rsidRPr="0023554C">
              <w:rPr>
                <w:rFonts w:ascii="Arial" w:hAnsi="Arial" w:cs="Arial"/>
                <w:sz w:val="20"/>
                <w:szCs w:val="20"/>
                <w:lang w:eastAsia="ja-JP"/>
              </w:rPr>
              <w:t>Investments</w:t>
            </w:r>
          </w:p>
        </w:tc>
        <w:tc>
          <w:tcPr>
            <w:tcW w:w="1689" w:type="dxa"/>
            <w:hideMark/>
          </w:tcPr>
          <w:p w14:paraId="66BE613F" w14:textId="0A26B341" w:rsidR="000138B8" w:rsidRPr="0023554C" w:rsidRDefault="000138B8" w:rsidP="00E23253">
            <w:pPr>
              <w:suppressAutoHyphens/>
              <w:ind w:left="180" w:right="180"/>
              <w:jc w:val="right"/>
              <w:rPr>
                <w:rFonts w:ascii="Arial" w:hAnsi="Arial" w:cs="Arial"/>
                <w:sz w:val="20"/>
                <w:szCs w:val="20"/>
                <w:lang w:eastAsia="ja-JP"/>
              </w:rPr>
            </w:pPr>
            <w:r w:rsidRPr="0023554C">
              <w:rPr>
                <w:rFonts w:ascii="Arial" w:hAnsi="Arial" w:cs="Arial"/>
                <w:sz w:val="20"/>
                <w:szCs w:val="20"/>
                <w:lang w:eastAsia="ja-JP"/>
              </w:rPr>
              <w:t>$ 2</w:t>
            </w:r>
            <w:r w:rsidR="002F5337">
              <w:rPr>
                <w:rFonts w:ascii="Arial" w:hAnsi="Arial" w:cs="Arial"/>
                <w:sz w:val="20"/>
                <w:szCs w:val="20"/>
                <w:lang w:eastAsia="ja-JP"/>
              </w:rPr>
              <w:t>5</w:t>
            </w:r>
            <w:r w:rsidR="00E23253">
              <w:rPr>
                <w:rFonts w:ascii="Arial" w:hAnsi="Arial" w:cs="Arial"/>
                <w:sz w:val="20"/>
                <w:szCs w:val="20"/>
                <w:lang w:eastAsia="ja-JP"/>
              </w:rPr>
              <w:t>8</w:t>
            </w:r>
            <w:r w:rsidRPr="0023554C">
              <w:rPr>
                <w:rFonts w:ascii="Arial" w:hAnsi="Arial" w:cs="Arial"/>
                <w:sz w:val="20"/>
                <w:szCs w:val="20"/>
                <w:lang w:eastAsia="ja-JP"/>
              </w:rPr>
              <w:t>.</w:t>
            </w:r>
            <w:r w:rsidR="00E23253">
              <w:rPr>
                <w:rFonts w:ascii="Arial" w:hAnsi="Arial" w:cs="Arial"/>
                <w:sz w:val="20"/>
                <w:szCs w:val="20"/>
                <w:lang w:eastAsia="ja-JP"/>
              </w:rPr>
              <w:t>4</w:t>
            </w:r>
          </w:p>
        </w:tc>
        <w:tc>
          <w:tcPr>
            <w:tcW w:w="1525" w:type="dxa"/>
            <w:hideMark/>
          </w:tcPr>
          <w:p w14:paraId="30A5A985" w14:textId="0855CD80" w:rsidR="000138B8" w:rsidRPr="0023554C" w:rsidRDefault="000138B8" w:rsidP="00E23253">
            <w:pPr>
              <w:suppressAutoHyphens/>
              <w:ind w:left="180" w:right="180"/>
              <w:jc w:val="right"/>
              <w:rPr>
                <w:rFonts w:ascii="Arial" w:hAnsi="Arial" w:cs="Arial"/>
                <w:sz w:val="20"/>
                <w:szCs w:val="20"/>
                <w:lang w:eastAsia="ja-JP"/>
              </w:rPr>
            </w:pPr>
            <w:r w:rsidRPr="0023554C">
              <w:rPr>
                <w:rFonts w:ascii="Arial" w:hAnsi="Arial" w:cs="Arial"/>
                <w:sz w:val="20"/>
                <w:szCs w:val="20"/>
                <w:lang w:eastAsia="ja-JP"/>
              </w:rPr>
              <w:t xml:space="preserve">$ </w:t>
            </w:r>
            <w:r>
              <w:rPr>
                <w:rFonts w:ascii="Arial" w:hAnsi="Arial" w:cs="Arial"/>
                <w:sz w:val="20"/>
                <w:szCs w:val="20"/>
                <w:lang w:eastAsia="ja-JP"/>
              </w:rPr>
              <w:t>1</w:t>
            </w:r>
            <w:r w:rsidR="00E23253">
              <w:rPr>
                <w:rFonts w:ascii="Arial" w:hAnsi="Arial" w:cs="Arial"/>
                <w:sz w:val="20"/>
                <w:szCs w:val="20"/>
                <w:lang w:eastAsia="ja-JP"/>
              </w:rPr>
              <w:t>9</w:t>
            </w:r>
            <w:r w:rsidRPr="0023554C">
              <w:rPr>
                <w:rFonts w:ascii="Arial" w:hAnsi="Arial" w:cs="Arial"/>
                <w:sz w:val="20"/>
                <w:szCs w:val="20"/>
                <w:lang w:eastAsia="ja-JP"/>
              </w:rPr>
              <w:t>.</w:t>
            </w:r>
            <w:r w:rsidR="00E23253">
              <w:rPr>
                <w:rFonts w:ascii="Arial" w:hAnsi="Arial" w:cs="Arial"/>
                <w:sz w:val="20"/>
                <w:szCs w:val="20"/>
                <w:lang w:eastAsia="ja-JP"/>
              </w:rPr>
              <w:t>15</w:t>
            </w:r>
          </w:p>
        </w:tc>
      </w:tr>
      <w:tr w:rsidR="000138B8" w:rsidRPr="0023554C" w14:paraId="7CDB1301" w14:textId="77777777" w:rsidTr="00187473">
        <w:trPr>
          <w:trHeight w:val="247"/>
        </w:trPr>
        <w:tc>
          <w:tcPr>
            <w:tcW w:w="4421" w:type="dxa"/>
            <w:hideMark/>
          </w:tcPr>
          <w:p w14:paraId="68D2FC9A" w14:textId="77777777" w:rsidR="000138B8" w:rsidRPr="0023554C" w:rsidRDefault="000138B8" w:rsidP="00135094">
            <w:pPr>
              <w:suppressAutoHyphens/>
              <w:ind w:left="180" w:right="180"/>
              <w:rPr>
                <w:rFonts w:ascii="Arial" w:hAnsi="Arial" w:cs="Arial"/>
                <w:sz w:val="20"/>
                <w:szCs w:val="20"/>
                <w:lang w:eastAsia="ja-JP"/>
              </w:rPr>
            </w:pPr>
            <w:r w:rsidRPr="0023554C">
              <w:rPr>
                <w:rFonts w:ascii="Arial" w:hAnsi="Arial" w:cs="Arial"/>
                <w:sz w:val="20"/>
                <w:szCs w:val="20"/>
                <w:lang w:eastAsia="ja-JP"/>
              </w:rPr>
              <w:t>Cash and Cash Equivalents</w:t>
            </w:r>
          </w:p>
        </w:tc>
        <w:tc>
          <w:tcPr>
            <w:tcW w:w="1689" w:type="dxa"/>
            <w:hideMark/>
          </w:tcPr>
          <w:p w14:paraId="01317DAF" w14:textId="2BDF8DC5" w:rsidR="000138B8" w:rsidRPr="0023554C" w:rsidRDefault="00E23253" w:rsidP="00135094">
            <w:pPr>
              <w:suppressAutoHyphens/>
              <w:ind w:left="180" w:right="180"/>
              <w:jc w:val="right"/>
              <w:rPr>
                <w:rFonts w:ascii="Arial" w:hAnsi="Arial" w:cs="Arial"/>
                <w:sz w:val="20"/>
                <w:szCs w:val="20"/>
                <w:lang w:eastAsia="ja-JP"/>
              </w:rPr>
            </w:pPr>
            <w:r>
              <w:rPr>
                <w:rFonts w:ascii="Arial" w:hAnsi="Arial" w:cs="Arial"/>
                <w:sz w:val="20"/>
                <w:szCs w:val="20"/>
                <w:lang w:eastAsia="ja-JP"/>
              </w:rPr>
              <w:t>1</w:t>
            </w:r>
            <w:r w:rsidR="000138B8" w:rsidRPr="0023554C">
              <w:rPr>
                <w:rFonts w:ascii="Arial" w:hAnsi="Arial" w:cs="Arial"/>
                <w:sz w:val="20"/>
                <w:szCs w:val="20"/>
                <w:lang w:eastAsia="ja-JP"/>
              </w:rPr>
              <w:t>.</w:t>
            </w:r>
            <w:r>
              <w:rPr>
                <w:rFonts w:ascii="Arial" w:hAnsi="Arial" w:cs="Arial"/>
                <w:sz w:val="20"/>
                <w:szCs w:val="20"/>
                <w:lang w:eastAsia="ja-JP"/>
              </w:rPr>
              <w:t>4</w:t>
            </w:r>
          </w:p>
        </w:tc>
        <w:tc>
          <w:tcPr>
            <w:tcW w:w="1525" w:type="dxa"/>
            <w:hideMark/>
          </w:tcPr>
          <w:p w14:paraId="62AF5EF7" w14:textId="540F6949" w:rsidR="000138B8" w:rsidRPr="0023554C" w:rsidRDefault="00E23253" w:rsidP="00144026">
            <w:pPr>
              <w:suppressAutoHyphens/>
              <w:ind w:left="180" w:right="180"/>
              <w:jc w:val="right"/>
              <w:rPr>
                <w:rFonts w:ascii="Arial" w:hAnsi="Arial" w:cs="Arial"/>
                <w:sz w:val="20"/>
                <w:szCs w:val="20"/>
                <w:lang w:eastAsia="ja-JP"/>
              </w:rPr>
            </w:pPr>
            <w:r>
              <w:rPr>
                <w:rFonts w:ascii="Arial" w:hAnsi="Arial" w:cs="Arial"/>
                <w:sz w:val="20"/>
                <w:szCs w:val="20"/>
                <w:lang w:eastAsia="ja-JP"/>
              </w:rPr>
              <w:t>0.10</w:t>
            </w:r>
          </w:p>
        </w:tc>
      </w:tr>
      <w:tr w:rsidR="000138B8" w:rsidRPr="0023554C" w14:paraId="55247DB1" w14:textId="77777777" w:rsidTr="00187473">
        <w:trPr>
          <w:trHeight w:val="247"/>
        </w:trPr>
        <w:tc>
          <w:tcPr>
            <w:tcW w:w="4421" w:type="dxa"/>
            <w:hideMark/>
          </w:tcPr>
          <w:p w14:paraId="7B74FA88" w14:textId="77777777" w:rsidR="000138B8" w:rsidRPr="0023554C" w:rsidRDefault="000138B8" w:rsidP="00135094">
            <w:pPr>
              <w:suppressAutoHyphens/>
              <w:ind w:left="180" w:right="180"/>
              <w:rPr>
                <w:rFonts w:ascii="Arial" w:hAnsi="Arial" w:cs="Arial"/>
                <w:sz w:val="20"/>
                <w:szCs w:val="20"/>
                <w:lang w:eastAsia="ja-JP"/>
              </w:rPr>
            </w:pPr>
            <w:r w:rsidRPr="0023554C">
              <w:rPr>
                <w:rFonts w:ascii="Arial" w:hAnsi="Arial" w:cs="Arial"/>
                <w:sz w:val="20"/>
                <w:szCs w:val="20"/>
                <w:lang w:eastAsia="ja-JP"/>
              </w:rPr>
              <w:t>Other Assets</w:t>
            </w:r>
          </w:p>
        </w:tc>
        <w:tc>
          <w:tcPr>
            <w:tcW w:w="1689" w:type="dxa"/>
            <w:hideMark/>
          </w:tcPr>
          <w:p w14:paraId="51BC2645" w14:textId="50D93593" w:rsidR="000138B8" w:rsidRPr="0023554C" w:rsidRDefault="00E23253" w:rsidP="00E23253">
            <w:pPr>
              <w:suppressAutoHyphens/>
              <w:ind w:left="180" w:right="180"/>
              <w:jc w:val="right"/>
              <w:rPr>
                <w:rFonts w:ascii="Arial" w:hAnsi="Arial" w:cs="Arial"/>
                <w:sz w:val="20"/>
                <w:szCs w:val="20"/>
                <w:u w:val="single"/>
                <w:lang w:eastAsia="ja-JP"/>
              </w:rPr>
            </w:pPr>
            <w:r>
              <w:rPr>
                <w:rFonts w:ascii="Arial" w:hAnsi="Arial" w:cs="Arial"/>
                <w:sz w:val="20"/>
                <w:szCs w:val="20"/>
                <w:u w:val="single"/>
                <w:lang w:eastAsia="ja-JP"/>
              </w:rPr>
              <w:t>3</w:t>
            </w:r>
            <w:r w:rsidR="000138B8" w:rsidRPr="00C101F3">
              <w:rPr>
                <w:rFonts w:ascii="Arial" w:hAnsi="Arial" w:cs="Arial"/>
                <w:sz w:val="20"/>
                <w:szCs w:val="20"/>
                <w:u w:val="single"/>
                <w:lang w:eastAsia="ja-JP"/>
              </w:rPr>
              <w:t>.</w:t>
            </w:r>
            <w:r>
              <w:rPr>
                <w:rFonts w:ascii="Arial" w:hAnsi="Arial" w:cs="Arial"/>
                <w:sz w:val="20"/>
                <w:szCs w:val="20"/>
                <w:u w:val="single"/>
                <w:lang w:eastAsia="ja-JP"/>
              </w:rPr>
              <w:t>3</w:t>
            </w:r>
          </w:p>
        </w:tc>
        <w:tc>
          <w:tcPr>
            <w:tcW w:w="1525" w:type="dxa"/>
            <w:hideMark/>
          </w:tcPr>
          <w:p w14:paraId="3A151070" w14:textId="2C5D0E85" w:rsidR="000138B8" w:rsidRPr="0023554C" w:rsidRDefault="000138B8" w:rsidP="00135094">
            <w:pPr>
              <w:suppressAutoHyphens/>
              <w:ind w:left="180" w:right="180"/>
              <w:jc w:val="right"/>
              <w:rPr>
                <w:rFonts w:ascii="Arial" w:hAnsi="Arial" w:cs="Arial"/>
                <w:sz w:val="20"/>
                <w:szCs w:val="20"/>
                <w:u w:val="single"/>
                <w:lang w:eastAsia="ja-JP"/>
              </w:rPr>
            </w:pPr>
            <w:r w:rsidRPr="0023554C">
              <w:rPr>
                <w:rFonts w:ascii="Arial" w:hAnsi="Arial" w:cs="Arial"/>
                <w:sz w:val="20"/>
                <w:szCs w:val="20"/>
                <w:u w:val="single"/>
                <w:lang w:eastAsia="ja-JP"/>
              </w:rPr>
              <w:t>0</w:t>
            </w:r>
            <w:r w:rsidR="00E23253">
              <w:rPr>
                <w:rFonts w:ascii="Arial" w:hAnsi="Arial" w:cs="Arial"/>
                <w:sz w:val="20"/>
                <w:szCs w:val="20"/>
                <w:u w:val="single"/>
                <w:lang w:eastAsia="ja-JP"/>
              </w:rPr>
              <w:t>.25</w:t>
            </w:r>
          </w:p>
        </w:tc>
      </w:tr>
      <w:tr w:rsidR="000138B8" w:rsidRPr="0023554C" w14:paraId="652D39A2" w14:textId="77777777" w:rsidTr="00187473">
        <w:trPr>
          <w:trHeight w:val="247"/>
        </w:trPr>
        <w:tc>
          <w:tcPr>
            <w:tcW w:w="4421" w:type="dxa"/>
            <w:hideMark/>
          </w:tcPr>
          <w:p w14:paraId="73F6C371" w14:textId="77777777" w:rsidR="000138B8" w:rsidRPr="0023554C" w:rsidRDefault="000138B8" w:rsidP="00135094">
            <w:pPr>
              <w:suppressAutoHyphens/>
              <w:ind w:left="720" w:right="180"/>
              <w:rPr>
                <w:rFonts w:ascii="Arial" w:hAnsi="Arial" w:cs="Arial"/>
                <w:sz w:val="20"/>
                <w:szCs w:val="20"/>
                <w:lang w:eastAsia="ja-JP"/>
              </w:rPr>
            </w:pPr>
            <w:r w:rsidRPr="0023554C">
              <w:rPr>
                <w:rFonts w:ascii="Arial" w:hAnsi="Arial" w:cs="Arial"/>
                <w:sz w:val="20"/>
                <w:szCs w:val="20"/>
                <w:lang w:eastAsia="ja-JP"/>
              </w:rPr>
              <w:t>Total Assets</w:t>
            </w:r>
          </w:p>
        </w:tc>
        <w:tc>
          <w:tcPr>
            <w:tcW w:w="1689" w:type="dxa"/>
            <w:hideMark/>
          </w:tcPr>
          <w:p w14:paraId="5CB4C594" w14:textId="47D36A0F" w:rsidR="000138B8" w:rsidRPr="0023554C" w:rsidRDefault="000F071E" w:rsidP="00E23253">
            <w:pPr>
              <w:suppressAutoHyphens/>
              <w:ind w:left="180" w:right="180"/>
              <w:jc w:val="right"/>
              <w:rPr>
                <w:rFonts w:ascii="Arial" w:hAnsi="Arial" w:cs="Arial"/>
                <w:sz w:val="20"/>
                <w:szCs w:val="20"/>
                <w:u w:val="single"/>
                <w:lang w:eastAsia="ja-JP"/>
              </w:rPr>
            </w:pPr>
            <w:r>
              <w:rPr>
                <w:rFonts w:ascii="Arial" w:hAnsi="Arial" w:cs="Arial"/>
                <w:sz w:val="20"/>
                <w:szCs w:val="20"/>
                <w:u w:val="single"/>
                <w:lang w:eastAsia="ja-JP"/>
              </w:rPr>
              <w:t>2</w:t>
            </w:r>
            <w:r w:rsidR="00E23253">
              <w:rPr>
                <w:rFonts w:ascii="Arial" w:hAnsi="Arial" w:cs="Arial"/>
                <w:sz w:val="20"/>
                <w:szCs w:val="20"/>
                <w:u w:val="single"/>
                <w:lang w:eastAsia="ja-JP"/>
              </w:rPr>
              <w:t>63</w:t>
            </w:r>
            <w:r>
              <w:rPr>
                <w:rFonts w:ascii="Arial" w:hAnsi="Arial" w:cs="Arial"/>
                <w:sz w:val="20"/>
                <w:szCs w:val="20"/>
                <w:u w:val="single"/>
                <w:lang w:eastAsia="ja-JP"/>
              </w:rPr>
              <w:t>.</w:t>
            </w:r>
            <w:r w:rsidR="00E23253">
              <w:rPr>
                <w:rFonts w:ascii="Arial" w:hAnsi="Arial" w:cs="Arial"/>
                <w:sz w:val="20"/>
                <w:szCs w:val="20"/>
                <w:u w:val="single"/>
                <w:lang w:eastAsia="ja-JP"/>
              </w:rPr>
              <w:t>1</w:t>
            </w:r>
          </w:p>
        </w:tc>
        <w:tc>
          <w:tcPr>
            <w:tcW w:w="1525" w:type="dxa"/>
            <w:hideMark/>
          </w:tcPr>
          <w:p w14:paraId="1E0C9E9A" w14:textId="6CC7A931" w:rsidR="000138B8" w:rsidRPr="0023554C" w:rsidRDefault="00144026" w:rsidP="00E23253">
            <w:pPr>
              <w:suppressAutoHyphens/>
              <w:ind w:left="180" w:right="180"/>
              <w:jc w:val="right"/>
              <w:rPr>
                <w:rFonts w:ascii="Arial" w:hAnsi="Arial" w:cs="Arial"/>
                <w:sz w:val="20"/>
                <w:szCs w:val="20"/>
                <w:u w:val="single"/>
                <w:lang w:eastAsia="ja-JP"/>
              </w:rPr>
            </w:pPr>
            <w:r w:rsidRPr="0091188E">
              <w:rPr>
                <w:rFonts w:ascii="Arial" w:hAnsi="Arial" w:cs="Arial"/>
                <w:sz w:val="20"/>
                <w:szCs w:val="20"/>
                <w:u w:val="single"/>
                <w:lang w:eastAsia="ja-JP"/>
              </w:rPr>
              <w:t>1</w:t>
            </w:r>
            <w:r w:rsidR="00E23253">
              <w:rPr>
                <w:rFonts w:ascii="Arial" w:hAnsi="Arial" w:cs="Arial"/>
                <w:sz w:val="20"/>
                <w:szCs w:val="20"/>
                <w:u w:val="single"/>
                <w:lang w:eastAsia="ja-JP"/>
              </w:rPr>
              <w:t>9</w:t>
            </w:r>
            <w:r w:rsidR="000138B8" w:rsidRPr="0091188E">
              <w:rPr>
                <w:rFonts w:ascii="Arial" w:hAnsi="Arial" w:cs="Arial"/>
                <w:sz w:val="20"/>
                <w:szCs w:val="20"/>
                <w:u w:val="single"/>
                <w:lang w:eastAsia="ja-JP"/>
              </w:rPr>
              <w:t>.</w:t>
            </w:r>
            <w:r w:rsidR="00E23253">
              <w:rPr>
                <w:rFonts w:ascii="Arial" w:hAnsi="Arial" w:cs="Arial"/>
                <w:sz w:val="20"/>
                <w:szCs w:val="20"/>
                <w:u w:val="single"/>
                <w:lang w:eastAsia="ja-JP"/>
              </w:rPr>
              <w:t>50</w:t>
            </w:r>
          </w:p>
        </w:tc>
      </w:tr>
      <w:tr w:rsidR="000138B8" w:rsidRPr="0023554C" w14:paraId="2365F905" w14:textId="77777777" w:rsidTr="00187473">
        <w:trPr>
          <w:trHeight w:val="240"/>
        </w:trPr>
        <w:tc>
          <w:tcPr>
            <w:tcW w:w="4421" w:type="dxa"/>
          </w:tcPr>
          <w:p w14:paraId="1308E4D4" w14:textId="77777777" w:rsidR="000138B8" w:rsidRPr="0023554C" w:rsidRDefault="000138B8" w:rsidP="00135094">
            <w:pPr>
              <w:suppressAutoHyphens/>
              <w:ind w:left="180" w:right="180"/>
              <w:rPr>
                <w:rFonts w:ascii="Arial" w:hAnsi="Arial" w:cs="Arial"/>
                <w:sz w:val="20"/>
                <w:szCs w:val="20"/>
                <w:lang w:eastAsia="ja-JP"/>
              </w:rPr>
            </w:pPr>
          </w:p>
        </w:tc>
        <w:tc>
          <w:tcPr>
            <w:tcW w:w="1689" w:type="dxa"/>
          </w:tcPr>
          <w:p w14:paraId="573F5ED9" w14:textId="77777777" w:rsidR="000138B8" w:rsidRPr="0023554C" w:rsidRDefault="000138B8" w:rsidP="00135094">
            <w:pPr>
              <w:suppressAutoHyphens/>
              <w:ind w:left="180" w:right="180"/>
              <w:rPr>
                <w:rFonts w:ascii="Arial" w:hAnsi="Arial" w:cs="Arial"/>
                <w:sz w:val="20"/>
                <w:szCs w:val="20"/>
                <w:lang w:eastAsia="ja-JP"/>
              </w:rPr>
            </w:pPr>
          </w:p>
        </w:tc>
        <w:tc>
          <w:tcPr>
            <w:tcW w:w="1525" w:type="dxa"/>
          </w:tcPr>
          <w:p w14:paraId="35268FC3" w14:textId="77777777" w:rsidR="000138B8" w:rsidRPr="0023554C" w:rsidRDefault="000138B8" w:rsidP="00135094">
            <w:pPr>
              <w:suppressAutoHyphens/>
              <w:ind w:left="180" w:right="180"/>
              <w:jc w:val="center"/>
              <w:rPr>
                <w:rFonts w:ascii="Arial" w:hAnsi="Arial" w:cs="Arial"/>
                <w:sz w:val="20"/>
                <w:szCs w:val="20"/>
                <w:lang w:eastAsia="ja-JP"/>
              </w:rPr>
            </w:pPr>
          </w:p>
        </w:tc>
      </w:tr>
      <w:tr w:rsidR="000138B8" w:rsidRPr="0023554C" w14:paraId="0F79C665" w14:textId="77777777" w:rsidTr="00187473">
        <w:trPr>
          <w:trHeight w:val="240"/>
        </w:trPr>
        <w:tc>
          <w:tcPr>
            <w:tcW w:w="4421" w:type="dxa"/>
          </w:tcPr>
          <w:p w14:paraId="1A0EEBBE" w14:textId="77777777" w:rsidR="000138B8" w:rsidRPr="0023554C" w:rsidRDefault="000138B8" w:rsidP="00135094">
            <w:pPr>
              <w:suppressAutoHyphens/>
              <w:ind w:left="180" w:right="180"/>
              <w:rPr>
                <w:rFonts w:ascii="Arial" w:hAnsi="Arial" w:cs="Arial"/>
                <w:sz w:val="20"/>
                <w:szCs w:val="20"/>
                <w:lang w:eastAsia="ja-JP"/>
              </w:rPr>
            </w:pPr>
            <w:r w:rsidRPr="0023554C">
              <w:rPr>
                <w:rFonts w:ascii="Arial" w:hAnsi="Arial" w:cs="Arial"/>
                <w:sz w:val="20"/>
                <w:szCs w:val="20"/>
                <w:lang w:eastAsia="ja-JP"/>
              </w:rPr>
              <w:t>Credit Facility Borrowings</w:t>
            </w:r>
          </w:p>
        </w:tc>
        <w:tc>
          <w:tcPr>
            <w:tcW w:w="1689" w:type="dxa"/>
          </w:tcPr>
          <w:p w14:paraId="497690F8" w14:textId="1940A803" w:rsidR="000138B8" w:rsidRPr="009F5183" w:rsidRDefault="00144026" w:rsidP="00E23253">
            <w:pPr>
              <w:suppressAutoHyphens/>
              <w:ind w:left="180" w:right="180"/>
              <w:jc w:val="right"/>
              <w:rPr>
                <w:rFonts w:ascii="Arial" w:hAnsi="Arial" w:cs="Arial"/>
                <w:sz w:val="20"/>
                <w:szCs w:val="20"/>
                <w:u w:val="single"/>
                <w:lang w:eastAsia="ja-JP"/>
              </w:rPr>
            </w:pPr>
            <w:r>
              <w:rPr>
                <w:rFonts w:ascii="Arial" w:hAnsi="Arial" w:cs="Arial"/>
                <w:sz w:val="20"/>
                <w:szCs w:val="20"/>
                <w:u w:val="single"/>
                <w:lang w:eastAsia="ja-JP"/>
              </w:rPr>
              <w:t>2</w:t>
            </w:r>
            <w:r w:rsidR="00E23253">
              <w:rPr>
                <w:rFonts w:ascii="Arial" w:hAnsi="Arial" w:cs="Arial"/>
                <w:sz w:val="20"/>
                <w:szCs w:val="20"/>
                <w:u w:val="single"/>
                <w:lang w:eastAsia="ja-JP"/>
              </w:rPr>
              <w:t>4</w:t>
            </w:r>
            <w:r w:rsidR="000138B8" w:rsidRPr="009F5183">
              <w:rPr>
                <w:rFonts w:ascii="Arial" w:hAnsi="Arial" w:cs="Arial"/>
                <w:sz w:val="20"/>
                <w:szCs w:val="20"/>
                <w:u w:val="single"/>
                <w:lang w:eastAsia="ja-JP"/>
              </w:rPr>
              <w:t>.</w:t>
            </w:r>
            <w:r w:rsidR="00E23253">
              <w:rPr>
                <w:rFonts w:ascii="Arial" w:hAnsi="Arial" w:cs="Arial"/>
                <w:sz w:val="20"/>
                <w:szCs w:val="20"/>
                <w:u w:val="single"/>
                <w:lang w:eastAsia="ja-JP"/>
              </w:rPr>
              <w:t>8</w:t>
            </w:r>
          </w:p>
        </w:tc>
        <w:tc>
          <w:tcPr>
            <w:tcW w:w="1525" w:type="dxa"/>
          </w:tcPr>
          <w:p w14:paraId="64A455BB" w14:textId="0AFB6E31" w:rsidR="000138B8" w:rsidRPr="009F5183" w:rsidRDefault="00E23253" w:rsidP="00E23253">
            <w:pPr>
              <w:suppressAutoHyphens/>
              <w:ind w:left="180" w:right="180"/>
              <w:jc w:val="right"/>
              <w:rPr>
                <w:rFonts w:ascii="Arial" w:hAnsi="Arial" w:cs="Arial"/>
                <w:sz w:val="20"/>
                <w:szCs w:val="20"/>
                <w:u w:val="single"/>
                <w:lang w:eastAsia="ja-JP"/>
              </w:rPr>
            </w:pPr>
            <w:r>
              <w:rPr>
                <w:rFonts w:ascii="Arial" w:hAnsi="Arial" w:cs="Arial"/>
                <w:sz w:val="20"/>
                <w:szCs w:val="20"/>
                <w:u w:val="single"/>
                <w:lang w:eastAsia="ja-JP"/>
              </w:rPr>
              <w:t>1</w:t>
            </w:r>
            <w:r w:rsidR="000138B8" w:rsidRPr="009F5183">
              <w:rPr>
                <w:rFonts w:ascii="Arial" w:hAnsi="Arial" w:cs="Arial"/>
                <w:sz w:val="20"/>
                <w:szCs w:val="20"/>
                <w:u w:val="single"/>
                <w:lang w:eastAsia="ja-JP"/>
              </w:rPr>
              <w:t>.</w:t>
            </w:r>
            <w:r>
              <w:rPr>
                <w:rFonts w:ascii="Arial" w:hAnsi="Arial" w:cs="Arial"/>
                <w:sz w:val="20"/>
                <w:szCs w:val="20"/>
                <w:u w:val="single"/>
                <w:lang w:eastAsia="ja-JP"/>
              </w:rPr>
              <w:t>84</w:t>
            </w:r>
          </w:p>
        </w:tc>
      </w:tr>
      <w:tr w:rsidR="000138B8" w:rsidRPr="0023554C" w14:paraId="3C297306" w14:textId="77777777" w:rsidTr="00187473">
        <w:trPr>
          <w:trHeight w:val="240"/>
        </w:trPr>
        <w:tc>
          <w:tcPr>
            <w:tcW w:w="4421" w:type="dxa"/>
          </w:tcPr>
          <w:p w14:paraId="4DBCD3E7" w14:textId="77777777" w:rsidR="000138B8" w:rsidRPr="0023554C" w:rsidRDefault="000138B8" w:rsidP="00135094">
            <w:pPr>
              <w:suppressAutoHyphens/>
              <w:ind w:left="180" w:right="180"/>
              <w:rPr>
                <w:rFonts w:ascii="Arial" w:hAnsi="Arial" w:cs="Arial"/>
                <w:sz w:val="20"/>
                <w:szCs w:val="20"/>
                <w:lang w:eastAsia="ja-JP"/>
              </w:rPr>
            </w:pPr>
          </w:p>
        </w:tc>
        <w:tc>
          <w:tcPr>
            <w:tcW w:w="1689" w:type="dxa"/>
          </w:tcPr>
          <w:p w14:paraId="601A1C22" w14:textId="77777777" w:rsidR="000138B8" w:rsidRPr="0023554C" w:rsidRDefault="000138B8" w:rsidP="00135094">
            <w:pPr>
              <w:suppressAutoHyphens/>
              <w:ind w:left="180" w:right="180"/>
              <w:jc w:val="right"/>
              <w:rPr>
                <w:rFonts w:ascii="Arial" w:hAnsi="Arial" w:cs="Arial"/>
                <w:sz w:val="20"/>
                <w:szCs w:val="20"/>
                <w:lang w:eastAsia="ja-JP"/>
              </w:rPr>
            </w:pPr>
          </w:p>
        </w:tc>
        <w:tc>
          <w:tcPr>
            <w:tcW w:w="1525" w:type="dxa"/>
          </w:tcPr>
          <w:p w14:paraId="64B62EAC" w14:textId="77777777" w:rsidR="000138B8" w:rsidRPr="0023554C" w:rsidRDefault="000138B8" w:rsidP="00135094">
            <w:pPr>
              <w:suppressAutoHyphens/>
              <w:ind w:left="180" w:right="180"/>
              <w:jc w:val="center"/>
              <w:rPr>
                <w:rFonts w:ascii="Arial" w:hAnsi="Arial" w:cs="Arial"/>
                <w:sz w:val="20"/>
                <w:szCs w:val="20"/>
                <w:lang w:eastAsia="ja-JP"/>
              </w:rPr>
            </w:pPr>
          </w:p>
        </w:tc>
      </w:tr>
      <w:tr w:rsidR="000138B8" w:rsidRPr="0023554C" w14:paraId="065163CA" w14:textId="77777777" w:rsidTr="00187473">
        <w:trPr>
          <w:trHeight w:val="240"/>
        </w:trPr>
        <w:tc>
          <w:tcPr>
            <w:tcW w:w="4421" w:type="dxa"/>
          </w:tcPr>
          <w:p w14:paraId="1D2E6E4B" w14:textId="77777777" w:rsidR="000138B8" w:rsidRPr="0023554C" w:rsidRDefault="000138B8" w:rsidP="00135094">
            <w:pPr>
              <w:suppressAutoHyphens/>
              <w:ind w:left="180" w:right="180"/>
              <w:rPr>
                <w:rFonts w:ascii="Arial" w:hAnsi="Arial" w:cs="Arial"/>
                <w:sz w:val="20"/>
                <w:szCs w:val="20"/>
                <w:lang w:eastAsia="ja-JP"/>
              </w:rPr>
            </w:pPr>
            <w:r w:rsidRPr="0023554C">
              <w:rPr>
                <w:rFonts w:ascii="Arial" w:hAnsi="Arial" w:cs="Arial"/>
                <w:sz w:val="20"/>
                <w:szCs w:val="20"/>
                <w:lang w:eastAsia="ja-JP"/>
              </w:rPr>
              <w:t>Other Liabilities</w:t>
            </w:r>
          </w:p>
        </w:tc>
        <w:tc>
          <w:tcPr>
            <w:tcW w:w="1689" w:type="dxa"/>
          </w:tcPr>
          <w:p w14:paraId="194A072B" w14:textId="49426EE4" w:rsidR="000138B8" w:rsidRPr="0023554C" w:rsidRDefault="00187473" w:rsidP="00E23253">
            <w:pPr>
              <w:suppressAutoHyphens/>
              <w:ind w:left="180" w:right="180"/>
              <w:jc w:val="right"/>
              <w:rPr>
                <w:rFonts w:ascii="Arial" w:hAnsi="Arial" w:cs="Arial"/>
                <w:sz w:val="20"/>
                <w:szCs w:val="20"/>
                <w:u w:val="single"/>
                <w:lang w:eastAsia="ja-JP"/>
              </w:rPr>
            </w:pPr>
            <w:r>
              <w:rPr>
                <w:rFonts w:ascii="Arial" w:hAnsi="Arial" w:cs="Arial"/>
                <w:sz w:val="20"/>
                <w:szCs w:val="20"/>
                <w:u w:val="single"/>
                <w:lang w:eastAsia="ja-JP"/>
              </w:rPr>
              <w:t>1</w:t>
            </w:r>
            <w:r w:rsidR="00144026">
              <w:rPr>
                <w:rFonts w:ascii="Arial" w:hAnsi="Arial" w:cs="Arial"/>
                <w:sz w:val="20"/>
                <w:szCs w:val="20"/>
                <w:u w:val="single"/>
                <w:lang w:eastAsia="ja-JP"/>
              </w:rPr>
              <w:t>.</w:t>
            </w:r>
            <w:r w:rsidR="00E23253">
              <w:rPr>
                <w:rFonts w:ascii="Arial" w:hAnsi="Arial" w:cs="Arial"/>
                <w:sz w:val="20"/>
                <w:szCs w:val="20"/>
                <w:u w:val="single"/>
                <w:lang w:eastAsia="ja-JP"/>
              </w:rPr>
              <w:t>5</w:t>
            </w:r>
          </w:p>
        </w:tc>
        <w:tc>
          <w:tcPr>
            <w:tcW w:w="1525" w:type="dxa"/>
          </w:tcPr>
          <w:p w14:paraId="4801C0E1" w14:textId="41AC3771" w:rsidR="000138B8" w:rsidRPr="0023554C" w:rsidRDefault="000138B8" w:rsidP="00135094">
            <w:pPr>
              <w:suppressAutoHyphens/>
              <w:ind w:left="180" w:right="180"/>
              <w:jc w:val="right"/>
              <w:rPr>
                <w:rFonts w:ascii="Arial" w:hAnsi="Arial" w:cs="Arial"/>
                <w:sz w:val="20"/>
                <w:szCs w:val="20"/>
                <w:u w:val="single"/>
                <w:lang w:eastAsia="ja-JP"/>
              </w:rPr>
            </w:pPr>
            <w:r w:rsidRPr="0023554C">
              <w:rPr>
                <w:rFonts w:ascii="Arial" w:hAnsi="Arial" w:cs="Arial"/>
                <w:sz w:val="20"/>
                <w:szCs w:val="20"/>
                <w:u w:val="single"/>
                <w:lang w:eastAsia="ja-JP"/>
              </w:rPr>
              <w:t>0.</w:t>
            </w:r>
            <w:r w:rsidR="00E23253">
              <w:rPr>
                <w:rFonts w:ascii="Arial" w:hAnsi="Arial" w:cs="Arial"/>
                <w:sz w:val="20"/>
                <w:szCs w:val="20"/>
                <w:u w:val="single"/>
                <w:lang w:eastAsia="ja-JP"/>
              </w:rPr>
              <w:t>11</w:t>
            </w:r>
          </w:p>
        </w:tc>
      </w:tr>
      <w:tr w:rsidR="000138B8" w:rsidRPr="0023554C" w14:paraId="27B6E332" w14:textId="77777777" w:rsidTr="00187473">
        <w:trPr>
          <w:trHeight w:val="240"/>
        </w:trPr>
        <w:tc>
          <w:tcPr>
            <w:tcW w:w="4421" w:type="dxa"/>
          </w:tcPr>
          <w:p w14:paraId="7B6DED02" w14:textId="77777777" w:rsidR="000138B8" w:rsidRPr="0023554C" w:rsidRDefault="000138B8" w:rsidP="00135094">
            <w:pPr>
              <w:suppressAutoHyphens/>
              <w:ind w:left="720" w:right="180"/>
              <w:rPr>
                <w:rFonts w:ascii="Arial" w:hAnsi="Arial" w:cs="Arial"/>
                <w:sz w:val="20"/>
                <w:szCs w:val="20"/>
                <w:lang w:eastAsia="ja-JP"/>
              </w:rPr>
            </w:pPr>
            <w:r w:rsidRPr="0023554C">
              <w:rPr>
                <w:rFonts w:ascii="Arial" w:hAnsi="Arial" w:cs="Arial"/>
                <w:sz w:val="20"/>
                <w:szCs w:val="20"/>
                <w:lang w:eastAsia="ja-JP"/>
              </w:rPr>
              <w:t>Net Assets</w:t>
            </w:r>
          </w:p>
        </w:tc>
        <w:tc>
          <w:tcPr>
            <w:tcW w:w="1689" w:type="dxa"/>
          </w:tcPr>
          <w:p w14:paraId="432A6182" w14:textId="780F956C" w:rsidR="000138B8" w:rsidRPr="0023554C" w:rsidRDefault="000138B8" w:rsidP="00E23253">
            <w:pPr>
              <w:suppressAutoHyphens/>
              <w:ind w:left="180" w:right="180"/>
              <w:jc w:val="right"/>
              <w:rPr>
                <w:rFonts w:ascii="Arial" w:hAnsi="Arial" w:cs="Arial"/>
                <w:sz w:val="20"/>
                <w:szCs w:val="20"/>
                <w:u w:val="single"/>
                <w:lang w:eastAsia="ja-JP"/>
              </w:rPr>
            </w:pPr>
            <w:r w:rsidRPr="0023554C">
              <w:rPr>
                <w:rFonts w:ascii="Arial" w:hAnsi="Arial" w:cs="Arial"/>
                <w:sz w:val="20"/>
                <w:szCs w:val="20"/>
                <w:u w:val="double"/>
                <w:lang w:eastAsia="ja-JP"/>
              </w:rPr>
              <w:t>$</w:t>
            </w:r>
            <w:r w:rsidR="000F071E">
              <w:rPr>
                <w:rFonts w:ascii="Arial" w:hAnsi="Arial" w:cs="Arial"/>
                <w:sz w:val="20"/>
                <w:szCs w:val="20"/>
                <w:u w:val="double"/>
                <w:lang w:eastAsia="ja-JP"/>
              </w:rPr>
              <w:t>2</w:t>
            </w:r>
            <w:r w:rsidR="00187473">
              <w:rPr>
                <w:rFonts w:ascii="Arial" w:hAnsi="Arial" w:cs="Arial"/>
                <w:sz w:val="20"/>
                <w:szCs w:val="20"/>
                <w:u w:val="double"/>
                <w:lang w:eastAsia="ja-JP"/>
              </w:rPr>
              <w:t>3</w:t>
            </w:r>
            <w:r w:rsidR="00E23253">
              <w:rPr>
                <w:rFonts w:ascii="Arial" w:hAnsi="Arial" w:cs="Arial"/>
                <w:sz w:val="20"/>
                <w:szCs w:val="20"/>
                <w:u w:val="double"/>
                <w:lang w:eastAsia="ja-JP"/>
              </w:rPr>
              <w:t>6</w:t>
            </w:r>
            <w:r w:rsidR="000F071E">
              <w:rPr>
                <w:rFonts w:ascii="Arial" w:hAnsi="Arial" w:cs="Arial"/>
                <w:sz w:val="20"/>
                <w:szCs w:val="20"/>
                <w:u w:val="double"/>
                <w:lang w:eastAsia="ja-JP"/>
              </w:rPr>
              <w:t>.</w:t>
            </w:r>
            <w:r w:rsidR="00E23253">
              <w:rPr>
                <w:rFonts w:ascii="Arial" w:hAnsi="Arial" w:cs="Arial"/>
                <w:sz w:val="20"/>
                <w:szCs w:val="20"/>
                <w:u w:val="double"/>
                <w:lang w:eastAsia="ja-JP"/>
              </w:rPr>
              <w:t>8</w:t>
            </w:r>
          </w:p>
        </w:tc>
        <w:tc>
          <w:tcPr>
            <w:tcW w:w="1525" w:type="dxa"/>
          </w:tcPr>
          <w:p w14:paraId="4BEB94C3" w14:textId="43DB0C86" w:rsidR="000138B8" w:rsidRPr="0023554C" w:rsidRDefault="000138B8" w:rsidP="00187473">
            <w:pPr>
              <w:suppressAutoHyphens/>
              <w:ind w:left="180" w:right="180"/>
              <w:jc w:val="right"/>
              <w:rPr>
                <w:rFonts w:ascii="Arial" w:hAnsi="Arial" w:cs="Arial"/>
                <w:sz w:val="20"/>
                <w:szCs w:val="20"/>
                <w:u w:val="double"/>
                <w:lang w:eastAsia="ja-JP"/>
              </w:rPr>
            </w:pPr>
            <w:r w:rsidRPr="0023554C">
              <w:rPr>
                <w:rFonts w:ascii="Arial" w:hAnsi="Arial" w:cs="Arial"/>
                <w:sz w:val="20"/>
                <w:szCs w:val="20"/>
                <w:u w:val="double"/>
                <w:lang w:eastAsia="ja-JP"/>
              </w:rPr>
              <w:t>$1</w:t>
            </w:r>
            <w:r w:rsidR="00187473">
              <w:rPr>
                <w:rFonts w:ascii="Arial" w:hAnsi="Arial" w:cs="Arial"/>
                <w:sz w:val="20"/>
                <w:szCs w:val="20"/>
                <w:u w:val="double"/>
                <w:lang w:eastAsia="ja-JP"/>
              </w:rPr>
              <w:t>7</w:t>
            </w:r>
            <w:r w:rsidRPr="0023554C">
              <w:rPr>
                <w:rFonts w:ascii="Arial" w:hAnsi="Arial" w:cs="Arial"/>
                <w:sz w:val="20"/>
                <w:szCs w:val="20"/>
                <w:u w:val="double"/>
                <w:lang w:eastAsia="ja-JP"/>
              </w:rPr>
              <w:t>.</w:t>
            </w:r>
            <w:r w:rsidR="00E23253">
              <w:rPr>
                <w:rFonts w:ascii="Arial" w:hAnsi="Arial" w:cs="Arial"/>
                <w:sz w:val="20"/>
                <w:szCs w:val="20"/>
                <w:u w:val="double"/>
                <w:lang w:eastAsia="ja-JP"/>
              </w:rPr>
              <w:t>55</w:t>
            </w:r>
          </w:p>
        </w:tc>
      </w:tr>
    </w:tbl>
    <w:p w14:paraId="2E36AD49" w14:textId="77777777" w:rsidR="000138B8" w:rsidRPr="0023554C" w:rsidRDefault="000138B8" w:rsidP="000138B8">
      <w:pPr>
        <w:ind w:right="180"/>
        <w:rPr>
          <w:rFonts w:ascii="Arial" w:hAnsi="Arial" w:cs="Arial"/>
          <w:sz w:val="20"/>
          <w:szCs w:val="20"/>
        </w:rPr>
      </w:pPr>
    </w:p>
    <w:p w14:paraId="02A2A53C" w14:textId="77777777" w:rsidR="000138B8" w:rsidRPr="0023554C" w:rsidRDefault="000138B8" w:rsidP="000138B8">
      <w:pPr>
        <w:ind w:right="180" w:firstLine="720"/>
        <w:rPr>
          <w:rFonts w:ascii="Arial" w:hAnsi="Arial" w:cs="Arial"/>
          <w:sz w:val="20"/>
          <w:szCs w:val="20"/>
        </w:rPr>
      </w:pPr>
      <w:r w:rsidRPr="0023554C">
        <w:rPr>
          <w:rFonts w:ascii="Arial" w:hAnsi="Arial" w:cs="Arial"/>
          <w:sz w:val="20"/>
          <w:szCs w:val="20"/>
        </w:rPr>
        <w:t xml:space="preserve">13.49 million common shares outstanding. </w:t>
      </w:r>
    </w:p>
    <w:p w14:paraId="34A9AEDD" w14:textId="77777777" w:rsidR="000138B8" w:rsidRPr="0023554C" w:rsidRDefault="000138B8" w:rsidP="000138B8">
      <w:pPr>
        <w:rPr>
          <w:rFonts w:ascii="Arial" w:hAnsi="Arial" w:cs="Arial"/>
          <w:b/>
          <w:bCs/>
          <w:sz w:val="20"/>
          <w:szCs w:val="20"/>
        </w:rPr>
      </w:pPr>
    </w:p>
    <w:p w14:paraId="6CA61360" w14:textId="22013F7C" w:rsidR="000138B8" w:rsidRPr="0023554C" w:rsidRDefault="000138B8" w:rsidP="000138B8">
      <w:pPr>
        <w:rPr>
          <w:rFonts w:ascii="Arial" w:hAnsi="Arial" w:cs="Arial"/>
          <w:sz w:val="20"/>
          <w:szCs w:val="20"/>
          <w:lang w:val="en"/>
        </w:rPr>
      </w:pPr>
      <w:r w:rsidRPr="0023554C">
        <w:rPr>
          <w:rFonts w:ascii="Arial" w:hAnsi="Arial" w:cs="Arial"/>
          <w:sz w:val="20"/>
          <w:szCs w:val="20"/>
          <w:lang w:val="en"/>
        </w:rPr>
        <w:t xml:space="preserve">The top 10 holdings for TEAF as of the most recent month-end can be found on </w:t>
      </w:r>
      <w:r>
        <w:rPr>
          <w:rFonts w:ascii="Arial" w:hAnsi="Arial" w:cs="Arial"/>
          <w:sz w:val="20"/>
          <w:szCs w:val="20"/>
          <w:lang w:val="en"/>
        </w:rPr>
        <w:t>the</w:t>
      </w:r>
      <w:r w:rsidRPr="0023554C">
        <w:rPr>
          <w:rFonts w:ascii="Arial" w:hAnsi="Arial" w:cs="Arial"/>
          <w:sz w:val="20"/>
          <w:szCs w:val="20"/>
          <w:lang w:val="en"/>
        </w:rPr>
        <w:t xml:space="preserve"> fund’s portfolio web page at </w:t>
      </w:r>
      <w:hyperlink r:id="rId9" w:history="1">
        <w:r>
          <w:rPr>
            <w:rStyle w:val="Hyperlink"/>
            <w:rFonts w:ascii="Arial" w:hAnsi="Arial" w:cs="Arial"/>
            <w:color w:val="auto"/>
            <w:sz w:val="20"/>
            <w:szCs w:val="20"/>
            <w:lang w:val="en"/>
          </w:rPr>
          <w:t>cef.ecofininvest.com/funds/</w:t>
        </w:r>
        <w:proofErr w:type="spellStart"/>
        <w:r>
          <w:rPr>
            <w:rStyle w:val="Hyperlink"/>
            <w:rFonts w:ascii="Arial" w:hAnsi="Arial" w:cs="Arial"/>
            <w:color w:val="auto"/>
            <w:sz w:val="20"/>
            <w:szCs w:val="20"/>
            <w:lang w:val="en"/>
          </w:rPr>
          <w:t>teaf</w:t>
        </w:r>
        <w:proofErr w:type="spellEnd"/>
      </w:hyperlink>
      <w:r w:rsidRPr="0023554C">
        <w:rPr>
          <w:rFonts w:ascii="Arial" w:hAnsi="Arial" w:cs="Arial"/>
          <w:sz w:val="20"/>
          <w:szCs w:val="20"/>
          <w:lang w:val="en"/>
        </w:rPr>
        <w:t xml:space="preserve">. </w:t>
      </w:r>
    </w:p>
    <w:p w14:paraId="573CC0DE" w14:textId="77777777" w:rsidR="000138B8" w:rsidRDefault="000138B8" w:rsidP="006965E9">
      <w:pPr>
        <w:rPr>
          <w:rFonts w:ascii="Arial" w:hAnsi="Arial" w:cs="Arial"/>
          <w:sz w:val="20"/>
          <w:szCs w:val="20"/>
        </w:rPr>
      </w:pPr>
    </w:p>
    <w:p w14:paraId="7BCEB0BF" w14:textId="054A6EBA" w:rsidR="006F3919" w:rsidRPr="00B817A6" w:rsidRDefault="006F3919" w:rsidP="006F3919">
      <w:pPr>
        <w:rPr>
          <w:rStyle w:val="Hyperlink"/>
          <w:rFonts w:ascii="Arial" w:hAnsi="Arial" w:cs="Arial"/>
          <w:bCs/>
          <w:iCs/>
          <w:color w:val="auto"/>
          <w:u w:val="none"/>
        </w:rPr>
      </w:pPr>
      <w:r w:rsidRPr="00B817A6">
        <w:rPr>
          <w:rFonts w:ascii="Arial" w:hAnsi="Arial" w:cs="Arial"/>
          <w:sz w:val="18"/>
          <w:szCs w:val="18"/>
        </w:rPr>
        <w:t xml:space="preserve">For additional information on this fund, please visit </w:t>
      </w:r>
      <w:hyperlink r:id="rId10" w:history="1">
        <w:r w:rsidR="000138B8">
          <w:rPr>
            <w:rStyle w:val="Hyperlink"/>
            <w:rFonts w:ascii="Arial" w:hAnsi="Arial" w:cs="Arial"/>
            <w:bCs/>
            <w:iCs/>
            <w:color w:val="auto"/>
            <w:sz w:val="18"/>
            <w:szCs w:val="18"/>
          </w:rPr>
          <w:t>cef.ecofininvest.com</w:t>
        </w:r>
      </w:hyperlink>
      <w:r w:rsidRPr="00B817A6">
        <w:rPr>
          <w:rStyle w:val="Hyperlink"/>
          <w:rFonts w:ascii="Arial" w:hAnsi="Arial" w:cs="Arial"/>
          <w:bCs/>
          <w:iCs/>
          <w:color w:val="auto"/>
          <w:sz w:val="18"/>
          <w:szCs w:val="18"/>
          <w:u w:val="none"/>
        </w:rPr>
        <w:t>.</w:t>
      </w:r>
    </w:p>
    <w:p w14:paraId="449426AA" w14:textId="029C3336" w:rsidR="00E44445" w:rsidRDefault="00E44445" w:rsidP="00FE27DC">
      <w:pPr>
        <w:rPr>
          <w:rStyle w:val="Hyperlink"/>
          <w:rFonts w:ascii="Arial" w:hAnsi="Arial" w:cs="Arial"/>
          <w:color w:val="auto"/>
          <w:sz w:val="18"/>
          <w:szCs w:val="18"/>
        </w:rPr>
      </w:pPr>
    </w:p>
    <w:p w14:paraId="6D7BC992" w14:textId="75EB999F" w:rsidR="00E44445" w:rsidRPr="00E44445" w:rsidRDefault="0065548B" w:rsidP="00E44445">
      <w:pPr>
        <w:rPr>
          <w:rFonts w:ascii="Arial" w:hAnsi="Arial" w:cs="Arial"/>
          <w:sz w:val="18"/>
          <w:szCs w:val="18"/>
        </w:rPr>
      </w:pPr>
      <w:bookmarkStart w:id="2" w:name="_Hlk77679441"/>
      <w:r>
        <w:rPr>
          <w:rFonts w:ascii="Arial" w:hAnsi="Arial" w:cs="Arial"/>
          <w:sz w:val="18"/>
          <w:szCs w:val="18"/>
        </w:rPr>
        <w:t>TCA Advisors</w:t>
      </w:r>
      <w:r w:rsidR="00C64D22">
        <w:rPr>
          <w:rFonts w:ascii="Arial" w:hAnsi="Arial" w:cs="Arial"/>
          <w:sz w:val="18"/>
          <w:szCs w:val="18"/>
        </w:rPr>
        <w:t xml:space="preserve"> </w:t>
      </w:r>
      <w:bookmarkEnd w:id="2"/>
      <w:r w:rsidR="00E44445" w:rsidRPr="00E44445">
        <w:rPr>
          <w:rFonts w:ascii="Arial" w:hAnsi="Arial" w:cs="Arial"/>
          <w:sz w:val="18"/>
          <w:szCs w:val="18"/>
        </w:rPr>
        <w:t xml:space="preserve">is the </w:t>
      </w:r>
      <w:r w:rsidR="006164C3">
        <w:rPr>
          <w:rFonts w:ascii="Arial" w:hAnsi="Arial" w:cs="Arial"/>
          <w:sz w:val="18"/>
          <w:szCs w:val="18"/>
        </w:rPr>
        <w:t>a</w:t>
      </w:r>
      <w:r w:rsidR="00E44445" w:rsidRPr="00E44445">
        <w:rPr>
          <w:rFonts w:ascii="Arial" w:hAnsi="Arial" w:cs="Arial"/>
          <w:sz w:val="18"/>
          <w:szCs w:val="18"/>
        </w:rPr>
        <w:t xml:space="preserve">dviser to </w:t>
      </w:r>
      <w:r w:rsidR="005D426D">
        <w:rPr>
          <w:rFonts w:ascii="Arial" w:hAnsi="Arial" w:cs="Arial"/>
          <w:sz w:val="18"/>
          <w:szCs w:val="18"/>
        </w:rPr>
        <w:t>Ecofin Sustainable and Social Impact</w:t>
      </w:r>
      <w:r w:rsidR="00E44445" w:rsidRPr="00E44445">
        <w:rPr>
          <w:rFonts w:ascii="Arial" w:hAnsi="Arial" w:cs="Arial"/>
          <w:sz w:val="18"/>
          <w:szCs w:val="18"/>
        </w:rPr>
        <w:t xml:space="preserve"> Term Fund</w:t>
      </w:r>
      <w:r w:rsidR="005D426D">
        <w:rPr>
          <w:rFonts w:ascii="Arial" w:hAnsi="Arial" w:cs="Arial"/>
          <w:sz w:val="18"/>
          <w:szCs w:val="18"/>
        </w:rPr>
        <w:t xml:space="preserve"> and </w:t>
      </w:r>
      <w:r w:rsidR="00EB3F6A">
        <w:rPr>
          <w:rFonts w:ascii="Arial" w:hAnsi="Arial" w:cs="Arial"/>
          <w:sz w:val="18"/>
          <w:szCs w:val="18"/>
        </w:rPr>
        <w:t>Ecofin</w:t>
      </w:r>
      <w:r w:rsidR="00E44445" w:rsidRPr="00E44445">
        <w:rPr>
          <w:rFonts w:ascii="Arial" w:hAnsi="Arial" w:cs="Arial"/>
          <w:sz w:val="18"/>
          <w:szCs w:val="18"/>
        </w:rPr>
        <w:t xml:space="preserve"> Advisors Limited </w:t>
      </w:r>
      <w:r w:rsidR="005D426D">
        <w:rPr>
          <w:rFonts w:ascii="Arial" w:hAnsi="Arial" w:cs="Arial"/>
          <w:sz w:val="18"/>
          <w:szCs w:val="18"/>
        </w:rPr>
        <w:t>is the fund’s sub-adviser.</w:t>
      </w:r>
    </w:p>
    <w:p w14:paraId="3D653DDD" w14:textId="77777777" w:rsidR="00E44445" w:rsidRPr="006631FE" w:rsidRDefault="00E44445" w:rsidP="00FE27DC">
      <w:pPr>
        <w:rPr>
          <w:rFonts w:ascii="Arial" w:hAnsi="Arial" w:cs="Arial"/>
          <w:sz w:val="18"/>
          <w:szCs w:val="18"/>
        </w:rPr>
      </w:pPr>
    </w:p>
    <w:p w14:paraId="0DB9B972" w14:textId="77777777" w:rsidR="00FE27DC" w:rsidRPr="006631FE" w:rsidRDefault="00FE27DC" w:rsidP="00FE27DC">
      <w:pPr>
        <w:pStyle w:val="Default"/>
        <w:rPr>
          <w:color w:val="auto"/>
          <w:sz w:val="18"/>
          <w:szCs w:val="18"/>
        </w:rPr>
      </w:pPr>
      <w:r w:rsidRPr="006631FE">
        <w:rPr>
          <w:b/>
          <w:bCs/>
          <w:color w:val="auto"/>
          <w:sz w:val="18"/>
          <w:szCs w:val="18"/>
        </w:rPr>
        <w:t xml:space="preserve">Safe harbor statement </w:t>
      </w:r>
    </w:p>
    <w:p w14:paraId="290BFD84" w14:textId="77777777" w:rsidR="00FE27DC" w:rsidRPr="006631FE" w:rsidRDefault="00FE27DC" w:rsidP="00FE27DC">
      <w:pPr>
        <w:ind w:right="180"/>
        <w:rPr>
          <w:rFonts w:ascii="Arial" w:hAnsi="Arial" w:cs="Arial"/>
          <w:sz w:val="18"/>
          <w:szCs w:val="18"/>
        </w:rPr>
      </w:pPr>
      <w:r w:rsidRPr="006631FE">
        <w:rPr>
          <w:rFonts w:ascii="Arial" w:hAnsi="Arial" w:cs="Arial"/>
          <w:sz w:val="18"/>
          <w:szCs w:val="18"/>
        </w:rPr>
        <w:t>This press release shall not constitute an offer to sell or a solicitation to buy, nor shall there be any sale of these securities in any state or jurisdiction in which such offer or solicitation or sale would be unlawful prior to registration or qualification under the laws of such state or jurisdiction.</w:t>
      </w:r>
    </w:p>
    <w:p w14:paraId="4C098625" w14:textId="77777777" w:rsidR="00FE27DC" w:rsidRPr="006631FE" w:rsidRDefault="00FE27DC" w:rsidP="00FE27DC">
      <w:pPr>
        <w:ind w:right="180"/>
        <w:rPr>
          <w:rFonts w:ascii="Arial" w:hAnsi="Arial" w:cs="Arial"/>
          <w:b/>
          <w:sz w:val="18"/>
          <w:szCs w:val="18"/>
        </w:rPr>
      </w:pPr>
    </w:p>
    <w:p w14:paraId="246C2770" w14:textId="77777777" w:rsidR="00FE27DC" w:rsidRPr="006631FE" w:rsidRDefault="00FE27DC" w:rsidP="00FE27DC">
      <w:pPr>
        <w:ind w:right="180"/>
        <w:rPr>
          <w:rFonts w:ascii="Arial" w:hAnsi="Arial" w:cs="Arial"/>
          <w:b/>
          <w:sz w:val="18"/>
          <w:szCs w:val="18"/>
        </w:rPr>
      </w:pPr>
      <w:r w:rsidRPr="006631FE">
        <w:rPr>
          <w:rFonts w:ascii="Arial" w:hAnsi="Arial" w:cs="Arial"/>
          <w:b/>
          <w:sz w:val="18"/>
          <w:szCs w:val="18"/>
        </w:rPr>
        <w:t>Cautionary Statement Regarding Forward-Looking Statements</w:t>
      </w:r>
    </w:p>
    <w:p w14:paraId="6431C00A" w14:textId="13DF0BE8" w:rsidR="00FE27DC" w:rsidRPr="006631FE" w:rsidRDefault="00FE27DC" w:rsidP="00FE27DC">
      <w:pPr>
        <w:ind w:right="180"/>
        <w:rPr>
          <w:rFonts w:ascii="Arial" w:hAnsi="Arial" w:cs="Arial"/>
          <w:sz w:val="18"/>
          <w:szCs w:val="18"/>
        </w:rPr>
      </w:pPr>
      <w:r w:rsidRPr="006631FE">
        <w:rPr>
          <w:rFonts w:ascii="Arial" w:hAnsi="Arial" w:cs="Arial"/>
          <w:sz w:val="18"/>
          <w:szCs w:val="18"/>
        </w:rPr>
        <w:t xml:space="preserve">This press release contains certain statements that may include “forward-looking statements” within the meaning of Section 27A of the Securities Act of 1933, as amended, and Section 21E of the Securities Exchange Act of 1934, as amended. All statements, other than statements of historical fact, included herein are "forward-looking statements." Although the fund and </w:t>
      </w:r>
      <w:r w:rsidR="005D426D">
        <w:rPr>
          <w:rFonts w:ascii="Arial" w:hAnsi="Arial" w:cs="Arial"/>
          <w:sz w:val="18"/>
          <w:szCs w:val="18"/>
        </w:rPr>
        <w:t>TCA</w:t>
      </w:r>
      <w:r w:rsidRPr="006631FE">
        <w:rPr>
          <w:rFonts w:ascii="Arial" w:hAnsi="Arial" w:cs="Arial"/>
          <w:sz w:val="18"/>
          <w:szCs w:val="18"/>
        </w:rPr>
        <w:t xml:space="preserve"> believe that the expectations reflected in these forward-looking statements are reasonable, they do involve assumptions, risks and uncertainties, and these expectations may prove to be incorrect. Actual results could differ materially from those anticipated in these forward-looking statements as a result of a variety of factors, including those discussed in the fund’s reports that are filed with the Securities and Exchange Commission. You should not place undue reliance on these forward-looking statements, which speak only as of the date of this press release.  Other than as required by law, the fund and </w:t>
      </w:r>
      <w:r w:rsidR="005D426D">
        <w:rPr>
          <w:rFonts w:ascii="Arial" w:hAnsi="Arial" w:cs="Arial"/>
          <w:sz w:val="18"/>
          <w:szCs w:val="18"/>
        </w:rPr>
        <w:t>TCA</w:t>
      </w:r>
      <w:r w:rsidRPr="006631FE">
        <w:rPr>
          <w:rFonts w:ascii="Arial" w:hAnsi="Arial" w:cs="Arial"/>
          <w:sz w:val="18"/>
          <w:szCs w:val="18"/>
        </w:rPr>
        <w:t xml:space="preserve"> do not assume a duty to update this forward-looking statement. </w:t>
      </w:r>
    </w:p>
    <w:p w14:paraId="63A11CFE" w14:textId="77777777" w:rsidR="00FE27DC" w:rsidRPr="006631FE" w:rsidRDefault="00FE27DC" w:rsidP="00FE27DC">
      <w:pPr>
        <w:pStyle w:val="NormalWeb"/>
        <w:spacing w:before="0" w:beforeAutospacing="0" w:after="0" w:afterAutospacing="0"/>
        <w:rPr>
          <w:rFonts w:ascii="Arial" w:hAnsi="Arial" w:cs="Arial"/>
          <w:b/>
          <w:bCs/>
          <w:sz w:val="18"/>
          <w:szCs w:val="18"/>
        </w:rPr>
      </w:pPr>
    </w:p>
    <w:p w14:paraId="36E2228D" w14:textId="77777777" w:rsidR="00A92B52" w:rsidRPr="00A92B52" w:rsidRDefault="00A92B52" w:rsidP="00A92B52">
      <w:pPr>
        <w:pStyle w:val="Default"/>
        <w:ind w:right="1044"/>
        <w:rPr>
          <w:color w:val="auto"/>
          <w:sz w:val="18"/>
          <w:szCs w:val="18"/>
        </w:rPr>
      </w:pPr>
      <w:r w:rsidRPr="00A92B52">
        <w:rPr>
          <w:b/>
          <w:bCs/>
          <w:color w:val="auto"/>
          <w:sz w:val="18"/>
          <w:szCs w:val="18"/>
        </w:rPr>
        <w:t>Contact Information</w:t>
      </w:r>
    </w:p>
    <w:p w14:paraId="2C9FB112" w14:textId="28A9A8FE" w:rsidR="0025694D" w:rsidRPr="004F5313" w:rsidRDefault="00A92B52" w:rsidP="00777B8F">
      <w:pPr>
        <w:rPr>
          <w:rFonts w:ascii="Arial" w:hAnsi="Arial" w:cs="Arial"/>
        </w:rPr>
      </w:pPr>
      <w:r w:rsidRPr="00A92B52">
        <w:rPr>
          <w:rFonts w:ascii="Arial" w:hAnsi="Arial" w:cs="Arial"/>
          <w:bCs/>
          <w:iCs/>
          <w:sz w:val="18"/>
          <w:szCs w:val="18"/>
        </w:rPr>
        <w:t xml:space="preserve">For more information contact </w:t>
      </w:r>
      <w:r w:rsidR="00485F8A" w:rsidRPr="00485F8A">
        <w:rPr>
          <w:rFonts w:ascii="Arial" w:hAnsi="Arial" w:cs="Arial"/>
          <w:bCs/>
          <w:iCs/>
          <w:sz w:val="18"/>
          <w:szCs w:val="18"/>
        </w:rPr>
        <w:t xml:space="preserve">Jen Ashlock </w:t>
      </w:r>
      <w:r w:rsidRPr="00A92B52">
        <w:rPr>
          <w:rFonts w:ascii="Arial" w:hAnsi="Arial" w:cs="Arial"/>
          <w:bCs/>
          <w:iCs/>
          <w:sz w:val="18"/>
          <w:szCs w:val="18"/>
        </w:rPr>
        <w:t>at (913) 981-1</w:t>
      </w:r>
      <w:r w:rsidRPr="00B817A6">
        <w:rPr>
          <w:rFonts w:ascii="Arial" w:hAnsi="Arial" w:cs="Arial"/>
          <w:bCs/>
          <w:iCs/>
          <w:sz w:val="18"/>
          <w:szCs w:val="18"/>
        </w:rPr>
        <w:t xml:space="preserve">020 or </w:t>
      </w:r>
      <w:hyperlink r:id="rId11" w:history="1">
        <w:r w:rsidR="006F3919" w:rsidRPr="00B817A6">
          <w:rPr>
            <w:rStyle w:val="Hyperlink"/>
            <w:rFonts w:ascii="Arial" w:hAnsi="Arial" w:cs="Arial"/>
            <w:bCs/>
            <w:iCs/>
            <w:color w:val="auto"/>
            <w:sz w:val="18"/>
            <w:szCs w:val="18"/>
          </w:rPr>
          <w:t>info@tortoiseecofin.com</w:t>
        </w:r>
      </w:hyperlink>
      <w:r w:rsidR="0025694D" w:rsidRPr="00B817A6">
        <w:rPr>
          <w:rFonts w:ascii="Arial" w:hAnsi="Arial" w:cs="Arial"/>
        </w:rPr>
        <w:t>.</w:t>
      </w:r>
    </w:p>
    <w:sectPr w:rsidR="0025694D" w:rsidRPr="004F5313" w:rsidSect="00C43E30">
      <w:footerReference w:type="default" r:id="rId12"/>
      <w:headerReference w:type="first" r:id="rId13"/>
      <w:footerReference w:type="first" r:id="rId14"/>
      <w:pgSz w:w="12240" w:h="15840"/>
      <w:pgMar w:top="1872" w:right="720" w:bottom="1008" w:left="720" w:header="720" w:footer="1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12168" w14:textId="77777777" w:rsidR="00B237E5" w:rsidRDefault="00B237E5" w:rsidP="00D1421C">
      <w:r>
        <w:separator/>
      </w:r>
    </w:p>
  </w:endnote>
  <w:endnote w:type="continuationSeparator" w:id="0">
    <w:p w14:paraId="14A5D803" w14:textId="77777777" w:rsidR="00B237E5" w:rsidRDefault="00B237E5" w:rsidP="00D1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LT Std 45 Light">
    <w:altName w:val="Univers LT Std 45 Light"/>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7011A" w14:textId="3F004B64" w:rsidR="00FB3419" w:rsidRPr="00542CE9" w:rsidRDefault="00FB3419" w:rsidP="00FB3419">
    <w:pPr>
      <w:pStyle w:val="Footer"/>
      <w:tabs>
        <w:tab w:val="clear" w:pos="4320"/>
        <w:tab w:val="clear" w:pos="8640"/>
        <w:tab w:val="right" w:pos="10620"/>
      </w:tabs>
      <w:ind w:right="504"/>
      <w:rPr>
        <w:rFonts w:ascii="Arial" w:hAnsi="Arial" w:cs="Arial"/>
        <w:b/>
        <w:color w:val="002060"/>
        <w:sz w:val="16"/>
        <w:szCs w:val="16"/>
      </w:rPr>
    </w:pPr>
    <w:r w:rsidRPr="00980C6C">
      <w:rPr>
        <w:rFonts w:ascii="Arial" w:hAnsi="Arial" w:cs="Arial"/>
        <w:b/>
        <w:noProof/>
        <w:color w:val="7F7F7F" w:themeColor="text1" w:themeTint="80"/>
        <w:sz w:val="16"/>
        <w:szCs w:val="16"/>
        <w:lang w:eastAsia="en-US"/>
      </w:rPr>
      <mc:AlternateContent>
        <mc:Choice Requires="wps">
          <w:drawing>
            <wp:anchor distT="0" distB="0" distL="114300" distR="114300" simplePos="0" relativeHeight="251663360" behindDoc="0" locked="0" layoutInCell="1" allowOverlap="1" wp14:anchorId="3E306B68" wp14:editId="62954B52">
              <wp:simplePos x="0" y="0"/>
              <wp:positionH relativeFrom="column">
                <wp:posOffset>5080</wp:posOffset>
              </wp:positionH>
              <wp:positionV relativeFrom="paragraph">
                <wp:posOffset>-117475</wp:posOffset>
              </wp:positionV>
              <wp:extent cx="6764655"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6764655" cy="0"/>
                      </a:xfrm>
                      <a:prstGeom prst="line">
                        <a:avLst/>
                      </a:prstGeom>
                      <a:ln>
                        <a:solidFill>
                          <a:srgbClr val="C4C6C6"/>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9ABFF3"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9.25pt" to="5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" strokecolor="#c4c6c6"/>
          </w:pict>
        </mc:Fallback>
      </mc:AlternateContent>
    </w:r>
    <w:r w:rsidR="002A79D2">
      <w:rPr>
        <w:rFonts w:ascii="Arial" w:hAnsi="Arial" w:cs="Arial"/>
        <w:b/>
        <w:noProof/>
        <w:color w:val="7F7F7F" w:themeColor="text1" w:themeTint="80"/>
        <w:sz w:val="16"/>
        <w:szCs w:val="16"/>
        <w:lang w:eastAsia="en-US"/>
      </w:rPr>
      <w:t xml:space="preserve">6363 College </w:t>
    </w:r>
    <w:proofErr w:type="gramStart"/>
    <w:r w:rsidR="002A79D2">
      <w:rPr>
        <w:rFonts w:ascii="Arial" w:hAnsi="Arial" w:cs="Arial"/>
        <w:b/>
        <w:noProof/>
        <w:color w:val="7F7F7F" w:themeColor="text1" w:themeTint="80"/>
        <w:sz w:val="16"/>
        <w:szCs w:val="16"/>
        <w:lang w:eastAsia="en-US"/>
      </w:rPr>
      <w:t xml:space="preserve">Boulevard  </w:t>
    </w:r>
    <w:r w:rsidR="002A79D2" w:rsidRPr="00980C6C">
      <w:rPr>
        <w:rFonts w:ascii="Arial" w:hAnsi="Arial" w:cs="Arial"/>
        <w:b/>
        <w:color w:val="7F7F7F" w:themeColor="text1" w:themeTint="80"/>
        <w:sz w:val="16"/>
        <w:szCs w:val="16"/>
      </w:rPr>
      <w:t>|</w:t>
    </w:r>
    <w:proofErr w:type="gramEnd"/>
    <w:r w:rsidR="002A79D2" w:rsidRPr="00980C6C">
      <w:rPr>
        <w:rFonts w:ascii="Arial" w:hAnsi="Arial" w:cs="Arial"/>
        <w:b/>
        <w:color w:val="7F7F7F" w:themeColor="text1" w:themeTint="80"/>
        <w:sz w:val="16"/>
        <w:szCs w:val="16"/>
      </w:rPr>
      <w:t xml:space="preserve">  </w:t>
    </w:r>
    <w:r w:rsidR="002A79D2">
      <w:rPr>
        <w:rFonts w:ascii="Arial" w:hAnsi="Arial" w:cs="Arial"/>
        <w:b/>
        <w:color w:val="7F7F7F" w:themeColor="text1" w:themeTint="80"/>
        <w:sz w:val="16"/>
        <w:szCs w:val="16"/>
      </w:rPr>
      <w:t xml:space="preserve">Suite 100A  </w:t>
    </w:r>
    <w:r w:rsidR="002A79D2">
      <w:rPr>
        <w:rFonts w:ascii="Arial" w:hAnsi="Arial" w:cs="Arial"/>
        <w:b/>
        <w:noProof/>
        <w:color w:val="7F7F7F" w:themeColor="text1" w:themeTint="80"/>
        <w:sz w:val="16"/>
        <w:szCs w:val="16"/>
        <w:lang w:eastAsia="en-US"/>
      </w:rPr>
      <w:t xml:space="preserve">  </w:t>
    </w:r>
    <w:r w:rsidR="002A79D2" w:rsidRPr="00980C6C">
      <w:rPr>
        <w:rFonts w:ascii="Arial" w:hAnsi="Arial" w:cs="Arial"/>
        <w:b/>
        <w:color w:val="7F7F7F" w:themeColor="text1" w:themeTint="80"/>
        <w:sz w:val="16"/>
        <w:szCs w:val="16"/>
      </w:rPr>
      <w:t xml:space="preserve">|  </w:t>
    </w:r>
    <w:r w:rsidR="002A79D2">
      <w:rPr>
        <w:rFonts w:ascii="Arial" w:hAnsi="Arial" w:cs="Arial"/>
        <w:b/>
        <w:color w:val="7F7F7F" w:themeColor="text1" w:themeTint="80"/>
        <w:sz w:val="16"/>
        <w:szCs w:val="16"/>
      </w:rPr>
      <w:t xml:space="preserve"> Overland Park,  KS</w:t>
    </w:r>
    <w:r w:rsidR="002A79D2" w:rsidRPr="00980C6C">
      <w:rPr>
        <w:rFonts w:ascii="Arial" w:hAnsi="Arial" w:cs="Arial"/>
        <w:b/>
        <w:color w:val="7F7F7F" w:themeColor="text1" w:themeTint="80"/>
        <w:sz w:val="16"/>
        <w:szCs w:val="16"/>
      </w:rPr>
      <w:t xml:space="preserve">  |   </w:t>
    </w:r>
    <w:r w:rsidR="002A79D2">
      <w:rPr>
        <w:rFonts w:ascii="Arial" w:hAnsi="Arial" w:cs="Arial"/>
        <w:b/>
        <w:color w:val="7F7F7F" w:themeColor="text1" w:themeTint="80"/>
        <w:sz w:val="16"/>
        <w:szCs w:val="16"/>
      </w:rPr>
      <w:t>(913) 981-1020</w:t>
    </w:r>
    <w:r w:rsidR="002A79D2" w:rsidRPr="00AD46D0">
      <w:rPr>
        <w:rFonts w:ascii="Arial" w:hAnsi="Arial" w:cs="Arial"/>
        <w:b/>
        <w:bCs/>
        <w:color w:val="7F7F7F" w:themeColor="text1" w:themeTint="80"/>
        <w:sz w:val="16"/>
        <w:szCs w:val="16"/>
      </w:rPr>
      <w:tab/>
    </w:r>
    <w:r w:rsidR="002A79D2" w:rsidRPr="00664F51">
      <w:rPr>
        <w:rFonts w:ascii="Arial" w:hAnsi="Arial" w:cs="Arial"/>
        <w:b/>
        <w:color w:val="004F58"/>
        <w:sz w:val="16"/>
        <w:szCs w:val="16"/>
      </w:rPr>
      <w:t>www.</w:t>
    </w:r>
    <w:r w:rsidR="002A79D2">
      <w:rPr>
        <w:rFonts w:ascii="Arial" w:hAnsi="Arial" w:cs="Arial"/>
        <w:b/>
        <w:color w:val="004F58"/>
        <w:sz w:val="16"/>
        <w:szCs w:val="16"/>
      </w:rPr>
      <w:t>ecofininvest</w:t>
    </w:r>
    <w:r w:rsidR="002A79D2" w:rsidRPr="00664F51">
      <w:rPr>
        <w:rFonts w:ascii="Arial" w:hAnsi="Arial" w:cs="Arial"/>
        <w:b/>
        <w:color w:val="004F58"/>
        <w:sz w:val="16"/>
        <w:szCs w:val="16"/>
      </w:rPr>
      <w:t>.com</w:t>
    </w:r>
  </w:p>
  <w:p w14:paraId="5E420607" w14:textId="77777777" w:rsidR="00D8464C" w:rsidRPr="00FB3419" w:rsidRDefault="00D8464C" w:rsidP="00FB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2D81" w14:textId="5B2D7246" w:rsidR="00D8464C" w:rsidRPr="00542CE9" w:rsidRDefault="00126431" w:rsidP="00126431">
    <w:pPr>
      <w:pStyle w:val="Footer"/>
      <w:tabs>
        <w:tab w:val="clear" w:pos="4320"/>
        <w:tab w:val="clear" w:pos="8640"/>
        <w:tab w:val="right" w:pos="10620"/>
      </w:tabs>
      <w:ind w:right="504"/>
      <w:rPr>
        <w:rFonts w:ascii="Arial" w:hAnsi="Arial" w:cs="Arial"/>
        <w:b/>
        <w:color w:val="002060"/>
        <w:sz w:val="16"/>
        <w:szCs w:val="16"/>
      </w:rPr>
    </w:pPr>
    <w:r w:rsidRPr="00980C6C">
      <w:rPr>
        <w:rFonts w:ascii="Arial" w:hAnsi="Arial" w:cs="Arial"/>
        <w:b/>
        <w:noProof/>
        <w:color w:val="7F7F7F" w:themeColor="text1" w:themeTint="80"/>
        <w:sz w:val="16"/>
        <w:szCs w:val="16"/>
        <w:lang w:eastAsia="en-US"/>
      </w:rPr>
      <mc:AlternateContent>
        <mc:Choice Requires="wps">
          <w:drawing>
            <wp:anchor distT="0" distB="0" distL="114300" distR="114300" simplePos="0" relativeHeight="251661312" behindDoc="0" locked="0" layoutInCell="1" allowOverlap="1" wp14:anchorId="187333C9" wp14:editId="16967346">
              <wp:simplePos x="0" y="0"/>
              <wp:positionH relativeFrom="column">
                <wp:posOffset>5080</wp:posOffset>
              </wp:positionH>
              <wp:positionV relativeFrom="paragraph">
                <wp:posOffset>-117475</wp:posOffset>
              </wp:positionV>
              <wp:extent cx="676465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6764655" cy="0"/>
                      </a:xfrm>
                      <a:prstGeom prst="line">
                        <a:avLst/>
                      </a:prstGeom>
                      <a:ln>
                        <a:solidFill>
                          <a:srgbClr val="C4C6C6"/>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48092F"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9.25pt" to="5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" strokecolor="#c4c6c6"/>
          </w:pict>
        </mc:Fallback>
      </mc:AlternateContent>
    </w:r>
    <w:r w:rsidR="009563D7">
      <w:rPr>
        <w:rFonts w:ascii="Arial" w:hAnsi="Arial" w:cs="Arial"/>
        <w:b/>
        <w:noProof/>
        <w:color w:val="7F7F7F" w:themeColor="text1" w:themeTint="80"/>
        <w:sz w:val="16"/>
        <w:szCs w:val="16"/>
        <w:lang w:eastAsia="en-US"/>
      </w:rPr>
      <w:t xml:space="preserve">6363 College </w:t>
    </w:r>
    <w:proofErr w:type="gramStart"/>
    <w:r w:rsidR="009563D7">
      <w:rPr>
        <w:rFonts w:ascii="Arial" w:hAnsi="Arial" w:cs="Arial"/>
        <w:b/>
        <w:noProof/>
        <w:color w:val="7F7F7F" w:themeColor="text1" w:themeTint="80"/>
        <w:sz w:val="16"/>
        <w:szCs w:val="16"/>
        <w:lang w:eastAsia="en-US"/>
      </w:rPr>
      <w:t xml:space="preserve">Boulevard  </w:t>
    </w:r>
    <w:r w:rsidR="00D8464C" w:rsidRPr="00980C6C">
      <w:rPr>
        <w:rFonts w:ascii="Arial" w:hAnsi="Arial" w:cs="Arial"/>
        <w:b/>
        <w:color w:val="7F7F7F" w:themeColor="text1" w:themeTint="80"/>
        <w:sz w:val="16"/>
        <w:szCs w:val="16"/>
      </w:rPr>
      <w:t>|</w:t>
    </w:r>
    <w:proofErr w:type="gramEnd"/>
    <w:r w:rsidR="00D8464C" w:rsidRPr="00980C6C">
      <w:rPr>
        <w:rFonts w:ascii="Arial" w:hAnsi="Arial" w:cs="Arial"/>
        <w:b/>
        <w:color w:val="7F7F7F" w:themeColor="text1" w:themeTint="80"/>
        <w:sz w:val="16"/>
        <w:szCs w:val="16"/>
      </w:rPr>
      <w:t xml:space="preserve">  </w:t>
    </w:r>
    <w:r w:rsidR="00C72D6D">
      <w:rPr>
        <w:rFonts w:ascii="Arial" w:hAnsi="Arial" w:cs="Arial"/>
        <w:b/>
        <w:color w:val="7F7F7F" w:themeColor="text1" w:themeTint="80"/>
        <w:sz w:val="16"/>
        <w:szCs w:val="16"/>
      </w:rPr>
      <w:t xml:space="preserve">Suite 100A  </w:t>
    </w:r>
    <w:r w:rsidR="00C72D6D">
      <w:rPr>
        <w:rFonts w:ascii="Arial" w:hAnsi="Arial" w:cs="Arial"/>
        <w:b/>
        <w:noProof/>
        <w:color w:val="7F7F7F" w:themeColor="text1" w:themeTint="80"/>
        <w:sz w:val="16"/>
        <w:szCs w:val="16"/>
        <w:lang w:eastAsia="en-US"/>
      </w:rPr>
      <w:t xml:space="preserve">  </w:t>
    </w:r>
    <w:r w:rsidR="00C72D6D" w:rsidRPr="00980C6C">
      <w:rPr>
        <w:rFonts w:ascii="Arial" w:hAnsi="Arial" w:cs="Arial"/>
        <w:b/>
        <w:color w:val="7F7F7F" w:themeColor="text1" w:themeTint="80"/>
        <w:sz w:val="16"/>
        <w:szCs w:val="16"/>
      </w:rPr>
      <w:t xml:space="preserve">|  </w:t>
    </w:r>
    <w:r w:rsidR="00C72D6D">
      <w:rPr>
        <w:rFonts w:ascii="Arial" w:hAnsi="Arial" w:cs="Arial"/>
        <w:b/>
        <w:color w:val="7F7F7F" w:themeColor="text1" w:themeTint="80"/>
        <w:sz w:val="16"/>
        <w:szCs w:val="16"/>
      </w:rPr>
      <w:t xml:space="preserve"> </w:t>
    </w:r>
    <w:r w:rsidR="009563D7">
      <w:rPr>
        <w:rFonts w:ascii="Arial" w:hAnsi="Arial" w:cs="Arial"/>
        <w:b/>
        <w:color w:val="7F7F7F" w:themeColor="text1" w:themeTint="80"/>
        <w:sz w:val="16"/>
        <w:szCs w:val="16"/>
      </w:rPr>
      <w:t>Overland Park,</w:t>
    </w:r>
    <w:r w:rsidR="00833945">
      <w:rPr>
        <w:rFonts w:ascii="Arial" w:hAnsi="Arial" w:cs="Arial"/>
        <w:b/>
        <w:color w:val="7F7F7F" w:themeColor="text1" w:themeTint="80"/>
        <w:sz w:val="16"/>
        <w:szCs w:val="16"/>
      </w:rPr>
      <w:t xml:space="preserve">  KS</w:t>
    </w:r>
    <w:r w:rsidR="00D8464C" w:rsidRPr="00980C6C">
      <w:rPr>
        <w:rFonts w:ascii="Arial" w:hAnsi="Arial" w:cs="Arial"/>
        <w:b/>
        <w:color w:val="7F7F7F" w:themeColor="text1" w:themeTint="80"/>
        <w:sz w:val="16"/>
        <w:szCs w:val="16"/>
      </w:rPr>
      <w:t xml:space="preserve">  |  </w:t>
    </w:r>
    <w:r w:rsidRPr="00980C6C">
      <w:rPr>
        <w:rFonts w:ascii="Arial" w:hAnsi="Arial" w:cs="Arial"/>
        <w:b/>
        <w:color w:val="7F7F7F" w:themeColor="text1" w:themeTint="80"/>
        <w:sz w:val="16"/>
        <w:szCs w:val="16"/>
      </w:rPr>
      <w:t xml:space="preserve"> </w:t>
    </w:r>
    <w:r w:rsidR="004F5313">
      <w:rPr>
        <w:rFonts w:ascii="Arial" w:hAnsi="Arial" w:cs="Arial"/>
        <w:b/>
        <w:color w:val="7F7F7F" w:themeColor="text1" w:themeTint="80"/>
        <w:sz w:val="16"/>
        <w:szCs w:val="16"/>
      </w:rPr>
      <w:t>(</w:t>
    </w:r>
    <w:r w:rsidR="00833945">
      <w:rPr>
        <w:rFonts w:ascii="Arial" w:hAnsi="Arial" w:cs="Arial"/>
        <w:b/>
        <w:color w:val="7F7F7F" w:themeColor="text1" w:themeTint="80"/>
        <w:sz w:val="16"/>
        <w:szCs w:val="16"/>
      </w:rPr>
      <w:t>9</w:t>
    </w:r>
    <w:r w:rsidR="004F5313">
      <w:rPr>
        <w:rFonts w:ascii="Arial" w:hAnsi="Arial" w:cs="Arial"/>
        <w:b/>
        <w:color w:val="7F7F7F" w:themeColor="text1" w:themeTint="80"/>
        <w:sz w:val="16"/>
        <w:szCs w:val="16"/>
      </w:rPr>
      <w:t xml:space="preserve">13) </w:t>
    </w:r>
    <w:r w:rsidR="00833945">
      <w:rPr>
        <w:rFonts w:ascii="Arial" w:hAnsi="Arial" w:cs="Arial"/>
        <w:b/>
        <w:color w:val="7F7F7F" w:themeColor="text1" w:themeTint="80"/>
        <w:sz w:val="16"/>
        <w:szCs w:val="16"/>
      </w:rPr>
      <w:t>981</w:t>
    </w:r>
    <w:r w:rsidR="00781EF1">
      <w:rPr>
        <w:rFonts w:ascii="Arial" w:hAnsi="Arial" w:cs="Arial"/>
        <w:b/>
        <w:color w:val="7F7F7F" w:themeColor="text1" w:themeTint="80"/>
        <w:sz w:val="16"/>
        <w:szCs w:val="16"/>
      </w:rPr>
      <w:t>-</w:t>
    </w:r>
    <w:r w:rsidR="00833945">
      <w:rPr>
        <w:rFonts w:ascii="Arial" w:hAnsi="Arial" w:cs="Arial"/>
        <w:b/>
        <w:color w:val="7F7F7F" w:themeColor="text1" w:themeTint="80"/>
        <w:sz w:val="16"/>
        <w:szCs w:val="16"/>
      </w:rPr>
      <w:t>1020</w:t>
    </w:r>
    <w:r w:rsidRPr="00AD46D0">
      <w:rPr>
        <w:rFonts w:ascii="Arial" w:hAnsi="Arial" w:cs="Arial"/>
        <w:b/>
        <w:bCs/>
        <w:color w:val="7F7F7F" w:themeColor="text1" w:themeTint="80"/>
        <w:sz w:val="16"/>
        <w:szCs w:val="16"/>
      </w:rPr>
      <w:tab/>
    </w:r>
    <w:r w:rsidR="00296AFC" w:rsidRPr="00664F51">
      <w:rPr>
        <w:rFonts w:ascii="Arial" w:hAnsi="Arial" w:cs="Arial"/>
        <w:b/>
        <w:color w:val="004F58"/>
        <w:sz w:val="16"/>
        <w:szCs w:val="16"/>
      </w:rPr>
      <w:t>www.</w:t>
    </w:r>
    <w:r w:rsidR="009563D7">
      <w:rPr>
        <w:rFonts w:ascii="Arial" w:hAnsi="Arial" w:cs="Arial"/>
        <w:b/>
        <w:color w:val="004F58"/>
        <w:sz w:val="16"/>
        <w:szCs w:val="16"/>
      </w:rPr>
      <w:t>ecofininvest</w:t>
    </w:r>
    <w:r w:rsidR="00296AFC" w:rsidRPr="00664F51">
      <w:rPr>
        <w:rFonts w:ascii="Arial" w:hAnsi="Arial" w:cs="Arial"/>
        <w:b/>
        <w:color w:val="004F58"/>
        <w:sz w:val="16"/>
        <w:szCs w:val="16"/>
      </w:rPr>
      <w:t>.com</w:t>
    </w:r>
  </w:p>
  <w:p w14:paraId="3C677F50" w14:textId="77777777" w:rsidR="00C82E81" w:rsidRPr="00AD46D0" w:rsidRDefault="00C82E8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69090" w14:textId="77777777" w:rsidR="00B237E5" w:rsidRDefault="00B237E5" w:rsidP="00D1421C">
      <w:r>
        <w:separator/>
      </w:r>
    </w:p>
  </w:footnote>
  <w:footnote w:type="continuationSeparator" w:id="0">
    <w:p w14:paraId="662B09F6" w14:textId="77777777" w:rsidR="00B237E5" w:rsidRDefault="00B237E5" w:rsidP="00D1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4CDAA" w14:textId="69AF106E" w:rsidR="00161F2A" w:rsidRDefault="009563D7" w:rsidP="004A4929">
    <w:pPr>
      <w:pStyle w:val="Header"/>
      <w:tabs>
        <w:tab w:val="clear" w:pos="4320"/>
        <w:tab w:val="clear" w:pos="8640"/>
        <w:tab w:val="right" w:pos="10530"/>
      </w:tabs>
      <w:ind w:right="594"/>
    </w:pPr>
    <w:r>
      <w:rPr>
        <w:noProof/>
        <w:lang w:eastAsia="en-US"/>
      </w:rPr>
      <w:drawing>
        <wp:inline distT="0" distB="0" distL="0" distR="0" wp14:anchorId="7C162A4B" wp14:editId="3D28B6C1">
          <wp:extent cx="1125817" cy="416257"/>
          <wp:effectExtent l="0" t="0" r="0" b="3175"/>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pic:nvPicPr>
                <pic:blipFill>
                  <a:blip r:embed="rId1"/>
                  <a:stretch>
                    <a:fillRect/>
                  </a:stretch>
                </pic:blipFill>
                <pic:spPr>
                  <a:xfrm>
                    <a:off x="0" y="0"/>
                    <a:ext cx="1155188" cy="427117"/>
                  </a:xfrm>
                  <a:prstGeom prst="rect">
                    <a:avLst/>
                  </a:prstGeom>
                </pic:spPr>
              </pic:pic>
            </a:graphicData>
          </a:graphic>
        </wp:inline>
      </w:drawing>
    </w:r>
  </w:p>
  <w:p w14:paraId="3C32C4CE" w14:textId="77777777" w:rsidR="00161F2A" w:rsidRDefault="00161F2A" w:rsidP="004B0E16">
    <w:pPr>
      <w:pStyle w:val="Header"/>
      <w:tabs>
        <w:tab w:val="clear" w:pos="4320"/>
        <w:tab w:val="clear" w:pos="8640"/>
        <w:tab w:val="right" w:pos="10530"/>
      </w:tabs>
    </w:pPr>
  </w:p>
  <w:p w14:paraId="02B4E8B5" w14:textId="77777777" w:rsidR="00C82E81" w:rsidRPr="00161F2A" w:rsidRDefault="00C82E81" w:rsidP="004B0E16">
    <w:pPr>
      <w:pStyle w:val="Header"/>
      <w:tabs>
        <w:tab w:val="clear" w:pos="4320"/>
        <w:tab w:val="clear" w:pos="8640"/>
        <w:tab w:val="right" w:pos="1053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3002F"/>
    <w:multiLevelType w:val="hybridMultilevel"/>
    <w:tmpl w:val="50CC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E18EF"/>
    <w:multiLevelType w:val="hybridMultilevel"/>
    <w:tmpl w:val="95A44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43987"/>
    <w:multiLevelType w:val="multilevel"/>
    <w:tmpl w:val="46B4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01C59"/>
    <w:multiLevelType w:val="hybridMultilevel"/>
    <w:tmpl w:val="8202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80946"/>
    <w:rsid w:val="00002E82"/>
    <w:rsid w:val="000138B8"/>
    <w:rsid w:val="00015FEC"/>
    <w:rsid w:val="000164FA"/>
    <w:rsid w:val="00017FD7"/>
    <w:rsid w:val="000223F2"/>
    <w:rsid w:val="000224AD"/>
    <w:rsid w:val="000268E8"/>
    <w:rsid w:val="00027F35"/>
    <w:rsid w:val="000360E2"/>
    <w:rsid w:val="00050DA9"/>
    <w:rsid w:val="00061D4F"/>
    <w:rsid w:val="000818CC"/>
    <w:rsid w:val="0008772E"/>
    <w:rsid w:val="00091B5B"/>
    <w:rsid w:val="00096119"/>
    <w:rsid w:val="00097ADC"/>
    <w:rsid w:val="000A13AD"/>
    <w:rsid w:val="000C2E1A"/>
    <w:rsid w:val="000C347B"/>
    <w:rsid w:val="000D2524"/>
    <w:rsid w:val="000F071E"/>
    <w:rsid w:val="000F6496"/>
    <w:rsid w:val="00103E7A"/>
    <w:rsid w:val="00105259"/>
    <w:rsid w:val="00106B12"/>
    <w:rsid w:val="00107431"/>
    <w:rsid w:val="001113F9"/>
    <w:rsid w:val="00116970"/>
    <w:rsid w:val="00122CA7"/>
    <w:rsid w:val="00126431"/>
    <w:rsid w:val="00131707"/>
    <w:rsid w:val="00144026"/>
    <w:rsid w:val="00154ABD"/>
    <w:rsid w:val="00161F2A"/>
    <w:rsid w:val="001648BA"/>
    <w:rsid w:val="001728E0"/>
    <w:rsid w:val="00177CE6"/>
    <w:rsid w:val="00187473"/>
    <w:rsid w:val="00196364"/>
    <w:rsid w:val="001C1633"/>
    <w:rsid w:val="001E1459"/>
    <w:rsid w:val="001E35DE"/>
    <w:rsid w:val="001F154F"/>
    <w:rsid w:val="001F2A7C"/>
    <w:rsid w:val="0021153A"/>
    <w:rsid w:val="00214DE7"/>
    <w:rsid w:val="00234AE7"/>
    <w:rsid w:val="00253769"/>
    <w:rsid w:val="00254582"/>
    <w:rsid w:val="0025694D"/>
    <w:rsid w:val="00260F2E"/>
    <w:rsid w:val="00261897"/>
    <w:rsid w:val="002713E6"/>
    <w:rsid w:val="00296AFC"/>
    <w:rsid w:val="00296BD1"/>
    <w:rsid w:val="002A3B20"/>
    <w:rsid w:val="002A4E1D"/>
    <w:rsid w:val="002A5AEC"/>
    <w:rsid w:val="002A79D2"/>
    <w:rsid w:val="002B23B1"/>
    <w:rsid w:val="002D0776"/>
    <w:rsid w:val="002D7F8C"/>
    <w:rsid w:val="002E1830"/>
    <w:rsid w:val="002E7E1C"/>
    <w:rsid w:val="002F3AE5"/>
    <w:rsid w:val="002F5337"/>
    <w:rsid w:val="002F5BB7"/>
    <w:rsid w:val="00300008"/>
    <w:rsid w:val="00310D0B"/>
    <w:rsid w:val="003220F0"/>
    <w:rsid w:val="00323839"/>
    <w:rsid w:val="00323978"/>
    <w:rsid w:val="00327881"/>
    <w:rsid w:val="00334264"/>
    <w:rsid w:val="00336E23"/>
    <w:rsid w:val="00337CAD"/>
    <w:rsid w:val="0036390F"/>
    <w:rsid w:val="00374C74"/>
    <w:rsid w:val="00384BD7"/>
    <w:rsid w:val="0038529C"/>
    <w:rsid w:val="00390C96"/>
    <w:rsid w:val="003A2882"/>
    <w:rsid w:val="003B2DC7"/>
    <w:rsid w:val="003B69EB"/>
    <w:rsid w:val="003C2C26"/>
    <w:rsid w:val="003C47C7"/>
    <w:rsid w:val="003D20D0"/>
    <w:rsid w:val="003D4128"/>
    <w:rsid w:val="003D60BA"/>
    <w:rsid w:val="003E1A5B"/>
    <w:rsid w:val="003E2EDD"/>
    <w:rsid w:val="003E37A8"/>
    <w:rsid w:val="003E4EDA"/>
    <w:rsid w:val="003F1C62"/>
    <w:rsid w:val="004009C6"/>
    <w:rsid w:val="00411A10"/>
    <w:rsid w:val="00422085"/>
    <w:rsid w:val="00424850"/>
    <w:rsid w:val="00457278"/>
    <w:rsid w:val="004714EF"/>
    <w:rsid w:val="00481393"/>
    <w:rsid w:val="00485F8A"/>
    <w:rsid w:val="00494E5B"/>
    <w:rsid w:val="004A4929"/>
    <w:rsid w:val="004A7915"/>
    <w:rsid w:val="004B0E16"/>
    <w:rsid w:val="004B4E8E"/>
    <w:rsid w:val="004B516E"/>
    <w:rsid w:val="004B7884"/>
    <w:rsid w:val="004C0D60"/>
    <w:rsid w:val="004C6DBF"/>
    <w:rsid w:val="004D3563"/>
    <w:rsid w:val="004D7289"/>
    <w:rsid w:val="004F5313"/>
    <w:rsid w:val="00520A54"/>
    <w:rsid w:val="005241EA"/>
    <w:rsid w:val="00526428"/>
    <w:rsid w:val="00536654"/>
    <w:rsid w:val="00541E7B"/>
    <w:rsid w:val="00542CE9"/>
    <w:rsid w:val="00551223"/>
    <w:rsid w:val="0055750F"/>
    <w:rsid w:val="005602D3"/>
    <w:rsid w:val="00562437"/>
    <w:rsid w:val="00565994"/>
    <w:rsid w:val="00572D4B"/>
    <w:rsid w:val="005939A6"/>
    <w:rsid w:val="005952FD"/>
    <w:rsid w:val="00596DB8"/>
    <w:rsid w:val="005B15B2"/>
    <w:rsid w:val="005B246A"/>
    <w:rsid w:val="005C73B0"/>
    <w:rsid w:val="005D0D95"/>
    <w:rsid w:val="005D3ED1"/>
    <w:rsid w:val="005D426D"/>
    <w:rsid w:val="005F0F10"/>
    <w:rsid w:val="005F46D3"/>
    <w:rsid w:val="00607CD0"/>
    <w:rsid w:val="00614858"/>
    <w:rsid w:val="006164C3"/>
    <w:rsid w:val="00633449"/>
    <w:rsid w:val="0065097A"/>
    <w:rsid w:val="00650CE0"/>
    <w:rsid w:val="0065548B"/>
    <w:rsid w:val="00655657"/>
    <w:rsid w:val="00660243"/>
    <w:rsid w:val="00664F51"/>
    <w:rsid w:val="006733BB"/>
    <w:rsid w:val="006776AB"/>
    <w:rsid w:val="00682E84"/>
    <w:rsid w:val="00685851"/>
    <w:rsid w:val="0068702F"/>
    <w:rsid w:val="006873D1"/>
    <w:rsid w:val="0068789E"/>
    <w:rsid w:val="006965E9"/>
    <w:rsid w:val="006C2674"/>
    <w:rsid w:val="006C2768"/>
    <w:rsid w:val="006C5073"/>
    <w:rsid w:val="006D0782"/>
    <w:rsid w:val="006D6163"/>
    <w:rsid w:val="006D6C7E"/>
    <w:rsid w:val="006E1C1C"/>
    <w:rsid w:val="006F3919"/>
    <w:rsid w:val="006F3D59"/>
    <w:rsid w:val="006F6036"/>
    <w:rsid w:val="006F63E1"/>
    <w:rsid w:val="0070672D"/>
    <w:rsid w:val="00711BE2"/>
    <w:rsid w:val="007143F5"/>
    <w:rsid w:val="00724AF7"/>
    <w:rsid w:val="00730080"/>
    <w:rsid w:val="00732547"/>
    <w:rsid w:val="00732906"/>
    <w:rsid w:val="00734FF5"/>
    <w:rsid w:val="00735112"/>
    <w:rsid w:val="00737FDD"/>
    <w:rsid w:val="00741585"/>
    <w:rsid w:val="00752EC3"/>
    <w:rsid w:val="00770466"/>
    <w:rsid w:val="007751C5"/>
    <w:rsid w:val="00777B8F"/>
    <w:rsid w:val="00781EF1"/>
    <w:rsid w:val="00782777"/>
    <w:rsid w:val="007828C0"/>
    <w:rsid w:val="007830E6"/>
    <w:rsid w:val="00786C06"/>
    <w:rsid w:val="00790985"/>
    <w:rsid w:val="00796DBA"/>
    <w:rsid w:val="007A17BB"/>
    <w:rsid w:val="007A1DF7"/>
    <w:rsid w:val="007A756B"/>
    <w:rsid w:val="007B3ACD"/>
    <w:rsid w:val="007D2C84"/>
    <w:rsid w:val="007E32B4"/>
    <w:rsid w:val="007E6D08"/>
    <w:rsid w:val="007E7700"/>
    <w:rsid w:val="00823CB1"/>
    <w:rsid w:val="008259DC"/>
    <w:rsid w:val="00826247"/>
    <w:rsid w:val="00833945"/>
    <w:rsid w:val="008370C0"/>
    <w:rsid w:val="00860542"/>
    <w:rsid w:val="00863400"/>
    <w:rsid w:val="00864962"/>
    <w:rsid w:val="0087372A"/>
    <w:rsid w:val="00874638"/>
    <w:rsid w:val="008C29EE"/>
    <w:rsid w:val="008D13C9"/>
    <w:rsid w:val="0090065E"/>
    <w:rsid w:val="0091188E"/>
    <w:rsid w:val="00920B66"/>
    <w:rsid w:val="00926256"/>
    <w:rsid w:val="00926817"/>
    <w:rsid w:val="0093099A"/>
    <w:rsid w:val="00931328"/>
    <w:rsid w:val="00933A01"/>
    <w:rsid w:val="00952273"/>
    <w:rsid w:val="00955FA2"/>
    <w:rsid w:val="009563D7"/>
    <w:rsid w:val="00967497"/>
    <w:rsid w:val="009737CF"/>
    <w:rsid w:val="00980C6C"/>
    <w:rsid w:val="009870B7"/>
    <w:rsid w:val="00994C4C"/>
    <w:rsid w:val="00996CD0"/>
    <w:rsid w:val="009D35A8"/>
    <w:rsid w:val="009E0007"/>
    <w:rsid w:val="009E05F1"/>
    <w:rsid w:val="009E5A1C"/>
    <w:rsid w:val="009F1FC1"/>
    <w:rsid w:val="009F4226"/>
    <w:rsid w:val="00A0666D"/>
    <w:rsid w:val="00A0798F"/>
    <w:rsid w:val="00A141C9"/>
    <w:rsid w:val="00A164C7"/>
    <w:rsid w:val="00A20FF0"/>
    <w:rsid w:val="00A242CB"/>
    <w:rsid w:val="00A25EAA"/>
    <w:rsid w:val="00A51494"/>
    <w:rsid w:val="00A80946"/>
    <w:rsid w:val="00A84FC5"/>
    <w:rsid w:val="00A92B52"/>
    <w:rsid w:val="00AA0ED1"/>
    <w:rsid w:val="00AA528B"/>
    <w:rsid w:val="00AC6E87"/>
    <w:rsid w:val="00AC7418"/>
    <w:rsid w:val="00AD46D0"/>
    <w:rsid w:val="00AE3460"/>
    <w:rsid w:val="00AE405D"/>
    <w:rsid w:val="00AF0297"/>
    <w:rsid w:val="00B00170"/>
    <w:rsid w:val="00B13B24"/>
    <w:rsid w:val="00B15AFD"/>
    <w:rsid w:val="00B237E5"/>
    <w:rsid w:val="00B2553D"/>
    <w:rsid w:val="00B32E26"/>
    <w:rsid w:val="00B64DAC"/>
    <w:rsid w:val="00B6564D"/>
    <w:rsid w:val="00B74CD2"/>
    <w:rsid w:val="00B807E8"/>
    <w:rsid w:val="00B817A6"/>
    <w:rsid w:val="00B91A79"/>
    <w:rsid w:val="00B96CC3"/>
    <w:rsid w:val="00BA1B67"/>
    <w:rsid w:val="00BA721B"/>
    <w:rsid w:val="00BB1809"/>
    <w:rsid w:val="00BB2AA3"/>
    <w:rsid w:val="00BB428E"/>
    <w:rsid w:val="00BB6E0F"/>
    <w:rsid w:val="00BC1EFE"/>
    <w:rsid w:val="00BD06FB"/>
    <w:rsid w:val="00BE1FC7"/>
    <w:rsid w:val="00C02546"/>
    <w:rsid w:val="00C059B4"/>
    <w:rsid w:val="00C10942"/>
    <w:rsid w:val="00C13071"/>
    <w:rsid w:val="00C16D83"/>
    <w:rsid w:val="00C23E08"/>
    <w:rsid w:val="00C26382"/>
    <w:rsid w:val="00C3504C"/>
    <w:rsid w:val="00C355B9"/>
    <w:rsid w:val="00C43E30"/>
    <w:rsid w:val="00C44280"/>
    <w:rsid w:val="00C56C51"/>
    <w:rsid w:val="00C649AD"/>
    <w:rsid w:val="00C64A83"/>
    <w:rsid w:val="00C64D22"/>
    <w:rsid w:val="00C72D6D"/>
    <w:rsid w:val="00C73715"/>
    <w:rsid w:val="00C754FC"/>
    <w:rsid w:val="00C75E6E"/>
    <w:rsid w:val="00C82E81"/>
    <w:rsid w:val="00C87374"/>
    <w:rsid w:val="00C91098"/>
    <w:rsid w:val="00C93A5E"/>
    <w:rsid w:val="00C96D1D"/>
    <w:rsid w:val="00C97CBA"/>
    <w:rsid w:val="00CA54CE"/>
    <w:rsid w:val="00CB67A9"/>
    <w:rsid w:val="00CC61E6"/>
    <w:rsid w:val="00CD1A82"/>
    <w:rsid w:val="00CD7E80"/>
    <w:rsid w:val="00CE1EF2"/>
    <w:rsid w:val="00CE35B8"/>
    <w:rsid w:val="00CF2C8B"/>
    <w:rsid w:val="00D012DB"/>
    <w:rsid w:val="00D02993"/>
    <w:rsid w:val="00D1421C"/>
    <w:rsid w:val="00D44812"/>
    <w:rsid w:val="00D468BD"/>
    <w:rsid w:val="00D62E7A"/>
    <w:rsid w:val="00D6766F"/>
    <w:rsid w:val="00D836A5"/>
    <w:rsid w:val="00D8464C"/>
    <w:rsid w:val="00D92784"/>
    <w:rsid w:val="00DA3634"/>
    <w:rsid w:val="00DA7477"/>
    <w:rsid w:val="00DB3614"/>
    <w:rsid w:val="00DC1267"/>
    <w:rsid w:val="00DC7D90"/>
    <w:rsid w:val="00DD6B8E"/>
    <w:rsid w:val="00DE23BE"/>
    <w:rsid w:val="00DE6C04"/>
    <w:rsid w:val="00DF041C"/>
    <w:rsid w:val="00DF0C67"/>
    <w:rsid w:val="00DF4A7E"/>
    <w:rsid w:val="00E00E59"/>
    <w:rsid w:val="00E030EB"/>
    <w:rsid w:val="00E0320E"/>
    <w:rsid w:val="00E13085"/>
    <w:rsid w:val="00E1651A"/>
    <w:rsid w:val="00E23253"/>
    <w:rsid w:val="00E25D29"/>
    <w:rsid w:val="00E44445"/>
    <w:rsid w:val="00E538E8"/>
    <w:rsid w:val="00E57F08"/>
    <w:rsid w:val="00E67CFB"/>
    <w:rsid w:val="00E73E52"/>
    <w:rsid w:val="00E762E2"/>
    <w:rsid w:val="00E835C1"/>
    <w:rsid w:val="00E91667"/>
    <w:rsid w:val="00EA370A"/>
    <w:rsid w:val="00EA728A"/>
    <w:rsid w:val="00EB3F6A"/>
    <w:rsid w:val="00EC3C36"/>
    <w:rsid w:val="00EC4772"/>
    <w:rsid w:val="00EC5909"/>
    <w:rsid w:val="00ED2515"/>
    <w:rsid w:val="00EE4F2A"/>
    <w:rsid w:val="00EF39BD"/>
    <w:rsid w:val="00F0191C"/>
    <w:rsid w:val="00F040A6"/>
    <w:rsid w:val="00F06B75"/>
    <w:rsid w:val="00F10EA9"/>
    <w:rsid w:val="00F16456"/>
    <w:rsid w:val="00F22310"/>
    <w:rsid w:val="00F24951"/>
    <w:rsid w:val="00F26D5B"/>
    <w:rsid w:val="00F3403B"/>
    <w:rsid w:val="00F378E2"/>
    <w:rsid w:val="00F80C35"/>
    <w:rsid w:val="00F90FD9"/>
    <w:rsid w:val="00F933E2"/>
    <w:rsid w:val="00FA3EF4"/>
    <w:rsid w:val="00FB3419"/>
    <w:rsid w:val="00FD0435"/>
    <w:rsid w:val="00FD0E54"/>
    <w:rsid w:val="00FD1BE7"/>
    <w:rsid w:val="00FD30B0"/>
    <w:rsid w:val="00FD432B"/>
    <w:rsid w:val="00FE1BFE"/>
    <w:rsid w:val="00FE27DC"/>
    <w:rsid w:val="00FE52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oNotEmbedSmartTags/>
  <w:decimalSymbol w:val="."/>
  <w:listSeparator w:val=","/>
  <w14:docId w14:val="0152DEFB"/>
  <w15:docId w15:val="{EBDF7623-A94C-40C1-8DF2-3ABB7AAE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21C"/>
    <w:pPr>
      <w:spacing w:after="0"/>
    </w:pPr>
    <w:rPr>
      <w:rFonts w:ascii="Times New Roman" w:eastAsia="Times New Roman" w:hAnsi="Times New Roman" w:cs="Times New Roman"/>
      <w:sz w:val="24"/>
      <w:szCs w:val="24"/>
      <w:lang w:eastAsia="en-US"/>
    </w:rPr>
  </w:style>
  <w:style w:type="paragraph" w:styleId="Heading1">
    <w:name w:val="heading 1"/>
    <w:basedOn w:val="Normal"/>
    <w:link w:val="Heading1Char"/>
    <w:qFormat/>
    <w:rsid w:val="00D1421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21C"/>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D1421C"/>
    <w:rPr>
      <w:sz w:val="24"/>
      <w:szCs w:val="24"/>
    </w:rPr>
  </w:style>
  <w:style w:type="paragraph" w:styleId="Footer">
    <w:name w:val="footer"/>
    <w:basedOn w:val="Normal"/>
    <w:link w:val="FooterChar"/>
    <w:uiPriority w:val="99"/>
    <w:unhideWhenUsed/>
    <w:rsid w:val="00D1421C"/>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D1421C"/>
    <w:rPr>
      <w:sz w:val="24"/>
      <w:szCs w:val="24"/>
    </w:rPr>
  </w:style>
  <w:style w:type="paragraph" w:styleId="BalloonText">
    <w:name w:val="Balloon Text"/>
    <w:basedOn w:val="Normal"/>
    <w:link w:val="BalloonTextChar"/>
    <w:uiPriority w:val="99"/>
    <w:semiHidden/>
    <w:unhideWhenUsed/>
    <w:rsid w:val="00D1421C"/>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D1421C"/>
    <w:rPr>
      <w:rFonts w:ascii="Lucida Grande" w:hAnsi="Lucida Grande" w:cs="Lucida Grande"/>
      <w:sz w:val="18"/>
      <w:szCs w:val="18"/>
    </w:rPr>
  </w:style>
  <w:style w:type="character" w:customStyle="1" w:styleId="Heading1Char">
    <w:name w:val="Heading 1 Char"/>
    <w:basedOn w:val="DefaultParagraphFont"/>
    <w:link w:val="Heading1"/>
    <w:rsid w:val="00D1421C"/>
    <w:rPr>
      <w:rFonts w:ascii="Times New Roman" w:eastAsia="Times New Roman" w:hAnsi="Times New Roman" w:cs="Times New Roman"/>
      <w:b/>
      <w:bCs/>
      <w:kern w:val="36"/>
      <w:sz w:val="48"/>
      <w:szCs w:val="48"/>
      <w:lang w:eastAsia="en-US"/>
    </w:rPr>
  </w:style>
  <w:style w:type="character" w:styleId="Hyperlink">
    <w:name w:val="Hyperlink"/>
    <w:rsid w:val="00D1421C"/>
    <w:rPr>
      <w:color w:val="99CC00"/>
      <w:u w:val="single"/>
    </w:rPr>
  </w:style>
  <w:style w:type="paragraph" w:styleId="NormalWeb">
    <w:name w:val="Normal (Web)"/>
    <w:basedOn w:val="Normal"/>
    <w:uiPriority w:val="99"/>
    <w:rsid w:val="00D1421C"/>
    <w:pPr>
      <w:spacing w:before="100" w:beforeAutospacing="1" w:after="100" w:afterAutospacing="1"/>
    </w:pPr>
  </w:style>
  <w:style w:type="paragraph" w:customStyle="1" w:styleId="Default">
    <w:name w:val="Default"/>
    <w:uiPriority w:val="99"/>
    <w:rsid w:val="00D1421C"/>
    <w:pPr>
      <w:autoSpaceDE w:val="0"/>
      <w:autoSpaceDN w:val="0"/>
      <w:adjustRightInd w:val="0"/>
      <w:spacing w:after="0"/>
    </w:pPr>
    <w:rPr>
      <w:rFonts w:ascii="Arial" w:eastAsia="Times New Roman" w:hAnsi="Arial" w:cs="Arial"/>
      <w:color w:val="000000"/>
      <w:sz w:val="24"/>
      <w:szCs w:val="24"/>
      <w:lang w:eastAsia="en-US"/>
    </w:rPr>
  </w:style>
  <w:style w:type="paragraph" w:customStyle="1" w:styleId="default0">
    <w:name w:val="default"/>
    <w:basedOn w:val="Normal"/>
    <w:rsid w:val="00390C96"/>
    <w:pPr>
      <w:autoSpaceDE w:val="0"/>
      <w:autoSpaceDN w:val="0"/>
    </w:pPr>
    <w:rPr>
      <w:rFonts w:ascii="Arial" w:hAnsi="Arial" w:cs="Arial"/>
      <w:color w:val="000000"/>
    </w:rPr>
  </w:style>
  <w:style w:type="paragraph" w:styleId="ListParagraph">
    <w:name w:val="List Paragraph"/>
    <w:basedOn w:val="Normal"/>
    <w:uiPriority w:val="34"/>
    <w:qFormat/>
    <w:rsid w:val="00390C96"/>
    <w:pPr>
      <w:ind w:left="720"/>
      <w:contextualSpacing/>
    </w:pPr>
    <w:rPr>
      <w:rFonts w:ascii="Calibri" w:eastAsiaTheme="minorHAnsi" w:hAnsi="Calibri"/>
      <w:sz w:val="22"/>
      <w:szCs w:val="22"/>
    </w:rPr>
  </w:style>
  <w:style w:type="character" w:styleId="CommentReference">
    <w:name w:val="annotation reference"/>
    <w:basedOn w:val="DefaultParagraphFont"/>
    <w:uiPriority w:val="99"/>
    <w:semiHidden/>
    <w:unhideWhenUsed/>
    <w:rsid w:val="009F1FC1"/>
    <w:rPr>
      <w:sz w:val="16"/>
      <w:szCs w:val="16"/>
    </w:rPr>
  </w:style>
  <w:style w:type="paragraph" w:styleId="CommentText">
    <w:name w:val="annotation text"/>
    <w:basedOn w:val="Normal"/>
    <w:link w:val="CommentTextChar"/>
    <w:uiPriority w:val="99"/>
    <w:semiHidden/>
    <w:unhideWhenUsed/>
    <w:rsid w:val="009F1FC1"/>
    <w:rPr>
      <w:sz w:val="20"/>
      <w:szCs w:val="20"/>
    </w:rPr>
  </w:style>
  <w:style w:type="character" w:customStyle="1" w:styleId="CommentTextChar">
    <w:name w:val="Comment Text Char"/>
    <w:basedOn w:val="DefaultParagraphFont"/>
    <w:link w:val="CommentText"/>
    <w:uiPriority w:val="99"/>
    <w:semiHidden/>
    <w:rsid w:val="009F1FC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9F1FC1"/>
    <w:rPr>
      <w:b/>
      <w:bCs/>
    </w:rPr>
  </w:style>
  <w:style w:type="character" w:customStyle="1" w:styleId="CommentSubjectChar">
    <w:name w:val="Comment Subject Char"/>
    <w:basedOn w:val="CommentTextChar"/>
    <w:link w:val="CommentSubject"/>
    <w:uiPriority w:val="99"/>
    <w:semiHidden/>
    <w:rsid w:val="009F1FC1"/>
    <w:rPr>
      <w:rFonts w:ascii="Times New Roman" w:eastAsia="Times New Roman" w:hAnsi="Times New Roman" w:cs="Times New Roman"/>
      <w:b/>
      <w:bCs/>
      <w:lang w:eastAsia="en-US"/>
    </w:rPr>
  </w:style>
  <w:style w:type="character" w:customStyle="1" w:styleId="apple-converted-space">
    <w:name w:val="apple-converted-space"/>
    <w:basedOn w:val="DefaultParagraphFont"/>
    <w:rsid w:val="00C10942"/>
  </w:style>
  <w:style w:type="paragraph" w:styleId="Revision">
    <w:name w:val="Revision"/>
    <w:hidden/>
    <w:uiPriority w:val="99"/>
    <w:semiHidden/>
    <w:rsid w:val="00AC7418"/>
    <w:pPr>
      <w:spacing w:after="0"/>
    </w:pPr>
    <w:rPr>
      <w:rFonts w:ascii="Times New Roman" w:eastAsia="Times New Roman" w:hAnsi="Times New Roman" w:cs="Times New Roman"/>
      <w:sz w:val="24"/>
      <w:szCs w:val="24"/>
      <w:lang w:eastAsia="en-US"/>
    </w:rPr>
  </w:style>
  <w:style w:type="table" w:styleId="TableGrid">
    <w:name w:val="Table Grid"/>
    <w:basedOn w:val="TableNormal"/>
    <w:uiPriority w:val="59"/>
    <w:rsid w:val="00AC74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FE27DC"/>
    <w:rPr>
      <w:rFonts w:cs="Univers LT Std 45 Light"/>
      <w:color w:val="13252F"/>
      <w:sz w:val="18"/>
      <w:szCs w:val="18"/>
    </w:rPr>
  </w:style>
  <w:style w:type="character" w:styleId="FollowedHyperlink">
    <w:name w:val="FollowedHyperlink"/>
    <w:basedOn w:val="DefaultParagraphFont"/>
    <w:uiPriority w:val="99"/>
    <w:semiHidden/>
    <w:unhideWhenUsed/>
    <w:rsid w:val="00103E7A"/>
    <w:rPr>
      <w:color w:val="800080" w:themeColor="followedHyperlink"/>
      <w:u w:val="single"/>
    </w:rPr>
  </w:style>
  <w:style w:type="paragraph" w:customStyle="1" w:styleId="Pa1">
    <w:name w:val="Pa1"/>
    <w:basedOn w:val="Normal"/>
    <w:next w:val="Normal"/>
    <w:uiPriority w:val="99"/>
    <w:rsid w:val="000164FA"/>
    <w:pPr>
      <w:autoSpaceDE w:val="0"/>
      <w:autoSpaceDN w:val="0"/>
      <w:adjustRightInd w:val="0"/>
      <w:spacing w:line="181" w:lineRule="atLeast"/>
    </w:pPr>
    <w:rPr>
      <w:rFonts w:ascii="Univers LT Std 45 Light" w:eastAsiaTheme="minorEastAsia" w:hAnsi="Univers LT Std 45 Light" w:cstheme="minorBidi"/>
      <w:lang w:eastAsia="ja-JP"/>
    </w:rPr>
  </w:style>
  <w:style w:type="character" w:customStyle="1" w:styleId="A6">
    <w:name w:val="A6"/>
    <w:uiPriority w:val="99"/>
    <w:rsid w:val="000164FA"/>
    <w:rPr>
      <w:rFonts w:ascii="Univers LT Std 45 Light" w:hAnsi="Univers LT Std 45 Light" w:cs="Univers LT Std 45 Light" w:hint="default"/>
      <w:color w:val="211D1E"/>
      <w:sz w:val="16"/>
      <w:szCs w:val="16"/>
    </w:rPr>
  </w:style>
  <w:style w:type="character" w:customStyle="1" w:styleId="UnresolvedMention1">
    <w:name w:val="Unresolved Mention1"/>
    <w:basedOn w:val="DefaultParagraphFont"/>
    <w:uiPriority w:val="99"/>
    <w:semiHidden/>
    <w:unhideWhenUsed/>
    <w:rsid w:val="00B817A6"/>
    <w:rPr>
      <w:color w:val="605E5C"/>
      <w:shd w:val="clear" w:color="auto" w:fill="E1DFDD"/>
    </w:rPr>
  </w:style>
  <w:style w:type="character" w:customStyle="1" w:styleId="xn-money">
    <w:name w:val="xn-money"/>
    <w:basedOn w:val="DefaultParagraphFont"/>
    <w:rsid w:val="00091B5B"/>
  </w:style>
  <w:style w:type="character" w:customStyle="1" w:styleId="xn-chron">
    <w:name w:val="xn-chron"/>
    <w:basedOn w:val="DefaultParagraphFont"/>
    <w:rsid w:val="00091B5B"/>
  </w:style>
  <w:style w:type="character" w:styleId="Strong">
    <w:name w:val="Strong"/>
    <w:basedOn w:val="DefaultParagraphFont"/>
    <w:uiPriority w:val="22"/>
    <w:qFormat/>
    <w:rsid w:val="00A0798F"/>
    <w:rPr>
      <w:b/>
      <w:bCs/>
    </w:rPr>
  </w:style>
  <w:style w:type="character" w:customStyle="1" w:styleId="null1">
    <w:name w:val="null1"/>
    <w:basedOn w:val="DefaultParagraphFont"/>
    <w:rsid w:val="00B1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4631">
      <w:bodyDiv w:val="1"/>
      <w:marLeft w:val="0"/>
      <w:marRight w:val="0"/>
      <w:marTop w:val="0"/>
      <w:marBottom w:val="0"/>
      <w:divBdr>
        <w:top w:val="none" w:sz="0" w:space="0" w:color="auto"/>
        <w:left w:val="none" w:sz="0" w:space="0" w:color="auto"/>
        <w:bottom w:val="none" w:sz="0" w:space="0" w:color="auto"/>
        <w:right w:val="none" w:sz="0" w:space="0" w:color="auto"/>
      </w:divBdr>
    </w:div>
    <w:div w:id="160119675">
      <w:bodyDiv w:val="1"/>
      <w:marLeft w:val="0"/>
      <w:marRight w:val="0"/>
      <w:marTop w:val="0"/>
      <w:marBottom w:val="0"/>
      <w:divBdr>
        <w:top w:val="none" w:sz="0" w:space="0" w:color="auto"/>
        <w:left w:val="none" w:sz="0" w:space="0" w:color="auto"/>
        <w:bottom w:val="none" w:sz="0" w:space="0" w:color="auto"/>
        <w:right w:val="none" w:sz="0" w:space="0" w:color="auto"/>
      </w:divBdr>
    </w:div>
    <w:div w:id="375393423">
      <w:bodyDiv w:val="1"/>
      <w:marLeft w:val="0"/>
      <w:marRight w:val="0"/>
      <w:marTop w:val="0"/>
      <w:marBottom w:val="0"/>
      <w:divBdr>
        <w:top w:val="none" w:sz="0" w:space="0" w:color="auto"/>
        <w:left w:val="none" w:sz="0" w:space="0" w:color="auto"/>
        <w:bottom w:val="none" w:sz="0" w:space="0" w:color="auto"/>
        <w:right w:val="none" w:sz="0" w:space="0" w:color="auto"/>
      </w:divBdr>
    </w:div>
    <w:div w:id="378171603">
      <w:bodyDiv w:val="1"/>
      <w:marLeft w:val="0"/>
      <w:marRight w:val="0"/>
      <w:marTop w:val="0"/>
      <w:marBottom w:val="0"/>
      <w:divBdr>
        <w:top w:val="none" w:sz="0" w:space="0" w:color="auto"/>
        <w:left w:val="none" w:sz="0" w:space="0" w:color="auto"/>
        <w:bottom w:val="none" w:sz="0" w:space="0" w:color="auto"/>
        <w:right w:val="none" w:sz="0" w:space="0" w:color="auto"/>
      </w:divBdr>
    </w:div>
    <w:div w:id="808204360">
      <w:bodyDiv w:val="1"/>
      <w:marLeft w:val="0"/>
      <w:marRight w:val="0"/>
      <w:marTop w:val="0"/>
      <w:marBottom w:val="0"/>
      <w:divBdr>
        <w:top w:val="none" w:sz="0" w:space="0" w:color="auto"/>
        <w:left w:val="none" w:sz="0" w:space="0" w:color="auto"/>
        <w:bottom w:val="none" w:sz="0" w:space="0" w:color="auto"/>
        <w:right w:val="none" w:sz="0" w:space="0" w:color="auto"/>
      </w:divBdr>
    </w:div>
    <w:div w:id="1084686728">
      <w:bodyDiv w:val="1"/>
      <w:marLeft w:val="0"/>
      <w:marRight w:val="0"/>
      <w:marTop w:val="0"/>
      <w:marBottom w:val="0"/>
      <w:divBdr>
        <w:top w:val="none" w:sz="0" w:space="0" w:color="auto"/>
        <w:left w:val="none" w:sz="0" w:space="0" w:color="auto"/>
        <w:bottom w:val="none" w:sz="0" w:space="0" w:color="auto"/>
        <w:right w:val="none" w:sz="0" w:space="0" w:color="auto"/>
      </w:divBdr>
    </w:div>
    <w:div w:id="1277981711">
      <w:bodyDiv w:val="1"/>
      <w:marLeft w:val="0"/>
      <w:marRight w:val="0"/>
      <w:marTop w:val="0"/>
      <w:marBottom w:val="0"/>
      <w:divBdr>
        <w:top w:val="none" w:sz="0" w:space="0" w:color="auto"/>
        <w:left w:val="none" w:sz="0" w:space="0" w:color="auto"/>
        <w:bottom w:val="none" w:sz="0" w:space="0" w:color="auto"/>
        <w:right w:val="none" w:sz="0" w:space="0" w:color="auto"/>
      </w:divBdr>
    </w:div>
    <w:div w:id="1382288931">
      <w:bodyDiv w:val="1"/>
      <w:marLeft w:val="0"/>
      <w:marRight w:val="0"/>
      <w:marTop w:val="0"/>
      <w:marBottom w:val="0"/>
      <w:divBdr>
        <w:top w:val="none" w:sz="0" w:space="0" w:color="auto"/>
        <w:left w:val="none" w:sz="0" w:space="0" w:color="auto"/>
        <w:bottom w:val="none" w:sz="0" w:space="0" w:color="auto"/>
        <w:right w:val="none" w:sz="0" w:space="0" w:color="auto"/>
      </w:divBdr>
      <w:divsChild>
        <w:div w:id="2014797906">
          <w:marLeft w:val="0"/>
          <w:marRight w:val="0"/>
          <w:marTop w:val="0"/>
          <w:marBottom w:val="0"/>
          <w:divBdr>
            <w:top w:val="none" w:sz="0" w:space="0" w:color="auto"/>
            <w:left w:val="none" w:sz="0" w:space="0" w:color="auto"/>
            <w:bottom w:val="none" w:sz="0" w:space="0" w:color="auto"/>
            <w:right w:val="none" w:sz="0" w:space="0" w:color="auto"/>
          </w:divBdr>
          <w:divsChild>
            <w:div w:id="6547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2410">
      <w:bodyDiv w:val="1"/>
      <w:marLeft w:val="0"/>
      <w:marRight w:val="0"/>
      <w:marTop w:val="0"/>
      <w:marBottom w:val="0"/>
      <w:divBdr>
        <w:top w:val="none" w:sz="0" w:space="0" w:color="auto"/>
        <w:left w:val="none" w:sz="0" w:space="0" w:color="auto"/>
        <w:bottom w:val="none" w:sz="0" w:space="0" w:color="auto"/>
        <w:right w:val="none" w:sz="0" w:space="0" w:color="auto"/>
      </w:divBdr>
    </w:div>
    <w:div w:id="1928266334">
      <w:bodyDiv w:val="1"/>
      <w:marLeft w:val="0"/>
      <w:marRight w:val="0"/>
      <w:marTop w:val="0"/>
      <w:marBottom w:val="0"/>
      <w:divBdr>
        <w:top w:val="none" w:sz="0" w:space="0" w:color="auto"/>
        <w:left w:val="none" w:sz="0" w:space="0" w:color="auto"/>
        <w:bottom w:val="none" w:sz="0" w:space="0" w:color="auto"/>
        <w:right w:val="none" w:sz="0" w:space="0" w:color="auto"/>
      </w:divBdr>
    </w:div>
    <w:div w:id="2009939431">
      <w:bodyDiv w:val="1"/>
      <w:marLeft w:val="0"/>
      <w:marRight w:val="0"/>
      <w:marTop w:val="0"/>
      <w:marBottom w:val="0"/>
      <w:divBdr>
        <w:top w:val="none" w:sz="0" w:space="0" w:color="auto"/>
        <w:left w:val="none" w:sz="0" w:space="0" w:color="auto"/>
        <w:bottom w:val="none" w:sz="0" w:space="0" w:color="auto"/>
        <w:right w:val="none" w:sz="0" w:space="0" w:color="auto"/>
      </w:divBdr>
    </w:div>
    <w:div w:id="2044359505">
      <w:bodyDiv w:val="1"/>
      <w:marLeft w:val="0"/>
      <w:marRight w:val="0"/>
      <w:marTop w:val="0"/>
      <w:marBottom w:val="0"/>
      <w:divBdr>
        <w:top w:val="none" w:sz="0" w:space="0" w:color="auto"/>
        <w:left w:val="none" w:sz="0" w:space="0" w:color="auto"/>
        <w:bottom w:val="none" w:sz="0" w:space="0" w:color="auto"/>
        <w:right w:val="none" w:sz="0" w:space="0" w:color="auto"/>
      </w:divBdr>
      <w:divsChild>
        <w:div w:id="2063291251">
          <w:marLeft w:val="0"/>
          <w:marRight w:val="0"/>
          <w:marTop w:val="0"/>
          <w:marBottom w:val="0"/>
          <w:divBdr>
            <w:top w:val="none" w:sz="0" w:space="0" w:color="auto"/>
            <w:left w:val="none" w:sz="0" w:space="0" w:color="auto"/>
            <w:bottom w:val="none" w:sz="0" w:space="0" w:color="auto"/>
            <w:right w:val="none" w:sz="0" w:space="0" w:color="auto"/>
          </w:divBdr>
          <w:divsChild>
            <w:div w:id="1585725811">
              <w:marLeft w:val="0"/>
              <w:marRight w:val="0"/>
              <w:marTop w:val="0"/>
              <w:marBottom w:val="0"/>
              <w:divBdr>
                <w:top w:val="none" w:sz="0" w:space="0" w:color="auto"/>
                <w:left w:val="none" w:sz="0" w:space="0" w:color="auto"/>
                <w:bottom w:val="none" w:sz="0" w:space="0" w:color="auto"/>
                <w:right w:val="none" w:sz="0" w:space="0" w:color="auto"/>
              </w:divBdr>
              <w:divsChild>
                <w:div w:id="5982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f.tortoiseecofi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ortoiseecofi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ef.ecofininvest.com" TargetMode="External"/><Relationship Id="rId4" Type="http://schemas.openxmlformats.org/officeDocument/2006/relationships/settings" Target="settings.xml"/><Relationship Id="rId9" Type="http://schemas.openxmlformats.org/officeDocument/2006/relationships/hyperlink" Target="https://cef.ecofininvest.com/funds/tea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5727C-FE69-4EEE-8654-D35EA995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Platypus</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mzastrow</dc:creator>
  <cp:lastModifiedBy>Rey Wilkinson</cp:lastModifiedBy>
  <cp:revision>9</cp:revision>
  <cp:lastPrinted>2015-09-04T14:22:00Z</cp:lastPrinted>
  <dcterms:created xsi:type="dcterms:W3CDTF">2022-02-01T22:29:00Z</dcterms:created>
  <dcterms:modified xsi:type="dcterms:W3CDTF">2022-04-01T18:00:00Z</dcterms:modified>
</cp:coreProperties>
</file>