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E7EE68" w14:textId="77777777" w:rsidR="00D55C8E" w:rsidRDefault="003B66A5">
      <w:pPr>
        <w:pStyle w:val="Body"/>
        <w:spacing w:line="240" w:lineRule="auto"/>
        <w:jc w:val="center"/>
        <w:rPr>
          <w:rFonts w:ascii="Roboto" w:eastAsia="Roboto" w:hAnsi="Roboto" w:cs="Roboto"/>
          <w:sz w:val="24"/>
          <w:szCs w:val="24"/>
        </w:rPr>
      </w:pPr>
      <w:r>
        <w:rPr>
          <w:rFonts w:ascii="Roboto" w:eastAsia="Roboto" w:hAnsi="Roboto" w:cs="Roboto"/>
          <w:b/>
          <w:bCs/>
          <w:noProof/>
          <w:sz w:val="21"/>
          <w:szCs w:val="21"/>
        </w:rPr>
        <w:drawing>
          <wp:inline distT="0" distB="0" distL="0" distR="0" wp14:anchorId="63FC9E6F" wp14:editId="6D56FC76">
            <wp:extent cx="2371725" cy="409575"/>
            <wp:effectExtent l="0" t="0" r="0" b="0"/>
            <wp:docPr id="1073741825" name="officeArt object" descr="image1.png"/>
            <wp:cNvGraphicFramePr/>
            <a:graphic xmlns:a="http://schemas.openxmlformats.org/drawingml/2006/main">
              <a:graphicData uri="http://schemas.openxmlformats.org/drawingml/2006/picture">
                <pic:pic xmlns:pic="http://schemas.openxmlformats.org/drawingml/2006/picture">
                  <pic:nvPicPr>
                    <pic:cNvPr id="1073741825" name="image1.png" descr="image1.png"/>
                    <pic:cNvPicPr>
                      <a:picLocks noChangeAspect="1"/>
                    </pic:cNvPicPr>
                  </pic:nvPicPr>
                  <pic:blipFill>
                    <a:blip r:embed="rId7"/>
                    <a:stretch>
                      <a:fillRect/>
                    </a:stretch>
                  </pic:blipFill>
                  <pic:spPr>
                    <a:xfrm>
                      <a:off x="0" y="0"/>
                      <a:ext cx="2371725" cy="409575"/>
                    </a:xfrm>
                    <a:prstGeom prst="rect">
                      <a:avLst/>
                    </a:prstGeom>
                    <a:ln w="12700" cap="flat">
                      <a:noFill/>
                      <a:miter lim="400000"/>
                    </a:ln>
                    <a:effectLst/>
                  </pic:spPr>
                </pic:pic>
              </a:graphicData>
            </a:graphic>
          </wp:inline>
        </w:drawing>
      </w:r>
    </w:p>
    <w:p w14:paraId="1DB1E6E5" w14:textId="77777777" w:rsidR="00D55C8E" w:rsidRDefault="00D55C8E">
      <w:pPr>
        <w:pStyle w:val="Body"/>
        <w:spacing w:line="240" w:lineRule="auto"/>
        <w:rPr>
          <w:rFonts w:ascii="Roboto" w:eastAsia="Roboto" w:hAnsi="Roboto" w:cs="Roboto"/>
          <w:sz w:val="24"/>
          <w:szCs w:val="24"/>
        </w:rPr>
      </w:pPr>
    </w:p>
    <w:p w14:paraId="4CF3B43C" w14:textId="293377FF" w:rsidR="00D55C8E" w:rsidRDefault="00C36818">
      <w:pPr>
        <w:pStyle w:val="Body"/>
        <w:spacing w:line="240" w:lineRule="auto"/>
        <w:jc w:val="center"/>
        <w:rPr>
          <w:rFonts w:ascii="Roboto" w:eastAsia="Roboto" w:hAnsi="Roboto" w:cs="Roboto"/>
          <w:b/>
          <w:bCs/>
          <w:color w:val="474747"/>
          <w:sz w:val="21"/>
          <w:szCs w:val="21"/>
          <w:u w:color="474747"/>
          <w:lang w:val="en-US"/>
        </w:rPr>
      </w:pPr>
      <w:r>
        <w:rPr>
          <w:rFonts w:ascii="Roboto" w:eastAsia="Roboto" w:hAnsi="Roboto" w:cs="Roboto"/>
          <w:b/>
          <w:bCs/>
          <w:color w:val="474747"/>
          <w:sz w:val="21"/>
          <w:szCs w:val="21"/>
          <w:u w:color="474747"/>
          <w:lang w:val="en-US"/>
        </w:rPr>
        <w:t>Game</w:t>
      </w:r>
      <w:r w:rsidR="00AF4412">
        <w:rPr>
          <w:rFonts w:ascii="Roboto" w:eastAsia="Roboto" w:hAnsi="Roboto" w:cs="Roboto"/>
          <w:b/>
          <w:bCs/>
          <w:color w:val="474747"/>
          <w:sz w:val="21"/>
          <w:szCs w:val="21"/>
          <w:u w:color="474747"/>
          <w:lang w:val="en-US"/>
        </w:rPr>
        <w:t>S</w:t>
      </w:r>
      <w:r>
        <w:rPr>
          <w:rFonts w:ascii="Roboto" w:eastAsia="Roboto" w:hAnsi="Roboto" w:cs="Roboto"/>
          <w:b/>
          <w:bCs/>
          <w:color w:val="474747"/>
          <w:sz w:val="21"/>
          <w:szCs w:val="21"/>
          <w:u w:color="474747"/>
          <w:lang w:val="en-US"/>
        </w:rPr>
        <w:t>quare</w:t>
      </w:r>
      <w:r w:rsidR="00951FF2">
        <w:rPr>
          <w:rFonts w:ascii="Roboto" w:eastAsia="Roboto" w:hAnsi="Roboto" w:cs="Roboto"/>
          <w:b/>
          <w:bCs/>
          <w:color w:val="474747"/>
          <w:sz w:val="21"/>
          <w:szCs w:val="21"/>
          <w:u w:color="474747"/>
          <w:lang w:val="en-US"/>
        </w:rPr>
        <w:t xml:space="preserve"> Announces US$</w:t>
      </w:r>
      <w:r w:rsidR="00353034">
        <w:rPr>
          <w:rFonts w:ascii="Roboto" w:eastAsia="Roboto" w:hAnsi="Roboto" w:cs="Roboto"/>
          <w:b/>
          <w:bCs/>
          <w:color w:val="474747"/>
          <w:sz w:val="21"/>
          <w:szCs w:val="21"/>
          <w:u w:color="474747"/>
          <w:lang w:val="en-US"/>
        </w:rPr>
        <w:t>3.0</w:t>
      </w:r>
      <w:r w:rsidR="00951FF2">
        <w:rPr>
          <w:rFonts w:ascii="Roboto" w:eastAsia="Roboto" w:hAnsi="Roboto" w:cs="Roboto"/>
          <w:b/>
          <w:bCs/>
          <w:color w:val="474747"/>
          <w:sz w:val="21"/>
          <w:szCs w:val="21"/>
          <w:u w:color="474747"/>
          <w:lang w:val="en-US"/>
        </w:rPr>
        <w:t xml:space="preserve"> Million Private Placement Led by Goff Capital</w:t>
      </w:r>
      <w:r w:rsidR="00AD6B12">
        <w:rPr>
          <w:rFonts w:ascii="Roboto" w:eastAsia="Roboto" w:hAnsi="Roboto" w:cs="Roboto"/>
          <w:b/>
          <w:bCs/>
          <w:color w:val="474747"/>
          <w:sz w:val="21"/>
          <w:szCs w:val="21"/>
          <w:u w:color="474747"/>
          <w:lang w:val="en-US"/>
        </w:rPr>
        <w:t xml:space="preserve"> and </w:t>
      </w:r>
      <w:r w:rsidR="00951FF2">
        <w:rPr>
          <w:rFonts w:ascii="Roboto" w:eastAsia="Roboto" w:hAnsi="Roboto" w:cs="Roboto"/>
          <w:b/>
          <w:bCs/>
          <w:color w:val="474747"/>
          <w:sz w:val="21"/>
          <w:szCs w:val="21"/>
          <w:u w:color="474747"/>
          <w:lang w:val="en-US"/>
        </w:rPr>
        <w:t>the Jones Family</w:t>
      </w:r>
      <w:r w:rsidR="003416B6">
        <w:rPr>
          <w:rFonts w:ascii="Roboto" w:eastAsia="Roboto" w:hAnsi="Roboto" w:cs="Roboto"/>
          <w:b/>
          <w:bCs/>
          <w:color w:val="474747"/>
          <w:sz w:val="21"/>
          <w:szCs w:val="21"/>
          <w:u w:color="474747"/>
          <w:lang w:val="en-US"/>
        </w:rPr>
        <w:t xml:space="preserve"> and </w:t>
      </w:r>
      <w:r w:rsidR="00BA79D5">
        <w:rPr>
          <w:rFonts w:ascii="Roboto" w:eastAsia="Roboto" w:hAnsi="Roboto" w:cs="Roboto"/>
          <w:b/>
          <w:bCs/>
          <w:color w:val="474747"/>
          <w:sz w:val="21"/>
          <w:szCs w:val="21"/>
          <w:u w:color="474747"/>
          <w:lang w:val="en-US"/>
        </w:rPr>
        <w:t xml:space="preserve">a </w:t>
      </w:r>
      <w:r w:rsidR="00951FF2">
        <w:rPr>
          <w:rFonts w:ascii="Roboto" w:eastAsia="Roboto" w:hAnsi="Roboto" w:cs="Roboto"/>
          <w:b/>
          <w:bCs/>
          <w:color w:val="474747"/>
          <w:sz w:val="21"/>
          <w:szCs w:val="21"/>
          <w:u w:color="474747"/>
          <w:lang w:val="en-US"/>
        </w:rPr>
        <w:t>New Strategic Investor</w:t>
      </w:r>
      <w:r w:rsidR="00AD6B12">
        <w:rPr>
          <w:rFonts w:ascii="Roboto" w:eastAsia="Roboto" w:hAnsi="Roboto" w:cs="Roboto"/>
          <w:b/>
          <w:bCs/>
          <w:color w:val="474747"/>
          <w:sz w:val="21"/>
          <w:szCs w:val="21"/>
          <w:u w:color="474747"/>
          <w:lang w:val="en-US"/>
        </w:rPr>
        <w:t xml:space="preserve"> to Further Strengthen the Company’s Shareholder Base</w:t>
      </w:r>
    </w:p>
    <w:p w14:paraId="670FCCAE" w14:textId="77777777" w:rsidR="00951FF2" w:rsidRPr="003416B6" w:rsidRDefault="00951FF2">
      <w:pPr>
        <w:pStyle w:val="Body"/>
        <w:spacing w:line="240" w:lineRule="auto"/>
        <w:jc w:val="center"/>
        <w:rPr>
          <w:rFonts w:ascii="Roboto" w:eastAsia="Roboto" w:hAnsi="Roboto" w:cs="Roboto"/>
          <w:i/>
          <w:iCs/>
          <w:color w:val="474747"/>
          <w:sz w:val="20"/>
          <w:szCs w:val="20"/>
          <w:u w:color="474747"/>
          <w:lang w:val="en-US"/>
        </w:rPr>
      </w:pPr>
    </w:p>
    <w:p w14:paraId="1F80E6CC" w14:textId="2C104E29" w:rsidR="00DF75B8" w:rsidRPr="004214B7" w:rsidRDefault="00951FF2">
      <w:pPr>
        <w:pStyle w:val="Body"/>
        <w:spacing w:line="240" w:lineRule="auto"/>
        <w:jc w:val="center"/>
        <w:rPr>
          <w:rFonts w:ascii="Roboto" w:eastAsia="Roboto" w:hAnsi="Roboto" w:cs="Roboto"/>
          <w:i/>
          <w:iCs/>
          <w:color w:val="474747"/>
          <w:sz w:val="20"/>
          <w:szCs w:val="20"/>
          <w:u w:color="474747"/>
        </w:rPr>
      </w:pPr>
      <w:r>
        <w:rPr>
          <w:rFonts w:ascii="Roboto" w:eastAsia="Roboto" w:hAnsi="Roboto" w:cs="Roboto"/>
          <w:i/>
          <w:iCs/>
          <w:color w:val="474747"/>
          <w:sz w:val="20"/>
          <w:szCs w:val="20"/>
          <w:u w:color="474747"/>
        </w:rPr>
        <w:t xml:space="preserve">Enhanced Liquidity Positions GameSquare for Continued Growth and </w:t>
      </w:r>
      <w:r w:rsidR="00AA7386">
        <w:rPr>
          <w:rFonts w:ascii="Roboto" w:eastAsia="Roboto" w:hAnsi="Roboto" w:cs="Roboto"/>
          <w:i/>
          <w:iCs/>
          <w:color w:val="474747"/>
          <w:sz w:val="20"/>
          <w:szCs w:val="20"/>
          <w:u w:color="474747"/>
        </w:rPr>
        <w:t xml:space="preserve">Bolsters Our Investor Base with </w:t>
      </w:r>
      <w:r>
        <w:rPr>
          <w:rFonts w:ascii="Roboto" w:eastAsia="Roboto" w:hAnsi="Roboto" w:cs="Roboto"/>
          <w:i/>
          <w:iCs/>
          <w:color w:val="474747"/>
          <w:sz w:val="20"/>
          <w:szCs w:val="20"/>
          <w:u w:color="474747"/>
        </w:rPr>
        <w:t xml:space="preserve">New Long Term Strategic </w:t>
      </w:r>
      <w:r w:rsidR="00AA7386">
        <w:rPr>
          <w:rFonts w:ascii="Roboto" w:eastAsia="Roboto" w:hAnsi="Roboto" w:cs="Roboto"/>
          <w:i/>
          <w:iCs/>
          <w:color w:val="474747"/>
          <w:sz w:val="20"/>
          <w:szCs w:val="20"/>
          <w:u w:color="474747"/>
        </w:rPr>
        <w:t>Shareholders</w:t>
      </w:r>
      <w:r>
        <w:rPr>
          <w:rFonts w:ascii="Roboto" w:eastAsia="Roboto" w:hAnsi="Roboto" w:cs="Roboto"/>
          <w:i/>
          <w:iCs/>
          <w:color w:val="474747"/>
          <w:sz w:val="20"/>
          <w:szCs w:val="20"/>
          <w:u w:color="474747"/>
        </w:rPr>
        <w:t xml:space="preserve"> </w:t>
      </w:r>
    </w:p>
    <w:p w14:paraId="3C5641DB" w14:textId="77777777" w:rsidR="00D55C8E" w:rsidRPr="0026122F" w:rsidRDefault="00D55C8E">
      <w:pPr>
        <w:pStyle w:val="Body"/>
        <w:spacing w:line="240" w:lineRule="auto"/>
        <w:rPr>
          <w:rFonts w:eastAsia="Roboto" w:cs="Arial"/>
          <w:sz w:val="18"/>
          <w:szCs w:val="18"/>
        </w:rPr>
      </w:pPr>
    </w:p>
    <w:p w14:paraId="4E020BC7" w14:textId="716881B4" w:rsidR="00D55C8E" w:rsidRPr="0026122F" w:rsidRDefault="00951FF2">
      <w:pPr>
        <w:pStyle w:val="Body"/>
        <w:shd w:val="clear" w:color="auto" w:fill="FFFFFF"/>
        <w:spacing w:line="240" w:lineRule="auto"/>
        <w:jc w:val="both"/>
        <w:rPr>
          <w:rFonts w:eastAsia="Roboto" w:cs="Arial"/>
          <w:color w:val="auto"/>
          <w:sz w:val="18"/>
          <w:szCs w:val="18"/>
          <w:u w:color="474747"/>
          <w:lang w:val="en-US"/>
        </w:rPr>
      </w:pPr>
      <w:r w:rsidRPr="0026122F">
        <w:rPr>
          <w:rFonts w:eastAsia="Roboto" w:cs="Arial"/>
          <w:b/>
          <w:bCs/>
          <w:color w:val="auto"/>
          <w:sz w:val="18"/>
          <w:szCs w:val="18"/>
          <w:u w:color="474747"/>
          <w:lang w:val="en-US"/>
        </w:rPr>
        <w:t xml:space="preserve">April </w:t>
      </w:r>
      <w:r w:rsidR="00537C10">
        <w:rPr>
          <w:rFonts w:eastAsia="Roboto" w:cs="Arial"/>
          <w:b/>
          <w:bCs/>
          <w:color w:val="auto"/>
          <w:sz w:val="18"/>
          <w:szCs w:val="18"/>
          <w:u w:color="474747"/>
          <w:lang w:val="en-US"/>
        </w:rPr>
        <w:t>5</w:t>
      </w:r>
      <w:r w:rsidR="003B66A5" w:rsidRPr="0026122F">
        <w:rPr>
          <w:rFonts w:eastAsia="Roboto" w:cs="Arial"/>
          <w:b/>
          <w:bCs/>
          <w:color w:val="auto"/>
          <w:sz w:val="18"/>
          <w:szCs w:val="18"/>
          <w:u w:color="474747"/>
          <w:lang w:val="en-US"/>
        </w:rPr>
        <w:t xml:space="preserve">, 2022, Toronto, Ontario </w:t>
      </w:r>
      <w:r w:rsidR="003B66A5" w:rsidRPr="0026122F">
        <w:rPr>
          <w:rFonts w:eastAsia="Roboto" w:cs="Arial"/>
          <w:color w:val="auto"/>
          <w:sz w:val="18"/>
          <w:szCs w:val="18"/>
          <w:u w:color="474747"/>
          <w:lang w:val="en-US"/>
        </w:rPr>
        <w:t>–</w:t>
      </w:r>
      <w:r w:rsidR="009C0A78" w:rsidRPr="0026122F">
        <w:rPr>
          <w:rFonts w:eastAsia="Roboto" w:cs="Arial"/>
          <w:color w:val="auto"/>
          <w:sz w:val="18"/>
          <w:szCs w:val="18"/>
          <w:u w:color="474747"/>
          <w:lang w:val="en-US"/>
        </w:rPr>
        <w:t xml:space="preserve"> </w:t>
      </w:r>
      <w:r w:rsidR="003B66A5" w:rsidRPr="0026122F">
        <w:rPr>
          <w:rFonts w:eastAsia="Roboto" w:cs="Arial"/>
          <w:color w:val="auto"/>
          <w:sz w:val="18"/>
          <w:szCs w:val="18"/>
          <w:u w:color="474747"/>
          <w:lang w:val="en-US"/>
        </w:rPr>
        <w:t>GameSquare Esports Inc. (CSE: GSQ; OTCQB: GMSQF; FRA: 29Q1) (“</w:t>
      </w:r>
      <w:r w:rsidR="003B66A5" w:rsidRPr="0026122F">
        <w:rPr>
          <w:rFonts w:eastAsia="Roboto" w:cs="Arial"/>
          <w:b/>
          <w:bCs/>
          <w:color w:val="auto"/>
          <w:sz w:val="18"/>
          <w:szCs w:val="18"/>
          <w:u w:color="474747"/>
          <w:lang w:val="en-US"/>
        </w:rPr>
        <w:t>GameSquare</w:t>
      </w:r>
      <w:r w:rsidR="003B66A5" w:rsidRPr="0026122F">
        <w:rPr>
          <w:rFonts w:eastAsia="Roboto" w:cs="Arial"/>
          <w:color w:val="auto"/>
          <w:sz w:val="18"/>
          <w:szCs w:val="18"/>
          <w:u w:color="474747"/>
          <w:lang w:val="en-US"/>
        </w:rPr>
        <w:t>”, or the “</w:t>
      </w:r>
      <w:r w:rsidR="003B66A5" w:rsidRPr="0026122F">
        <w:rPr>
          <w:rFonts w:eastAsia="Roboto" w:cs="Arial"/>
          <w:b/>
          <w:bCs/>
          <w:color w:val="auto"/>
          <w:sz w:val="18"/>
          <w:szCs w:val="18"/>
          <w:u w:color="474747"/>
          <w:lang w:val="en-US"/>
        </w:rPr>
        <w:t>Company</w:t>
      </w:r>
      <w:r w:rsidR="003B66A5" w:rsidRPr="0026122F">
        <w:rPr>
          <w:rFonts w:eastAsia="Roboto" w:cs="Arial"/>
          <w:color w:val="auto"/>
          <w:sz w:val="18"/>
          <w:szCs w:val="18"/>
          <w:u w:color="474747"/>
          <w:lang w:val="en-US"/>
        </w:rPr>
        <w:t xml:space="preserve">”), </w:t>
      </w:r>
      <w:r w:rsidR="007068B2" w:rsidRPr="0026122F">
        <w:rPr>
          <w:rFonts w:eastAsia="Roboto" w:cs="Arial"/>
          <w:color w:val="auto"/>
          <w:sz w:val="18"/>
          <w:szCs w:val="18"/>
          <w:u w:color="474747"/>
          <w:lang w:val="en-US"/>
        </w:rPr>
        <w:t>announce</w:t>
      </w:r>
      <w:r w:rsidR="004214B7" w:rsidRPr="0026122F">
        <w:rPr>
          <w:rFonts w:eastAsia="Roboto" w:cs="Arial"/>
          <w:color w:val="auto"/>
          <w:sz w:val="18"/>
          <w:szCs w:val="18"/>
          <w:u w:color="474747"/>
          <w:lang w:val="en-US"/>
        </w:rPr>
        <w:t xml:space="preserve">s </w:t>
      </w:r>
      <w:r w:rsidRPr="0026122F">
        <w:rPr>
          <w:rFonts w:eastAsia="Roboto" w:cs="Arial"/>
          <w:color w:val="auto"/>
          <w:sz w:val="18"/>
          <w:szCs w:val="18"/>
          <w:u w:color="474747"/>
          <w:lang w:val="en-US"/>
        </w:rPr>
        <w:t>a fully subscribed US</w:t>
      </w:r>
      <w:r w:rsidRPr="00355DE0">
        <w:rPr>
          <w:rFonts w:eastAsia="Roboto" w:cs="Arial"/>
          <w:color w:val="auto"/>
          <w:sz w:val="18"/>
          <w:szCs w:val="18"/>
          <w:u w:color="474747"/>
          <w:lang w:val="en-US"/>
        </w:rPr>
        <w:t>$</w:t>
      </w:r>
      <w:r w:rsidR="00353034" w:rsidRPr="00355DE0">
        <w:rPr>
          <w:rFonts w:eastAsia="Roboto" w:cs="Arial"/>
          <w:color w:val="auto"/>
          <w:sz w:val="18"/>
          <w:szCs w:val="18"/>
          <w:u w:color="474747"/>
          <w:lang w:val="en-US"/>
        </w:rPr>
        <w:t>3.0</w:t>
      </w:r>
      <w:r w:rsidRPr="0026122F">
        <w:rPr>
          <w:rFonts w:eastAsia="Roboto" w:cs="Arial"/>
          <w:color w:val="auto"/>
          <w:sz w:val="18"/>
          <w:szCs w:val="18"/>
          <w:u w:color="474747"/>
          <w:lang w:val="en-US"/>
        </w:rPr>
        <w:t xml:space="preserve"> million </w:t>
      </w:r>
      <w:r w:rsidR="00DE365E" w:rsidRPr="0026122F">
        <w:rPr>
          <w:rFonts w:eastAsia="Roboto" w:cs="Arial"/>
          <w:color w:val="auto"/>
          <w:sz w:val="18"/>
          <w:szCs w:val="18"/>
          <w:u w:color="474747"/>
          <w:lang w:val="en-US"/>
        </w:rPr>
        <w:t>non-brokered private placement (the “</w:t>
      </w:r>
      <w:r w:rsidR="00DE365E" w:rsidRPr="0026122F">
        <w:rPr>
          <w:rFonts w:eastAsia="Roboto" w:cs="Arial"/>
          <w:b/>
          <w:bCs/>
          <w:color w:val="auto"/>
          <w:sz w:val="18"/>
          <w:szCs w:val="18"/>
          <w:u w:color="474747"/>
          <w:lang w:val="en-US"/>
        </w:rPr>
        <w:t>Offering</w:t>
      </w:r>
      <w:r w:rsidR="00DE365E" w:rsidRPr="0026122F">
        <w:rPr>
          <w:rFonts w:eastAsia="Roboto" w:cs="Arial"/>
          <w:color w:val="auto"/>
          <w:sz w:val="18"/>
          <w:szCs w:val="18"/>
          <w:u w:color="474747"/>
          <w:lang w:val="en-US"/>
        </w:rPr>
        <w:t>”)</w:t>
      </w:r>
      <w:r w:rsidR="00AA7386" w:rsidRPr="0026122F">
        <w:rPr>
          <w:rFonts w:eastAsia="Roboto" w:cs="Arial"/>
          <w:color w:val="auto"/>
          <w:sz w:val="18"/>
          <w:szCs w:val="18"/>
          <w:u w:color="474747"/>
          <w:lang w:val="en-US"/>
        </w:rPr>
        <w:t xml:space="preserve">. </w:t>
      </w:r>
      <w:r w:rsidR="005A2086" w:rsidRPr="0026122F">
        <w:rPr>
          <w:rFonts w:eastAsia="Roboto" w:cs="Arial"/>
          <w:color w:val="auto"/>
          <w:sz w:val="18"/>
          <w:szCs w:val="18"/>
          <w:u w:color="474747"/>
          <w:lang w:val="en-US"/>
        </w:rPr>
        <w:t xml:space="preserve">This capital injection </w:t>
      </w:r>
      <w:r w:rsidR="003416B6" w:rsidRPr="0026122F">
        <w:rPr>
          <w:rFonts w:eastAsia="Roboto" w:cs="Arial"/>
          <w:color w:val="auto"/>
          <w:sz w:val="18"/>
          <w:szCs w:val="18"/>
          <w:u w:color="474747"/>
          <w:lang w:val="en-US"/>
        </w:rPr>
        <w:t xml:space="preserve">along with the recently announced </w:t>
      </w:r>
      <w:r w:rsidR="00971160">
        <w:rPr>
          <w:rFonts w:eastAsia="Roboto" w:cs="Arial"/>
          <w:color w:val="auto"/>
          <w:sz w:val="18"/>
          <w:szCs w:val="18"/>
          <w:u w:color="474747"/>
          <w:lang w:val="en-US"/>
        </w:rPr>
        <w:t xml:space="preserve">entry into a </w:t>
      </w:r>
      <w:r w:rsidR="003416B6" w:rsidRPr="0026122F">
        <w:rPr>
          <w:rFonts w:eastAsia="Roboto" w:cs="Arial"/>
          <w:color w:val="auto"/>
          <w:sz w:val="18"/>
          <w:szCs w:val="18"/>
          <w:u w:color="474747"/>
          <w:lang w:val="en-US"/>
        </w:rPr>
        <w:t xml:space="preserve">letter of intent for </w:t>
      </w:r>
      <w:r w:rsidR="00971160">
        <w:rPr>
          <w:rFonts w:eastAsia="Roboto" w:cs="Arial"/>
          <w:color w:val="auto"/>
          <w:sz w:val="18"/>
          <w:szCs w:val="18"/>
          <w:u w:color="474747"/>
          <w:lang w:val="en-US"/>
        </w:rPr>
        <w:t xml:space="preserve">a </w:t>
      </w:r>
      <w:r w:rsidR="003416B6" w:rsidRPr="0026122F">
        <w:rPr>
          <w:rFonts w:eastAsia="Roboto" w:cs="Arial"/>
          <w:color w:val="auto"/>
          <w:sz w:val="18"/>
          <w:szCs w:val="18"/>
          <w:u w:color="474747"/>
          <w:lang w:val="en-US"/>
        </w:rPr>
        <w:t xml:space="preserve">US$5 million credit facility </w:t>
      </w:r>
      <w:r w:rsidR="005A2086" w:rsidRPr="0026122F">
        <w:rPr>
          <w:rFonts w:eastAsia="Roboto" w:cs="Arial"/>
          <w:color w:val="auto"/>
          <w:sz w:val="18"/>
          <w:szCs w:val="18"/>
          <w:u w:color="474747"/>
          <w:lang w:val="en-US"/>
        </w:rPr>
        <w:t xml:space="preserve">illustrates the strong support that the Company has from our largest investors, Goff Capital and the Jones Family, </w:t>
      </w:r>
      <w:r w:rsidR="00D47B38" w:rsidRPr="0026122F">
        <w:rPr>
          <w:rFonts w:eastAsia="Roboto" w:cs="Arial"/>
          <w:color w:val="auto"/>
          <w:sz w:val="18"/>
          <w:szCs w:val="18"/>
          <w:u w:color="474747"/>
          <w:lang w:val="en-US"/>
        </w:rPr>
        <w:t xml:space="preserve">the </w:t>
      </w:r>
      <w:r w:rsidR="005A2086" w:rsidRPr="0026122F">
        <w:rPr>
          <w:rFonts w:eastAsia="Roboto" w:cs="Arial"/>
          <w:color w:val="auto"/>
          <w:sz w:val="18"/>
          <w:szCs w:val="18"/>
          <w:u w:color="474747"/>
          <w:lang w:val="en-US"/>
        </w:rPr>
        <w:t xml:space="preserve">owners of the Dallas Cowboys. Importantly, the </w:t>
      </w:r>
      <w:r w:rsidR="000306E3" w:rsidRPr="0026122F">
        <w:rPr>
          <w:rFonts w:eastAsia="Roboto" w:cs="Arial"/>
          <w:color w:val="auto"/>
          <w:sz w:val="18"/>
          <w:szCs w:val="18"/>
          <w:u w:color="474747"/>
          <w:lang w:val="en-US"/>
        </w:rPr>
        <w:t xml:space="preserve">private placement </w:t>
      </w:r>
      <w:r w:rsidR="00E75ED0" w:rsidRPr="0026122F">
        <w:rPr>
          <w:rFonts w:eastAsia="Roboto" w:cs="Arial"/>
          <w:color w:val="auto"/>
          <w:sz w:val="18"/>
          <w:szCs w:val="18"/>
          <w:u w:color="474747"/>
          <w:lang w:val="en-US"/>
        </w:rPr>
        <w:t xml:space="preserve">adds </w:t>
      </w:r>
      <w:r w:rsidR="005C2A7B">
        <w:rPr>
          <w:rFonts w:eastAsia="Roboto" w:cs="Arial"/>
          <w:color w:val="auto"/>
          <w:sz w:val="18"/>
          <w:szCs w:val="18"/>
          <w:u w:color="474747"/>
          <w:lang w:val="en-US"/>
        </w:rPr>
        <w:t xml:space="preserve">a </w:t>
      </w:r>
      <w:r w:rsidR="00E75ED0" w:rsidRPr="0026122F">
        <w:rPr>
          <w:rFonts w:eastAsia="Roboto" w:cs="Arial"/>
          <w:color w:val="auto"/>
          <w:sz w:val="18"/>
          <w:szCs w:val="18"/>
          <w:u w:color="474747"/>
          <w:lang w:val="en-US"/>
        </w:rPr>
        <w:t xml:space="preserve">new </w:t>
      </w:r>
      <w:r w:rsidR="00971160">
        <w:rPr>
          <w:rFonts w:eastAsia="Roboto" w:cs="Arial"/>
          <w:color w:val="auto"/>
          <w:sz w:val="18"/>
          <w:szCs w:val="18"/>
          <w:u w:color="474747"/>
          <w:lang w:val="en-US"/>
        </w:rPr>
        <w:t>strategic investor</w:t>
      </w:r>
      <w:r w:rsidR="00E75ED0" w:rsidRPr="0026122F">
        <w:rPr>
          <w:rFonts w:eastAsia="Roboto" w:cs="Arial"/>
          <w:color w:val="auto"/>
          <w:sz w:val="18"/>
          <w:szCs w:val="18"/>
          <w:u w:color="474747"/>
          <w:lang w:val="en-US"/>
        </w:rPr>
        <w:t>, a New York based fund with large</w:t>
      </w:r>
      <w:r w:rsidR="00A94E23" w:rsidRPr="0026122F">
        <w:rPr>
          <w:rFonts w:eastAsia="Roboto" w:cs="Arial"/>
          <w:color w:val="auto"/>
          <w:sz w:val="18"/>
          <w:szCs w:val="18"/>
          <w:u w:color="474747"/>
          <w:lang w:val="en-US"/>
        </w:rPr>
        <w:t>, long-term</w:t>
      </w:r>
      <w:r w:rsidR="00E75ED0" w:rsidRPr="0026122F">
        <w:rPr>
          <w:rFonts w:eastAsia="Roboto" w:cs="Arial"/>
          <w:color w:val="auto"/>
          <w:sz w:val="18"/>
          <w:szCs w:val="18"/>
          <w:u w:color="474747"/>
          <w:lang w:val="en-US"/>
        </w:rPr>
        <w:t xml:space="preserve"> esports investments</w:t>
      </w:r>
      <w:r w:rsidR="00D47B38" w:rsidRPr="0026122F">
        <w:rPr>
          <w:rFonts w:eastAsia="Roboto" w:cs="Arial"/>
          <w:color w:val="auto"/>
          <w:sz w:val="18"/>
          <w:szCs w:val="18"/>
          <w:u w:color="474747"/>
          <w:lang w:val="en-US"/>
        </w:rPr>
        <w:t xml:space="preserve">, to support our growth </w:t>
      </w:r>
      <w:r w:rsidR="00207079" w:rsidRPr="0026122F">
        <w:rPr>
          <w:rFonts w:eastAsia="Roboto" w:cs="Arial"/>
          <w:color w:val="auto"/>
          <w:sz w:val="18"/>
          <w:szCs w:val="18"/>
          <w:u w:color="474747"/>
          <w:lang w:val="en-US"/>
        </w:rPr>
        <w:t xml:space="preserve">goals </w:t>
      </w:r>
      <w:r w:rsidR="00D47B38" w:rsidRPr="0026122F">
        <w:rPr>
          <w:rFonts w:eastAsia="Roboto" w:cs="Arial"/>
          <w:color w:val="auto"/>
          <w:sz w:val="18"/>
          <w:szCs w:val="18"/>
          <w:u w:color="474747"/>
          <w:lang w:val="en-US"/>
        </w:rPr>
        <w:t xml:space="preserve">and </w:t>
      </w:r>
      <w:r w:rsidR="00207079" w:rsidRPr="0026122F">
        <w:rPr>
          <w:rFonts w:eastAsia="Roboto" w:cs="Arial"/>
          <w:color w:val="auto"/>
          <w:sz w:val="18"/>
          <w:szCs w:val="18"/>
          <w:u w:color="474747"/>
          <w:lang w:val="en-US"/>
        </w:rPr>
        <w:t xml:space="preserve">objective </w:t>
      </w:r>
      <w:r w:rsidR="00D47B38" w:rsidRPr="0026122F">
        <w:rPr>
          <w:rFonts w:eastAsia="Roboto" w:cs="Arial"/>
          <w:color w:val="auto"/>
          <w:sz w:val="18"/>
          <w:szCs w:val="18"/>
          <w:u w:color="474747"/>
          <w:lang w:val="en-US"/>
        </w:rPr>
        <w:t>to complete M&amp;A transactions at significantly higher valuation</w:t>
      </w:r>
      <w:r w:rsidR="00453C9A" w:rsidRPr="0026122F">
        <w:rPr>
          <w:rFonts w:eastAsia="Roboto" w:cs="Arial"/>
          <w:color w:val="auto"/>
          <w:sz w:val="18"/>
          <w:szCs w:val="18"/>
          <w:u w:color="474747"/>
          <w:lang w:val="en-US"/>
        </w:rPr>
        <w:t>s</w:t>
      </w:r>
      <w:r w:rsidR="00E75ED0" w:rsidRPr="0026122F">
        <w:rPr>
          <w:rFonts w:eastAsia="Roboto" w:cs="Arial"/>
          <w:color w:val="auto"/>
          <w:sz w:val="18"/>
          <w:szCs w:val="18"/>
          <w:u w:color="474747"/>
          <w:lang w:val="en-US"/>
        </w:rPr>
        <w:t xml:space="preserve">. </w:t>
      </w:r>
      <w:r w:rsidR="005576E5" w:rsidRPr="0026122F">
        <w:rPr>
          <w:rFonts w:eastAsia="Roboto" w:cs="Arial"/>
          <w:color w:val="auto"/>
          <w:sz w:val="18"/>
          <w:szCs w:val="18"/>
          <w:u w:color="474747"/>
          <w:lang w:val="en-US"/>
        </w:rPr>
        <w:t>The Company expect</w:t>
      </w:r>
      <w:r w:rsidR="00971160">
        <w:rPr>
          <w:rFonts w:eastAsia="Roboto" w:cs="Arial"/>
          <w:color w:val="auto"/>
          <w:sz w:val="18"/>
          <w:szCs w:val="18"/>
          <w:u w:color="474747"/>
          <w:lang w:val="en-US"/>
        </w:rPr>
        <w:t>s</w:t>
      </w:r>
      <w:r w:rsidR="005576E5" w:rsidRPr="0026122F">
        <w:rPr>
          <w:rFonts w:eastAsia="Roboto" w:cs="Arial"/>
          <w:color w:val="auto"/>
          <w:sz w:val="18"/>
          <w:szCs w:val="18"/>
          <w:u w:color="474747"/>
          <w:lang w:val="en-US"/>
        </w:rPr>
        <w:t xml:space="preserve"> to close the Offering and enter into a definitive agreement in respect of the credit facility later this week. </w:t>
      </w:r>
    </w:p>
    <w:p w14:paraId="6FDB1388" w14:textId="77777777" w:rsidR="005576E5" w:rsidRPr="0026122F" w:rsidRDefault="005576E5">
      <w:pPr>
        <w:pStyle w:val="Body"/>
        <w:shd w:val="clear" w:color="auto" w:fill="FFFFFF"/>
        <w:spacing w:line="240" w:lineRule="auto"/>
        <w:jc w:val="both"/>
        <w:rPr>
          <w:rStyle w:val="None"/>
          <w:rFonts w:eastAsia="Roboto" w:cs="Arial"/>
          <w:color w:val="auto"/>
          <w:sz w:val="18"/>
          <w:szCs w:val="18"/>
        </w:rPr>
      </w:pPr>
    </w:p>
    <w:p w14:paraId="2BFF6F65" w14:textId="569C118D" w:rsidR="00D55C8E" w:rsidRPr="0026122F" w:rsidRDefault="003B66A5" w:rsidP="00E77DBE">
      <w:pPr>
        <w:pStyle w:val="Body"/>
        <w:shd w:val="clear" w:color="auto" w:fill="FFFFFF"/>
        <w:spacing w:line="240" w:lineRule="auto"/>
        <w:jc w:val="both"/>
        <w:rPr>
          <w:rStyle w:val="None"/>
          <w:rFonts w:eastAsia="Roboto" w:cs="Arial"/>
          <w:color w:val="auto"/>
          <w:sz w:val="18"/>
          <w:szCs w:val="18"/>
          <w:u w:color="474747"/>
          <w:lang w:val="en-US"/>
        </w:rPr>
      </w:pPr>
      <w:r w:rsidRPr="0026122F">
        <w:rPr>
          <w:rStyle w:val="None"/>
          <w:rFonts w:eastAsia="Roboto" w:cs="Arial"/>
          <w:color w:val="auto"/>
          <w:sz w:val="18"/>
          <w:szCs w:val="18"/>
          <w:u w:color="474747"/>
          <w:lang w:val="en-US"/>
        </w:rPr>
        <w:t>“</w:t>
      </w:r>
      <w:r w:rsidR="00A94E23" w:rsidRPr="0026122F">
        <w:rPr>
          <w:rStyle w:val="None"/>
          <w:rFonts w:eastAsia="Roboto" w:cs="Arial"/>
          <w:color w:val="auto"/>
          <w:sz w:val="18"/>
          <w:szCs w:val="18"/>
          <w:u w:color="474747"/>
          <w:lang w:val="en-US"/>
        </w:rPr>
        <w:t xml:space="preserve">Enhanced liquidity and the addition of </w:t>
      </w:r>
      <w:r w:rsidR="005C2A7B">
        <w:rPr>
          <w:rStyle w:val="None"/>
          <w:rFonts w:eastAsia="Roboto" w:cs="Arial"/>
          <w:color w:val="auto"/>
          <w:sz w:val="18"/>
          <w:szCs w:val="18"/>
          <w:u w:color="474747"/>
          <w:lang w:val="en-US"/>
        </w:rPr>
        <w:t xml:space="preserve">a </w:t>
      </w:r>
      <w:r w:rsidR="00A94E23" w:rsidRPr="0026122F">
        <w:rPr>
          <w:rStyle w:val="None"/>
          <w:rFonts w:eastAsia="Roboto" w:cs="Arial"/>
          <w:color w:val="auto"/>
          <w:sz w:val="18"/>
          <w:szCs w:val="18"/>
          <w:u w:color="474747"/>
          <w:lang w:val="en-US"/>
        </w:rPr>
        <w:t xml:space="preserve">new strategic investor </w:t>
      </w:r>
      <w:r w:rsidR="00E77DBE" w:rsidRPr="0026122F">
        <w:rPr>
          <w:rStyle w:val="None"/>
          <w:rFonts w:eastAsia="Roboto" w:cs="Arial"/>
          <w:color w:val="auto"/>
          <w:sz w:val="18"/>
          <w:szCs w:val="18"/>
          <w:u w:color="474747"/>
          <w:lang w:val="en-US"/>
        </w:rPr>
        <w:t>strengthens GameSquare and supports our growth agenda</w:t>
      </w:r>
      <w:r w:rsidRPr="0026122F">
        <w:rPr>
          <w:rStyle w:val="None"/>
          <w:rFonts w:eastAsia="Roboto" w:cs="Arial"/>
          <w:color w:val="auto"/>
          <w:sz w:val="18"/>
          <w:szCs w:val="18"/>
          <w:u w:color="474747"/>
          <w:lang w:val="en-US"/>
        </w:rPr>
        <w:t xml:space="preserve">,” said Justin Kenna, CEO of GameSquare. </w:t>
      </w:r>
      <w:r w:rsidR="00E77DBE" w:rsidRPr="0026122F">
        <w:rPr>
          <w:rStyle w:val="None"/>
          <w:rFonts w:eastAsia="Roboto" w:cs="Arial"/>
          <w:color w:val="auto"/>
          <w:sz w:val="18"/>
          <w:szCs w:val="18"/>
          <w:u w:color="474747"/>
          <w:lang w:val="en-US"/>
        </w:rPr>
        <w:t xml:space="preserve">“The backing of Goff Capital and the Jones Family </w:t>
      </w:r>
      <w:r w:rsidR="00B56A63" w:rsidRPr="0026122F">
        <w:rPr>
          <w:rStyle w:val="None"/>
          <w:rFonts w:eastAsia="Roboto" w:cs="Arial"/>
          <w:color w:val="auto"/>
          <w:sz w:val="18"/>
          <w:szCs w:val="18"/>
          <w:u w:color="474747"/>
          <w:lang w:val="en-US"/>
        </w:rPr>
        <w:t>with</w:t>
      </w:r>
      <w:r w:rsidR="005C2A7B">
        <w:rPr>
          <w:rStyle w:val="None"/>
          <w:rFonts w:eastAsia="Roboto" w:cs="Arial"/>
          <w:color w:val="auto"/>
          <w:sz w:val="18"/>
          <w:szCs w:val="18"/>
          <w:u w:color="474747"/>
          <w:lang w:val="en-US"/>
        </w:rPr>
        <w:t xml:space="preserve"> a</w:t>
      </w:r>
      <w:r w:rsidR="00E77DBE" w:rsidRPr="0026122F">
        <w:rPr>
          <w:rStyle w:val="None"/>
          <w:rFonts w:eastAsia="Roboto" w:cs="Arial"/>
          <w:color w:val="auto"/>
          <w:sz w:val="18"/>
          <w:szCs w:val="18"/>
          <w:u w:color="474747"/>
          <w:lang w:val="en-US"/>
        </w:rPr>
        <w:t xml:space="preserve"> meaningful investment </w:t>
      </w:r>
      <w:r w:rsidR="00342BC7" w:rsidRPr="0026122F">
        <w:rPr>
          <w:rStyle w:val="None"/>
          <w:rFonts w:eastAsia="Roboto" w:cs="Arial"/>
          <w:color w:val="auto"/>
          <w:sz w:val="18"/>
          <w:szCs w:val="18"/>
          <w:u w:color="474747"/>
          <w:lang w:val="en-US"/>
        </w:rPr>
        <w:t xml:space="preserve">from </w:t>
      </w:r>
      <w:r w:rsidR="005C2A7B">
        <w:rPr>
          <w:rStyle w:val="None"/>
          <w:rFonts w:eastAsia="Roboto" w:cs="Arial"/>
          <w:color w:val="auto"/>
          <w:sz w:val="18"/>
          <w:szCs w:val="18"/>
          <w:u w:color="474747"/>
          <w:lang w:val="en-US"/>
        </w:rPr>
        <w:t xml:space="preserve">a </w:t>
      </w:r>
      <w:r w:rsidR="00342BC7" w:rsidRPr="0026122F">
        <w:rPr>
          <w:rStyle w:val="None"/>
          <w:rFonts w:eastAsia="Roboto" w:cs="Arial"/>
          <w:color w:val="auto"/>
          <w:sz w:val="18"/>
          <w:szCs w:val="18"/>
          <w:u w:color="474747"/>
          <w:lang w:val="en-US"/>
        </w:rPr>
        <w:t>new, long-term strategic investor</w:t>
      </w:r>
      <w:r w:rsidR="00B56A63" w:rsidRPr="0026122F">
        <w:rPr>
          <w:rStyle w:val="None"/>
          <w:rFonts w:eastAsia="Roboto" w:cs="Arial"/>
          <w:color w:val="auto"/>
          <w:sz w:val="18"/>
          <w:szCs w:val="18"/>
          <w:u w:color="474747"/>
          <w:lang w:val="en-US"/>
        </w:rPr>
        <w:t>s</w:t>
      </w:r>
      <w:r w:rsidR="00342BC7" w:rsidRPr="0026122F">
        <w:rPr>
          <w:rStyle w:val="None"/>
          <w:rFonts w:eastAsia="Roboto" w:cs="Arial"/>
          <w:color w:val="auto"/>
          <w:sz w:val="18"/>
          <w:szCs w:val="18"/>
          <w:u w:color="474747"/>
          <w:lang w:val="en-US"/>
        </w:rPr>
        <w:t xml:space="preserve"> </w:t>
      </w:r>
      <w:proofErr w:type="gramStart"/>
      <w:r w:rsidR="00342BC7" w:rsidRPr="0026122F">
        <w:rPr>
          <w:rStyle w:val="None"/>
          <w:rFonts w:eastAsia="Roboto" w:cs="Arial"/>
          <w:color w:val="auto"/>
          <w:sz w:val="18"/>
          <w:szCs w:val="18"/>
          <w:u w:color="474747"/>
          <w:lang w:val="en-US"/>
        </w:rPr>
        <w:t>provides</w:t>
      </w:r>
      <w:proofErr w:type="gramEnd"/>
      <w:r w:rsidR="00342BC7" w:rsidRPr="0026122F">
        <w:rPr>
          <w:rStyle w:val="None"/>
          <w:rFonts w:eastAsia="Roboto" w:cs="Arial"/>
          <w:color w:val="auto"/>
          <w:sz w:val="18"/>
          <w:szCs w:val="18"/>
          <w:u w:color="474747"/>
          <w:lang w:val="en-US"/>
        </w:rPr>
        <w:t xml:space="preserve"> </w:t>
      </w:r>
      <w:r w:rsidR="00B56A63" w:rsidRPr="0026122F">
        <w:rPr>
          <w:rStyle w:val="None"/>
          <w:rFonts w:eastAsia="Roboto" w:cs="Arial"/>
          <w:color w:val="auto"/>
          <w:sz w:val="18"/>
          <w:szCs w:val="18"/>
          <w:u w:color="474747"/>
          <w:lang w:val="en-US"/>
        </w:rPr>
        <w:t xml:space="preserve">us with </w:t>
      </w:r>
      <w:r w:rsidR="00C247E0" w:rsidRPr="0026122F">
        <w:rPr>
          <w:rStyle w:val="None"/>
          <w:rFonts w:eastAsia="Roboto" w:cs="Arial"/>
          <w:color w:val="auto"/>
          <w:sz w:val="18"/>
          <w:szCs w:val="18"/>
          <w:u w:color="474747"/>
          <w:lang w:val="en-US"/>
        </w:rPr>
        <w:t xml:space="preserve">the capital necessary </w:t>
      </w:r>
      <w:r w:rsidR="00971160">
        <w:rPr>
          <w:rStyle w:val="None"/>
          <w:rFonts w:eastAsia="Roboto" w:cs="Arial"/>
          <w:color w:val="auto"/>
          <w:sz w:val="18"/>
          <w:szCs w:val="18"/>
          <w:u w:color="474747"/>
          <w:lang w:val="en-US"/>
        </w:rPr>
        <w:t>to</w:t>
      </w:r>
      <w:r w:rsidR="00C247E0" w:rsidRPr="0026122F">
        <w:rPr>
          <w:rStyle w:val="None"/>
          <w:rFonts w:eastAsia="Roboto" w:cs="Arial"/>
          <w:color w:val="auto"/>
          <w:sz w:val="18"/>
          <w:szCs w:val="18"/>
          <w:u w:color="474747"/>
          <w:lang w:val="en-US"/>
        </w:rPr>
        <w:t xml:space="preserve"> continue our path to profitability amid high revenue growth. </w:t>
      </w:r>
      <w:r w:rsidR="00502866" w:rsidRPr="0026122F">
        <w:rPr>
          <w:rStyle w:val="None"/>
          <w:rFonts w:eastAsia="Roboto" w:cs="Arial"/>
          <w:color w:val="auto"/>
          <w:sz w:val="18"/>
          <w:szCs w:val="18"/>
          <w:u w:color="474747"/>
          <w:lang w:val="en-US"/>
        </w:rPr>
        <w:t xml:space="preserve">Our </w:t>
      </w:r>
      <w:r w:rsidR="008D75A8" w:rsidRPr="0026122F">
        <w:rPr>
          <w:rStyle w:val="None"/>
          <w:rFonts w:eastAsia="Roboto" w:cs="Arial"/>
          <w:color w:val="auto"/>
          <w:sz w:val="18"/>
          <w:szCs w:val="18"/>
          <w:u w:color="474747"/>
          <w:lang w:val="en-US"/>
        </w:rPr>
        <w:t xml:space="preserve">profitable </w:t>
      </w:r>
      <w:r w:rsidR="00502866" w:rsidRPr="0026122F">
        <w:rPr>
          <w:rStyle w:val="None"/>
          <w:rFonts w:eastAsia="Roboto" w:cs="Arial"/>
          <w:color w:val="auto"/>
          <w:sz w:val="18"/>
          <w:szCs w:val="18"/>
          <w:u w:color="474747"/>
          <w:lang w:val="en-US"/>
        </w:rPr>
        <w:t xml:space="preserve">digital media agencies </w:t>
      </w:r>
      <w:r w:rsidR="00B56A63" w:rsidRPr="0026122F">
        <w:rPr>
          <w:rStyle w:val="None"/>
          <w:rFonts w:eastAsia="Roboto" w:cs="Arial"/>
          <w:color w:val="auto"/>
          <w:sz w:val="18"/>
          <w:szCs w:val="18"/>
          <w:u w:color="474747"/>
          <w:lang w:val="en-US"/>
        </w:rPr>
        <w:t xml:space="preserve">are a </w:t>
      </w:r>
      <w:r w:rsidR="008D75A8" w:rsidRPr="0026122F">
        <w:rPr>
          <w:rStyle w:val="None"/>
          <w:rFonts w:eastAsia="Roboto" w:cs="Arial"/>
          <w:color w:val="auto"/>
          <w:sz w:val="18"/>
          <w:szCs w:val="18"/>
          <w:u w:color="474747"/>
          <w:lang w:val="en-US"/>
        </w:rPr>
        <w:t xml:space="preserve">foundation for sustainable long-term growth </w:t>
      </w:r>
      <w:r w:rsidR="00053B2E" w:rsidRPr="0026122F">
        <w:rPr>
          <w:rStyle w:val="None"/>
          <w:rFonts w:eastAsia="Roboto" w:cs="Arial"/>
          <w:color w:val="auto"/>
          <w:sz w:val="18"/>
          <w:szCs w:val="18"/>
          <w:u w:color="474747"/>
          <w:lang w:val="en-US"/>
        </w:rPr>
        <w:t>as we build a leading, monetizable content creation business to complement the world-class teams within Complexity Gaming.</w:t>
      </w:r>
      <w:r w:rsidR="00B56A63" w:rsidRPr="0026122F">
        <w:rPr>
          <w:rStyle w:val="None"/>
          <w:rFonts w:eastAsia="Roboto" w:cs="Arial"/>
          <w:color w:val="auto"/>
          <w:sz w:val="18"/>
          <w:szCs w:val="18"/>
          <w:u w:color="474747"/>
          <w:lang w:val="en-US"/>
        </w:rPr>
        <w:t xml:space="preserve"> With an audience of more than 220 million, we are well positioned to work with the largest brands in the world seeking to reach gaming and esports fans.</w:t>
      </w:r>
      <w:r w:rsidR="00053B2E" w:rsidRPr="0026122F">
        <w:rPr>
          <w:rStyle w:val="None"/>
          <w:rFonts w:eastAsia="Roboto" w:cs="Arial"/>
          <w:color w:val="auto"/>
          <w:sz w:val="18"/>
          <w:szCs w:val="18"/>
          <w:u w:color="474747"/>
          <w:lang w:val="en-US"/>
        </w:rPr>
        <w:t>”</w:t>
      </w:r>
    </w:p>
    <w:p w14:paraId="044445A1" w14:textId="4A2FE4E4" w:rsidR="00053B2E" w:rsidRPr="0026122F" w:rsidRDefault="00053B2E" w:rsidP="00E77DBE">
      <w:pPr>
        <w:pStyle w:val="Body"/>
        <w:shd w:val="clear" w:color="auto" w:fill="FFFFFF"/>
        <w:spacing w:line="240" w:lineRule="auto"/>
        <w:jc w:val="both"/>
        <w:rPr>
          <w:rStyle w:val="None"/>
          <w:rFonts w:eastAsia="Roboto" w:cs="Arial"/>
          <w:color w:val="auto"/>
          <w:sz w:val="18"/>
          <w:szCs w:val="18"/>
          <w:u w:color="474747"/>
          <w:lang w:val="en-US"/>
        </w:rPr>
      </w:pPr>
    </w:p>
    <w:p w14:paraId="01614F29" w14:textId="1CF51993" w:rsidR="00D55C8E" w:rsidRPr="0026122F" w:rsidRDefault="00053B2E" w:rsidP="00053B2E">
      <w:pPr>
        <w:shd w:val="clear" w:color="auto" w:fill="FFFFFF"/>
        <w:spacing w:after="300"/>
        <w:jc w:val="both"/>
        <w:rPr>
          <w:rFonts w:ascii="Arial" w:eastAsia="Arial" w:hAnsi="Arial" w:cs="Arial"/>
          <w:sz w:val="18"/>
          <w:szCs w:val="18"/>
        </w:rPr>
      </w:pPr>
      <w:r w:rsidRPr="0026122F">
        <w:rPr>
          <w:rFonts w:ascii="Arial" w:eastAsia="Arial" w:hAnsi="Arial" w:cs="Arial"/>
          <w:sz w:val="18"/>
          <w:szCs w:val="18"/>
        </w:rPr>
        <w:t xml:space="preserve">“Gamesquare </w:t>
      </w:r>
      <w:r w:rsidR="00DE365E" w:rsidRPr="0026122F">
        <w:rPr>
          <w:rFonts w:ascii="Arial" w:eastAsia="Arial" w:hAnsi="Arial" w:cs="Arial"/>
          <w:sz w:val="18"/>
          <w:szCs w:val="18"/>
        </w:rPr>
        <w:t xml:space="preserve">is </w:t>
      </w:r>
      <w:r w:rsidRPr="0026122F">
        <w:rPr>
          <w:rFonts w:ascii="Arial" w:eastAsia="Arial" w:hAnsi="Arial" w:cs="Arial"/>
          <w:sz w:val="18"/>
          <w:szCs w:val="18"/>
        </w:rPr>
        <w:t>execut</w:t>
      </w:r>
      <w:r w:rsidR="00DE365E" w:rsidRPr="0026122F">
        <w:rPr>
          <w:rFonts w:ascii="Arial" w:eastAsia="Arial" w:hAnsi="Arial" w:cs="Arial"/>
          <w:sz w:val="18"/>
          <w:szCs w:val="18"/>
        </w:rPr>
        <w:t>ing</w:t>
      </w:r>
      <w:r w:rsidRPr="0026122F">
        <w:rPr>
          <w:rFonts w:ascii="Arial" w:eastAsia="Arial" w:hAnsi="Arial" w:cs="Arial"/>
          <w:sz w:val="18"/>
          <w:szCs w:val="18"/>
        </w:rPr>
        <w:t xml:space="preserve"> </w:t>
      </w:r>
      <w:r w:rsidR="00DE365E" w:rsidRPr="0026122F">
        <w:rPr>
          <w:rFonts w:ascii="Arial" w:eastAsia="Arial" w:hAnsi="Arial" w:cs="Arial"/>
          <w:sz w:val="18"/>
          <w:szCs w:val="18"/>
        </w:rPr>
        <w:t>on all fronts. W</w:t>
      </w:r>
      <w:r w:rsidRPr="0026122F">
        <w:rPr>
          <w:rFonts w:ascii="Arial" w:eastAsia="Arial" w:hAnsi="Arial" w:cs="Arial"/>
          <w:sz w:val="18"/>
          <w:szCs w:val="18"/>
        </w:rPr>
        <w:t xml:space="preserve">e </w:t>
      </w:r>
      <w:r w:rsidR="00DE365E" w:rsidRPr="0026122F">
        <w:rPr>
          <w:rFonts w:ascii="Arial" w:eastAsia="Arial" w:hAnsi="Arial" w:cs="Arial"/>
          <w:sz w:val="18"/>
          <w:szCs w:val="18"/>
        </w:rPr>
        <w:t xml:space="preserve">are incredibly </w:t>
      </w:r>
      <w:r w:rsidRPr="0026122F">
        <w:rPr>
          <w:rFonts w:ascii="Arial" w:eastAsia="Arial" w:hAnsi="Arial" w:cs="Arial"/>
          <w:sz w:val="18"/>
          <w:szCs w:val="18"/>
        </w:rPr>
        <w:t xml:space="preserve">excited about </w:t>
      </w:r>
      <w:r w:rsidR="00DE365E" w:rsidRPr="0026122F">
        <w:rPr>
          <w:rFonts w:ascii="Arial" w:eastAsia="Arial" w:hAnsi="Arial" w:cs="Arial"/>
          <w:sz w:val="18"/>
          <w:szCs w:val="18"/>
        </w:rPr>
        <w:t xml:space="preserve">the future of esports and the role that </w:t>
      </w:r>
      <w:r w:rsidR="00B56A63" w:rsidRPr="0026122F">
        <w:rPr>
          <w:rFonts w:ascii="Arial" w:eastAsia="Arial" w:hAnsi="Arial" w:cs="Arial"/>
          <w:sz w:val="18"/>
          <w:szCs w:val="18"/>
        </w:rPr>
        <w:t>it</w:t>
      </w:r>
      <w:r w:rsidR="00DE365E" w:rsidRPr="0026122F">
        <w:rPr>
          <w:rFonts w:ascii="Arial" w:eastAsia="Arial" w:hAnsi="Arial" w:cs="Arial"/>
          <w:sz w:val="18"/>
          <w:szCs w:val="18"/>
        </w:rPr>
        <w:t xml:space="preserve"> has taken on to shape the industry</w:t>
      </w:r>
      <w:r w:rsidRPr="0026122F">
        <w:rPr>
          <w:rFonts w:ascii="Arial" w:eastAsia="Arial" w:hAnsi="Arial" w:cs="Arial"/>
          <w:sz w:val="18"/>
          <w:szCs w:val="18"/>
        </w:rPr>
        <w:t xml:space="preserve">. We </w:t>
      </w:r>
      <w:r w:rsidR="00DE365E" w:rsidRPr="0026122F">
        <w:rPr>
          <w:rFonts w:ascii="Arial" w:eastAsia="Arial" w:hAnsi="Arial" w:cs="Arial"/>
          <w:sz w:val="18"/>
          <w:szCs w:val="18"/>
        </w:rPr>
        <w:t xml:space="preserve">expect </w:t>
      </w:r>
      <w:r w:rsidRPr="0026122F">
        <w:rPr>
          <w:rFonts w:ascii="Arial" w:eastAsia="Arial" w:hAnsi="Arial" w:cs="Arial"/>
          <w:sz w:val="18"/>
          <w:szCs w:val="18"/>
        </w:rPr>
        <w:t xml:space="preserve">significant </w:t>
      </w:r>
      <w:r w:rsidR="00DE365E" w:rsidRPr="0026122F">
        <w:rPr>
          <w:rFonts w:ascii="Arial" w:eastAsia="Arial" w:hAnsi="Arial" w:cs="Arial"/>
          <w:sz w:val="18"/>
          <w:szCs w:val="18"/>
        </w:rPr>
        <w:t xml:space="preserve">revenue </w:t>
      </w:r>
      <w:r w:rsidRPr="0026122F">
        <w:rPr>
          <w:rFonts w:ascii="Arial" w:eastAsia="Arial" w:hAnsi="Arial" w:cs="Arial"/>
          <w:sz w:val="18"/>
          <w:szCs w:val="18"/>
        </w:rPr>
        <w:t xml:space="preserve">growth going forward and are thrilled to continue to support the Company and team during these exciting times,” said Travis Goff of Goff Capital, </w:t>
      </w:r>
      <w:proofErr w:type="gramStart"/>
      <w:r w:rsidRPr="0026122F">
        <w:rPr>
          <w:rFonts w:ascii="Arial" w:eastAsia="Arial" w:hAnsi="Arial" w:cs="Arial"/>
          <w:sz w:val="18"/>
          <w:szCs w:val="18"/>
        </w:rPr>
        <w:t>Inc.</w:t>
      </w:r>
      <w:proofErr w:type="gramEnd"/>
      <w:r w:rsidRPr="0026122F">
        <w:rPr>
          <w:rFonts w:ascii="Arial" w:eastAsia="Arial" w:hAnsi="Arial" w:cs="Arial"/>
          <w:sz w:val="18"/>
          <w:szCs w:val="18"/>
        </w:rPr>
        <w:t xml:space="preserve"> and a member of the board of directors of </w:t>
      </w:r>
      <w:r w:rsidR="00463EB2" w:rsidRPr="0026122F">
        <w:rPr>
          <w:rFonts w:ascii="Arial" w:eastAsia="Arial" w:hAnsi="Arial" w:cs="Arial"/>
          <w:sz w:val="18"/>
          <w:szCs w:val="18"/>
        </w:rPr>
        <w:t>Game</w:t>
      </w:r>
      <w:r w:rsidR="00463EB2">
        <w:rPr>
          <w:rFonts w:ascii="Arial" w:eastAsia="Arial" w:hAnsi="Arial" w:cs="Arial"/>
          <w:sz w:val="18"/>
          <w:szCs w:val="18"/>
        </w:rPr>
        <w:t>S</w:t>
      </w:r>
      <w:r w:rsidR="00463EB2" w:rsidRPr="0026122F">
        <w:rPr>
          <w:rFonts w:ascii="Arial" w:eastAsia="Arial" w:hAnsi="Arial" w:cs="Arial"/>
          <w:sz w:val="18"/>
          <w:szCs w:val="18"/>
        </w:rPr>
        <w:t>quare</w:t>
      </w:r>
      <w:r w:rsidRPr="0026122F">
        <w:rPr>
          <w:rFonts w:ascii="Arial" w:eastAsia="Arial" w:hAnsi="Arial" w:cs="Arial"/>
          <w:sz w:val="18"/>
          <w:szCs w:val="18"/>
        </w:rPr>
        <w:t>.</w:t>
      </w:r>
    </w:p>
    <w:p w14:paraId="2C59762F" w14:textId="6692DC07" w:rsidR="005576E5" w:rsidRPr="0026122F" w:rsidRDefault="005576E5" w:rsidP="00572C73">
      <w:pPr>
        <w:pStyle w:val="Body"/>
        <w:shd w:val="clear" w:color="auto" w:fill="FFFFFF"/>
        <w:spacing w:line="240" w:lineRule="auto"/>
        <w:jc w:val="both"/>
        <w:rPr>
          <w:rStyle w:val="None"/>
          <w:rFonts w:eastAsia="Roboto" w:cs="Arial"/>
          <w:color w:val="auto"/>
          <w:sz w:val="18"/>
          <w:szCs w:val="18"/>
          <w:u w:color="474747"/>
          <w:lang w:val="en-US"/>
        </w:rPr>
      </w:pPr>
      <w:r w:rsidRPr="0026122F">
        <w:rPr>
          <w:rFonts w:eastAsia="Roboto" w:cs="Arial"/>
          <w:color w:val="auto"/>
          <w:sz w:val="18"/>
          <w:szCs w:val="18"/>
          <w:u w:color="474747"/>
          <w:lang w:val="en-US"/>
        </w:rPr>
        <w:t xml:space="preserve">As highlighted in our recently published </w:t>
      </w:r>
      <w:hyperlink r:id="rId8" w:history="1">
        <w:r w:rsidRPr="0026122F">
          <w:rPr>
            <w:rStyle w:val="Hyperlink0"/>
            <w:rFonts w:ascii="Arial" w:hAnsi="Arial" w:cs="Arial"/>
            <w:color w:val="auto"/>
            <w:lang w:val="en-US"/>
          </w:rPr>
          <w:t>Letter to Shareholders</w:t>
        </w:r>
      </w:hyperlink>
      <w:r w:rsidRPr="0026122F">
        <w:rPr>
          <w:rStyle w:val="None"/>
          <w:rFonts w:eastAsia="Roboto" w:cs="Arial"/>
          <w:color w:val="auto"/>
          <w:sz w:val="18"/>
          <w:szCs w:val="18"/>
          <w:u w:color="474747"/>
          <w:lang w:val="en-US"/>
        </w:rPr>
        <w:t xml:space="preserve">, we pledged to bolster our shareholder base and today’s announcement is an important step toward achieving this commitment. </w:t>
      </w:r>
    </w:p>
    <w:p w14:paraId="2B0FE437" w14:textId="77777777" w:rsidR="00572C73" w:rsidRPr="0026122F" w:rsidRDefault="00572C73" w:rsidP="00572C73">
      <w:pPr>
        <w:pStyle w:val="Body"/>
        <w:shd w:val="clear" w:color="auto" w:fill="FFFFFF"/>
        <w:spacing w:line="240" w:lineRule="auto"/>
        <w:jc w:val="both"/>
        <w:rPr>
          <w:rFonts w:eastAsia="Roboto" w:cs="Arial"/>
          <w:color w:val="auto"/>
          <w:sz w:val="18"/>
          <w:szCs w:val="18"/>
          <w:u w:color="474747"/>
          <w:lang w:val="en-US"/>
        </w:rPr>
      </w:pPr>
    </w:p>
    <w:p w14:paraId="5DCC18DE" w14:textId="093AB5B4" w:rsidR="00865B06" w:rsidRPr="0026122F" w:rsidRDefault="003416B6" w:rsidP="00053B2E">
      <w:pPr>
        <w:shd w:val="clear" w:color="auto" w:fill="FFFFFF"/>
        <w:spacing w:after="300"/>
        <w:jc w:val="both"/>
        <w:rPr>
          <w:rFonts w:ascii="Arial" w:eastAsia="Arial" w:hAnsi="Arial" w:cs="Arial"/>
          <w:b/>
          <w:bCs/>
          <w:sz w:val="18"/>
          <w:szCs w:val="18"/>
        </w:rPr>
      </w:pPr>
      <w:r w:rsidRPr="0026122F">
        <w:rPr>
          <w:rFonts w:ascii="Arial" w:eastAsia="Arial" w:hAnsi="Arial" w:cs="Arial"/>
          <w:b/>
          <w:bCs/>
          <w:sz w:val="18"/>
          <w:szCs w:val="18"/>
        </w:rPr>
        <w:t>Details of the Offering</w:t>
      </w:r>
    </w:p>
    <w:p w14:paraId="42615BF6" w14:textId="0726ADAE" w:rsidR="00865B06" w:rsidRPr="00572C73" w:rsidRDefault="00E85E90" w:rsidP="00053B2E">
      <w:pPr>
        <w:shd w:val="clear" w:color="auto" w:fill="FFFFFF"/>
        <w:spacing w:after="300"/>
        <w:jc w:val="both"/>
        <w:rPr>
          <w:rFonts w:ascii="Arial" w:eastAsia="Arial" w:hAnsi="Arial" w:cs="Arial"/>
          <w:sz w:val="18"/>
          <w:szCs w:val="18"/>
        </w:rPr>
      </w:pPr>
      <w:r w:rsidRPr="0026122F">
        <w:rPr>
          <w:rFonts w:ascii="Arial" w:eastAsia="Arial" w:hAnsi="Arial" w:cs="Arial"/>
          <w:sz w:val="18"/>
          <w:szCs w:val="18"/>
        </w:rPr>
        <w:t xml:space="preserve">The Company has received, and accepted, irrevocable subscription agreements for </w:t>
      </w:r>
      <w:r w:rsidR="00537C10">
        <w:rPr>
          <w:rFonts w:ascii="Arial" w:eastAsia="Arial" w:hAnsi="Arial" w:cs="Arial"/>
          <w:sz w:val="18"/>
          <w:szCs w:val="18"/>
        </w:rPr>
        <w:t xml:space="preserve">an aggregate US$3.0 million to </w:t>
      </w:r>
      <w:r w:rsidRPr="0026122F">
        <w:rPr>
          <w:rFonts w:ascii="Arial" w:eastAsia="Arial" w:hAnsi="Arial" w:cs="Arial"/>
          <w:sz w:val="18"/>
          <w:szCs w:val="18"/>
        </w:rPr>
        <w:t>purchase common shares of the Company (the “</w:t>
      </w:r>
      <w:r w:rsidRPr="0026122F">
        <w:rPr>
          <w:rFonts w:ascii="Arial" w:eastAsia="Arial" w:hAnsi="Arial" w:cs="Arial"/>
          <w:b/>
          <w:bCs/>
          <w:sz w:val="18"/>
          <w:szCs w:val="18"/>
        </w:rPr>
        <w:t>Common Shares</w:t>
      </w:r>
      <w:r w:rsidRPr="0026122F">
        <w:rPr>
          <w:rFonts w:ascii="Arial" w:eastAsia="Arial" w:hAnsi="Arial" w:cs="Arial"/>
          <w:sz w:val="18"/>
          <w:szCs w:val="18"/>
        </w:rPr>
        <w:t xml:space="preserve">”) at a price of </w:t>
      </w:r>
      <w:r w:rsidR="00537C10">
        <w:rPr>
          <w:rFonts w:ascii="Arial" w:eastAsia="Arial" w:hAnsi="Arial" w:cs="Arial"/>
          <w:sz w:val="18"/>
          <w:szCs w:val="18"/>
        </w:rPr>
        <w:t>C</w:t>
      </w:r>
      <w:r w:rsidRPr="0026122F">
        <w:rPr>
          <w:rFonts w:ascii="Arial" w:eastAsia="Arial" w:hAnsi="Arial" w:cs="Arial"/>
          <w:sz w:val="18"/>
          <w:szCs w:val="18"/>
        </w:rPr>
        <w:t>$</w:t>
      </w:r>
      <w:r w:rsidR="00C006C3" w:rsidRPr="0026122F">
        <w:rPr>
          <w:rFonts w:ascii="Arial" w:eastAsia="Arial" w:hAnsi="Arial" w:cs="Arial"/>
          <w:sz w:val="18"/>
          <w:szCs w:val="18"/>
        </w:rPr>
        <w:t>0.14</w:t>
      </w:r>
      <w:r w:rsidRPr="0026122F">
        <w:rPr>
          <w:rFonts w:ascii="Arial" w:eastAsia="Arial" w:hAnsi="Arial" w:cs="Arial"/>
          <w:b/>
          <w:bCs/>
          <w:sz w:val="18"/>
          <w:szCs w:val="18"/>
        </w:rPr>
        <w:t xml:space="preserve"> </w:t>
      </w:r>
      <w:r w:rsidRPr="0026122F">
        <w:rPr>
          <w:rFonts w:ascii="Arial" w:eastAsia="Arial" w:hAnsi="Arial" w:cs="Arial"/>
          <w:sz w:val="18"/>
          <w:szCs w:val="18"/>
        </w:rPr>
        <w:t>per Common Share.</w:t>
      </w:r>
      <w:r w:rsidR="00537C10">
        <w:rPr>
          <w:rFonts w:ascii="Arial" w:eastAsia="Arial" w:hAnsi="Arial" w:cs="Arial"/>
          <w:sz w:val="18"/>
          <w:szCs w:val="18"/>
        </w:rPr>
        <w:t xml:space="preserve"> The subscription price will be paid in US dollars based on an agreed to Bank of Canada exchange rate.</w:t>
      </w:r>
      <w:r w:rsidRPr="0026122F">
        <w:rPr>
          <w:rFonts w:ascii="Arial" w:eastAsia="Arial" w:hAnsi="Arial" w:cs="Arial"/>
          <w:sz w:val="18"/>
          <w:szCs w:val="18"/>
        </w:rPr>
        <w:t xml:space="preserve"> The net proceeds of the Offering </w:t>
      </w:r>
      <w:r w:rsidR="005941A6" w:rsidRPr="0026122F">
        <w:rPr>
          <w:rFonts w:ascii="Arial" w:eastAsia="Arial" w:hAnsi="Arial" w:cs="Arial"/>
          <w:sz w:val="18"/>
          <w:szCs w:val="18"/>
        </w:rPr>
        <w:t xml:space="preserve">are to </w:t>
      </w:r>
      <w:r w:rsidRPr="0026122F">
        <w:rPr>
          <w:rFonts w:ascii="Arial" w:eastAsia="Arial" w:hAnsi="Arial" w:cs="Arial"/>
          <w:sz w:val="18"/>
          <w:szCs w:val="18"/>
        </w:rPr>
        <w:t xml:space="preserve">be used to advance the business of GameSquare and for general </w:t>
      </w:r>
      <w:r w:rsidR="00463EB2">
        <w:rPr>
          <w:rFonts w:ascii="Arial" w:eastAsia="Arial" w:hAnsi="Arial" w:cs="Arial"/>
          <w:sz w:val="18"/>
          <w:szCs w:val="18"/>
        </w:rPr>
        <w:t>corporate</w:t>
      </w:r>
      <w:r w:rsidR="00463EB2" w:rsidRPr="0026122F">
        <w:rPr>
          <w:rFonts w:ascii="Arial" w:eastAsia="Arial" w:hAnsi="Arial" w:cs="Arial"/>
          <w:sz w:val="18"/>
          <w:szCs w:val="18"/>
        </w:rPr>
        <w:t xml:space="preserve"> </w:t>
      </w:r>
      <w:r w:rsidRPr="0026122F">
        <w:rPr>
          <w:rFonts w:ascii="Arial" w:eastAsia="Arial" w:hAnsi="Arial" w:cs="Arial"/>
          <w:sz w:val="18"/>
          <w:szCs w:val="18"/>
        </w:rPr>
        <w:t xml:space="preserve">purposes. </w:t>
      </w:r>
      <w:proofErr w:type="gramStart"/>
      <w:r w:rsidR="00A4679E" w:rsidRPr="0026122F">
        <w:rPr>
          <w:rFonts w:ascii="Arial" w:eastAsia="Arial" w:hAnsi="Arial" w:cs="Arial"/>
          <w:sz w:val="18"/>
          <w:szCs w:val="18"/>
        </w:rPr>
        <w:t>All of</w:t>
      </w:r>
      <w:proofErr w:type="gramEnd"/>
      <w:r w:rsidR="00A4679E" w:rsidRPr="0026122F">
        <w:rPr>
          <w:rFonts w:ascii="Arial" w:eastAsia="Arial" w:hAnsi="Arial" w:cs="Arial"/>
          <w:sz w:val="18"/>
          <w:szCs w:val="18"/>
        </w:rPr>
        <w:t xml:space="preserve"> the Common Shares </w:t>
      </w:r>
      <w:r w:rsidR="005941A6" w:rsidRPr="0026122F">
        <w:rPr>
          <w:rFonts w:ascii="Arial" w:eastAsia="Arial" w:hAnsi="Arial" w:cs="Arial"/>
          <w:sz w:val="18"/>
          <w:szCs w:val="18"/>
        </w:rPr>
        <w:t xml:space="preserve">to be issued </w:t>
      </w:r>
      <w:r w:rsidR="00A4679E" w:rsidRPr="0026122F">
        <w:rPr>
          <w:rFonts w:ascii="Arial" w:eastAsia="Arial" w:hAnsi="Arial" w:cs="Arial"/>
          <w:sz w:val="18"/>
          <w:szCs w:val="18"/>
        </w:rPr>
        <w:t xml:space="preserve">under the Offering will be subject to a hold period expiring four months and one day after the date of issuance. </w:t>
      </w:r>
      <w:r w:rsidRPr="0026122F">
        <w:rPr>
          <w:rFonts w:ascii="Arial" w:eastAsia="Arial" w:hAnsi="Arial" w:cs="Arial"/>
          <w:sz w:val="18"/>
          <w:szCs w:val="18"/>
        </w:rPr>
        <w:t>The completion of the Offering</w:t>
      </w:r>
      <w:r w:rsidRPr="00572C73">
        <w:rPr>
          <w:rFonts w:ascii="Arial" w:eastAsia="Arial" w:hAnsi="Arial" w:cs="Arial"/>
          <w:sz w:val="18"/>
          <w:szCs w:val="18"/>
        </w:rPr>
        <w:t xml:space="preserve"> is conditional upon </w:t>
      </w:r>
      <w:r w:rsidR="00463EB2">
        <w:rPr>
          <w:rFonts w:ascii="Arial" w:eastAsia="Arial" w:hAnsi="Arial" w:cs="Arial"/>
          <w:sz w:val="18"/>
          <w:szCs w:val="18"/>
        </w:rPr>
        <w:t>customary</w:t>
      </w:r>
      <w:r w:rsidR="00463EB2" w:rsidRPr="00572C73">
        <w:rPr>
          <w:rFonts w:ascii="Arial" w:eastAsia="Arial" w:hAnsi="Arial" w:cs="Arial"/>
          <w:sz w:val="18"/>
          <w:szCs w:val="18"/>
        </w:rPr>
        <w:t xml:space="preserve"> </w:t>
      </w:r>
      <w:r w:rsidRPr="00572C73">
        <w:rPr>
          <w:rFonts w:ascii="Arial" w:eastAsia="Arial" w:hAnsi="Arial" w:cs="Arial"/>
          <w:sz w:val="18"/>
          <w:szCs w:val="18"/>
        </w:rPr>
        <w:t xml:space="preserve">closing conditions. </w:t>
      </w:r>
    </w:p>
    <w:p w14:paraId="2BAC2972" w14:textId="4DF9D4F4" w:rsidR="00C5620E" w:rsidRPr="00572C73" w:rsidRDefault="0078056A" w:rsidP="00053B2E">
      <w:pPr>
        <w:shd w:val="clear" w:color="auto" w:fill="FFFFFF"/>
        <w:spacing w:after="300"/>
        <w:jc w:val="both"/>
        <w:rPr>
          <w:rFonts w:ascii="Arial" w:eastAsia="Arial" w:hAnsi="Arial" w:cs="Arial"/>
          <w:sz w:val="18"/>
          <w:szCs w:val="18"/>
        </w:rPr>
      </w:pPr>
      <w:r w:rsidRPr="00572C73">
        <w:rPr>
          <w:rFonts w:ascii="Arial" w:eastAsia="Arial" w:hAnsi="Arial" w:cs="Arial"/>
          <w:sz w:val="18"/>
          <w:szCs w:val="18"/>
        </w:rPr>
        <w:t xml:space="preserve">Insiders of the Company subscribed for a total of </w:t>
      </w:r>
      <w:r w:rsidR="00537C10">
        <w:rPr>
          <w:rFonts w:ascii="Arial" w:eastAsia="Arial" w:hAnsi="Arial" w:cs="Arial"/>
          <w:sz w:val="18"/>
          <w:szCs w:val="18"/>
        </w:rPr>
        <w:t>US$</w:t>
      </w:r>
      <w:r w:rsidR="008E2D99" w:rsidRPr="008E2D99">
        <w:rPr>
          <w:rFonts w:ascii="Arial" w:eastAsia="Arial" w:hAnsi="Arial" w:cs="Arial"/>
          <w:sz w:val="18"/>
          <w:szCs w:val="18"/>
        </w:rPr>
        <w:t>2.0</w:t>
      </w:r>
      <w:r w:rsidRPr="00572C73">
        <w:rPr>
          <w:rFonts w:ascii="Arial" w:eastAsia="Arial" w:hAnsi="Arial" w:cs="Arial"/>
          <w:b/>
          <w:bCs/>
          <w:sz w:val="18"/>
          <w:szCs w:val="18"/>
        </w:rPr>
        <w:t xml:space="preserve"> </w:t>
      </w:r>
      <w:r w:rsidRPr="00572C73">
        <w:rPr>
          <w:rFonts w:ascii="Arial" w:eastAsia="Arial" w:hAnsi="Arial" w:cs="Arial"/>
          <w:sz w:val="18"/>
          <w:szCs w:val="18"/>
        </w:rPr>
        <w:t xml:space="preserve">under the Offering. Participation by insiders </w:t>
      </w:r>
      <w:r w:rsidR="00C006C3">
        <w:rPr>
          <w:rFonts w:ascii="Arial" w:eastAsia="Arial" w:hAnsi="Arial" w:cs="Arial"/>
          <w:sz w:val="18"/>
          <w:szCs w:val="18"/>
        </w:rPr>
        <w:t>in the Offering would constitute a “</w:t>
      </w:r>
      <w:r w:rsidRPr="00572C73">
        <w:rPr>
          <w:rFonts w:ascii="Arial" w:eastAsia="Arial" w:hAnsi="Arial" w:cs="Arial"/>
          <w:sz w:val="18"/>
          <w:szCs w:val="18"/>
        </w:rPr>
        <w:t>related party transaction</w:t>
      </w:r>
      <w:r w:rsidR="00C006C3">
        <w:rPr>
          <w:rFonts w:ascii="Arial" w:eastAsia="Arial" w:hAnsi="Arial" w:cs="Arial"/>
          <w:sz w:val="18"/>
          <w:szCs w:val="18"/>
        </w:rPr>
        <w:t>”</w:t>
      </w:r>
      <w:r w:rsidRPr="00572C73">
        <w:rPr>
          <w:rFonts w:ascii="Arial" w:eastAsia="Arial" w:hAnsi="Arial" w:cs="Arial"/>
          <w:sz w:val="18"/>
          <w:szCs w:val="18"/>
        </w:rPr>
        <w:t xml:space="preserve"> as defined under </w:t>
      </w:r>
      <w:bookmarkStart w:id="0" w:name="_Hlk99720069"/>
      <w:r w:rsidR="0031332F" w:rsidRPr="00572C73">
        <w:rPr>
          <w:rFonts w:ascii="Arial" w:eastAsia="Arial" w:hAnsi="Arial" w:cs="Arial"/>
          <w:sz w:val="18"/>
          <w:szCs w:val="18"/>
        </w:rPr>
        <w:t>M</w:t>
      </w:r>
      <w:r w:rsidR="00C006C3">
        <w:rPr>
          <w:rFonts w:ascii="Arial" w:eastAsia="Arial" w:hAnsi="Arial" w:cs="Arial"/>
          <w:sz w:val="18"/>
          <w:szCs w:val="18"/>
        </w:rPr>
        <w:t xml:space="preserve">ultilateral Instrument </w:t>
      </w:r>
      <w:r w:rsidRPr="00572C73">
        <w:rPr>
          <w:rFonts w:ascii="Arial" w:hAnsi="Arial" w:cs="Arial"/>
          <w:sz w:val="18"/>
          <w:szCs w:val="18"/>
        </w:rPr>
        <w:t>61-101</w:t>
      </w:r>
      <w:bookmarkEnd w:id="0"/>
      <w:r w:rsidR="00C006C3">
        <w:rPr>
          <w:rFonts w:ascii="Arial" w:hAnsi="Arial" w:cs="Arial"/>
          <w:sz w:val="18"/>
          <w:szCs w:val="18"/>
        </w:rPr>
        <w:t xml:space="preserve"> – </w:t>
      </w:r>
      <w:r w:rsidR="00C006C3">
        <w:rPr>
          <w:rFonts w:ascii="Arial" w:hAnsi="Arial" w:cs="Arial"/>
          <w:i/>
          <w:iCs/>
          <w:sz w:val="18"/>
          <w:szCs w:val="18"/>
        </w:rPr>
        <w:t xml:space="preserve">Protection of Minority Security Holders in Special Transactions </w:t>
      </w:r>
      <w:r w:rsidR="00C006C3">
        <w:rPr>
          <w:rFonts w:ascii="Arial" w:hAnsi="Arial" w:cs="Arial"/>
          <w:sz w:val="18"/>
          <w:szCs w:val="18"/>
        </w:rPr>
        <w:t>(“</w:t>
      </w:r>
      <w:r w:rsidR="00C006C3">
        <w:rPr>
          <w:rFonts w:ascii="Arial" w:hAnsi="Arial" w:cs="Arial"/>
          <w:b/>
          <w:bCs/>
          <w:sz w:val="18"/>
          <w:szCs w:val="18"/>
        </w:rPr>
        <w:t>MI 61-101</w:t>
      </w:r>
      <w:r w:rsidR="00C006C3">
        <w:rPr>
          <w:rFonts w:ascii="Arial" w:hAnsi="Arial" w:cs="Arial"/>
          <w:sz w:val="18"/>
          <w:szCs w:val="18"/>
        </w:rPr>
        <w:t xml:space="preserve">”); however, the participation </w:t>
      </w:r>
      <w:r w:rsidR="00463EB2">
        <w:rPr>
          <w:rFonts w:ascii="Arial" w:hAnsi="Arial" w:cs="Arial"/>
          <w:sz w:val="18"/>
          <w:szCs w:val="18"/>
        </w:rPr>
        <w:t>of such insiders is</w:t>
      </w:r>
      <w:r w:rsidR="00C006C3">
        <w:rPr>
          <w:rFonts w:ascii="Arial" w:hAnsi="Arial" w:cs="Arial"/>
          <w:sz w:val="18"/>
          <w:szCs w:val="18"/>
        </w:rPr>
        <w:t xml:space="preserve"> exempt from the formal valuation and minority shareholder approval requirements of MI 61-101 as </w:t>
      </w:r>
      <w:r w:rsidR="00463EB2">
        <w:rPr>
          <w:rFonts w:ascii="Arial" w:hAnsi="Arial" w:cs="Arial"/>
          <w:sz w:val="18"/>
          <w:szCs w:val="18"/>
        </w:rPr>
        <w:t xml:space="preserve">neither </w:t>
      </w:r>
      <w:r w:rsidR="00C006C3">
        <w:rPr>
          <w:rFonts w:ascii="Arial" w:hAnsi="Arial" w:cs="Arial"/>
          <w:sz w:val="18"/>
          <w:szCs w:val="18"/>
        </w:rPr>
        <w:t xml:space="preserve">the fair market value of the Common Shares subscribed for by the insiders, nor the consideration for the Common Shares to be paid by such insiders, would exceed 25% of the Company’s market capitalization. </w:t>
      </w:r>
    </w:p>
    <w:p w14:paraId="06D69664" w14:textId="1FE83464" w:rsidR="005576E5" w:rsidRPr="00572C73" w:rsidRDefault="005576E5" w:rsidP="005576E5">
      <w:pPr>
        <w:shd w:val="clear" w:color="auto" w:fill="FFFFFF"/>
        <w:spacing w:after="300"/>
        <w:jc w:val="both"/>
        <w:rPr>
          <w:rFonts w:ascii="Arial" w:eastAsia="Arial" w:hAnsi="Arial" w:cs="Arial"/>
          <w:sz w:val="18"/>
          <w:szCs w:val="18"/>
        </w:rPr>
      </w:pPr>
      <w:r w:rsidRPr="00572C73">
        <w:rPr>
          <w:rFonts w:ascii="Arial" w:eastAsia="Arial" w:hAnsi="Arial" w:cs="Arial"/>
          <w:sz w:val="18"/>
          <w:szCs w:val="18"/>
        </w:rPr>
        <w:t>The Common Shares offered under the Offering have not been</w:t>
      </w:r>
      <w:r w:rsidR="00572C73" w:rsidRPr="00572C73">
        <w:rPr>
          <w:rFonts w:ascii="Arial" w:eastAsia="Arial" w:hAnsi="Arial" w:cs="Arial"/>
          <w:sz w:val="18"/>
          <w:szCs w:val="18"/>
        </w:rPr>
        <w:t xml:space="preserve"> registered under the U.S. Securities Act of 1933 (the “</w:t>
      </w:r>
      <w:r w:rsidR="00572C73" w:rsidRPr="00572C73">
        <w:rPr>
          <w:rFonts w:ascii="Arial" w:eastAsia="Arial" w:hAnsi="Arial" w:cs="Arial"/>
          <w:b/>
          <w:bCs/>
          <w:sz w:val="18"/>
          <w:szCs w:val="18"/>
        </w:rPr>
        <w:t>U.S. Securities Act</w:t>
      </w:r>
      <w:r w:rsidR="00572C73" w:rsidRPr="00572C73">
        <w:rPr>
          <w:rFonts w:ascii="Arial" w:eastAsia="Arial" w:hAnsi="Arial" w:cs="Arial"/>
          <w:sz w:val="18"/>
          <w:szCs w:val="18"/>
        </w:rPr>
        <w:t xml:space="preserve">”), as amended, and the Common Shares issuable under the Offering may not be offered or sold in the United States, absent </w:t>
      </w:r>
      <w:proofErr w:type="gramStart"/>
      <w:r w:rsidR="00572C73" w:rsidRPr="00572C73">
        <w:rPr>
          <w:rFonts w:ascii="Arial" w:eastAsia="Arial" w:hAnsi="Arial" w:cs="Arial"/>
          <w:sz w:val="18"/>
          <w:szCs w:val="18"/>
        </w:rPr>
        <w:t>registration</w:t>
      </w:r>
      <w:proofErr w:type="gramEnd"/>
      <w:r w:rsidR="00572C73" w:rsidRPr="00572C73">
        <w:rPr>
          <w:rFonts w:ascii="Arial" w:eastAsia="Arial" w:hAnsi="Arial" w:cs="Arial"/>
          <w:sz w:val="18"/>
          <w:szCs w:val="18"/>
        </w:rPr>
        <w:t xml:space="preserve"> or an applicable exemption from registration. This press release shall not constitute an offer to sell or the solicitation of an offer to b</w:t>
      </w:r>
      <w:r w:rsidR="00746DAC">
        <w:rPr>
          <w:rFonts w:ascii="Arial" w:eastAsia="Arial" w:hAnsi="Arial" w:cs="Arial"/>
          <w:sz w:val="18"/>
          <w:szCs w:val="18"/>
        </w:rPr>
        <w:t>u</w:t>
      </w:r>
      <w:r w:rsidR="00572C73" w:rsidRPr="00572C73">
        <w:rPr>
          <w:rFonts w:ascii="Arial" w:eastAsia="Arial" w:hAnsi="Arial" w:cs="Arial"/>
          <w:sz w:val="18"/>
          <w:szCs w:val="18"/>
        </w:rPr>
        <w:t xml:space="preserve">y the Common Shares. The offering or sale of the Common Shares shall not be made in any jurisdiction in which such offer, solicitation or sale would be unlawful. </w:t>
      </w:r>
    </w:p>
    <w:p w14:paraId="1959030C" w14:textId="77777777" w:rsidR="005576E5" w:rsidRDefault="005576E5" w:rsidP="00053B2E">
      <w:pPr>
        <w:shd w:val="clear" w:color="auto" w:fill="FFFFFF"/>
        <w:spacing w:after="300"/>
        <w:jc w:val="both"/>
        <w:rPr>
          <w:rFonts w:ascii="Arial" w:eastAsia="Arial" w:hAnsi="Arial" w:cs="Arial"/>
          <w:b/>
          <w:bCs/>
          <w:color w:val="474747"/>
          <w:sz w:val="18"/>
          <w:szCs w:val="18"/>
        </w:rPr>
      </w:pPr>
    </w:p>
    <w:p w14:paraId="0D2686BA" w14:textId="77777777" w:rsidR="00D55C8E" w:rsidRDefault="003B66A5">
      <w:pPr>
        <w:pStyle w:val="Body"/>
        <w:shd w:val="clear" w:color="auto" w:fill="FFFFFF"/>
        <w:spacing w:line="240" w:lineRule="auto"/>
        <w:jc w:val="both"/>
        <w:rPr>
          <w:rStyle w:val="None"/>
          <w:rFonts w:ascii="Roboto" w:eastAsia="Roboto" w:hAnsi="Roboto" w:cs="Roboto"/>
          <w:sz w:val="24"/>
          <w:szCs w:val="24"/>
        </w:rPr>
      </w:pPr>
      <w:r>
        <w:rPr>
          <w:rStyle w:val="None"/>
          <w:rFonts w:ascii="Roboto" w:eastAsia="Roboto" w:hAnsi="Roboto" w:cs="Roboto"/>
          <w:b/>
          <w:bCs/>
          <w:color w:val="474747"/>
          <w:sz w:val="18"/>
          <w:szCs w:val="18"/>
          <w:u w:color="474747"/>
          <w:lang w:val="en-US"/>
        </w:rPr>
        <w:lastRenderedPageBreak/>
        <w:t>About GameSquare Esports Inc.</w:t>
      </w:r>
    </w:p>
    <w:p w14:paraId="1A0B5535" w14:textId="1CFE8BA3" w:rsidR="00D55C8E" w:rsidRDefault="003B66A5">
      <w:pPr>
        <w:pStyle w:val="Body"/>
        <w:shd w:val="clear" w:color="auto" w:fill="FFFFFF"/>
        <w:spacing w:line="240" w:lineRule="auto"/>
        <w:jc w:val="both"/>
        <w:rPr>
          <w:rStyle w:val="None"/>
          <w:rFonts w:ascii="Roboto" w:eastAsia="Roboto" w:hAnsi="Roboto" w:cs="Roboto"/>
          <w:color w:val="474747"/>
          <w:sz w:val="18"/>
          <w:szCs w:val="18"/>
          <w:u w:color="474747"/>
        </w:rPr>
      </w:pPr>
      <w:r>
        <w:rPr>
          <w:rStyle w:val="None"/>
          <w:rFonts w:ascii="Roboto" w:eastAsia="Roboto" w:hAnsi="Roboto" w:cs="Roboto"/>
          <w:color w:val="474747"/>
          <w:sz w:val="18"/>
          <w:szCs w:val="18"/>
          <w:u w:color="474747"/>
          <w:lang w:val="en-US"/>
        </w:rPr>
        <w:t xml:space="preserve">GameSquare Esports Inc. is an international gaming and esports company headquartered in Toronto, Canada. The Company is seeking to acquire additional assets and entities serving the gaming and esports markets and, more broadly, in sports and entertainment. GameSquare owns a portfolio of companies including Code Red Esports Ltd., an esports talent agency serving the UK, </w:t>
      </w:r>
      <w:r w:rsidR="00CF4F85">
        <w:rPr>
          <w:rStyle w:val="None"/>
          <w:rFonts w:ascii="Roboto" w:eastAsia="Roboto" w:hAnsi="Roboto" w:cs="Roboto"/>
          <w:color w:val="474747"/>
          <w:sz w:val="18"/>
          <w:szCs w:val="18"/>
          <w:u w:color="474747"/>
          <w:lang w:val="en-US"/>
        </w:rPr>
        <w:t>GCN, a digital media company focusing on the gaming and esports audience based in Los Angeles, USA.</w:t>
      </w:r>
      <w:r>
        <w:rPr>
          <w:rStyle w:val="None"/>
          <w:rFonts w:ascii="Roboto" w:eastAsia="Roboto" w:hAnsi="Roboto" w:cs="Roboto"/>
          <w:color w:val="474747"/>
          <w:sz w:val="18"/>
          <w:szCs w:val="18"/>
          <w:u w:color="474747"/>
          <w:lang w:val="en-US"/>
        </w:rPr>
        <w:t xml:space="preserve">, NextGen Tech, LLC (dba as Complexity Gaming), a leading esports organization operating in the United States, and Swingman LLC (dba </w:t>
      </w:r>
      <w:proofErr w:type="spellStart"/>
      <w:r>
        <w:rPr>
          <w:rStyle w:val="None"/>
          <w:rFonts w:ascii="Roboto" w:eastAsia="Roboto" w:hAnsi="Roboto" w:cs="Roboto"/>
          <w:color w:val="474747"/>
          <w:sz w:val="18"/>
          <w:szCs w:val="18"/>
          <w:u w:color="474747"/>
          <w:lang w:val="en-US"/>
        </w:rPr>
        <w:t>Cut+Sew</w:t>
      </w:r>
      <w:proofErr w:type="spellEnd"/>
      <w:r>
        <w:rPr>
          <w:rStyle w:val="None"/>
          <w:rFonts w:ascii="Roboto" w:eastAsia="Roboto" w:hAnsi="Roboto" w:cs="Roboto"/>
          <w:color w:val="474747"/>
          <w:sz w:val="18"/>
          <w:szCs w:val="18"/>
          <w:u w:color="474747"/>
          <w:lang w:val="en-US"/>
        </w:rPr>
        <w:t xml:space="preserve"> and Zoned), a gaming and lifestyle marketing agency based in Los Angeles, USA.</w:t>
      </w:r>
    </w:p>
    <w:p w14:paraId="3FD083BF" w14:textId="77777777" w:rsidR="00D55C8E" w:rsidRDefault="00D55C8E">
      <w:pPr>
        <w:pStyle w:val="Body"/>
        <w:shd w:val="clear" w:color="auto" w:fill="FFFFFF"/>
        <w:spacing w:line="240" w:lineRule="auto"/>
        <w:jc w:val="both"/>
        <w:rPr>
          <w:rStyle w:val="None"/>
          <w:rFonts w:ascii="Roboto" w:eastAsia="Roboto" w:hAnsi="Roboto" w:cs="Roboto"/>
          <w:sz w:val="24"/>
          <w:szCs w:val="24"/>
        </w:rPr>
      </w:pPr>
    </w:p>
    <w:p w14:paraId="78D727EC" w14:textId="77777777" w:rsidR="00D55C8E" w:rsidRDefault="003B66A5">
      <w:pPr>
        <w:pStyle w:val="Body"/>
        <w:shd w:val="clear" w:color="auto" w:fill="FFFFFF"/>
        <w:spacing w:line="240" w:lineRule="auto"/>
        <w:jc w:val="both"/>
        <w:rPr>
          <w:rStyle w:val="None"/>
          <w:rFonts w:ascii="Roboto" w:eastAsia="Roboto" w:hAnsi="Roboto" w:cs="Roboto"/>
          <w:color w:val="474747"/>
          <w:sz w:val="24"/>
          <w:szCs w:val="24"/>
          <w:u w:color="474747"/>
        </w:rPr>
      </w:pPr>
      <w:r>
        <w:rPr>
          <w:rStyle w:val="None"/>
          <w:rFonts w:ascii="Roboto" w:eastAsia="Roboto" w:hAnsi="Roboto" w:cs="Roboto"/>
          <w:b/>
          <w:bCs/>
          <w:color w:val="474747"/>
          <w:sz w:val="18"/>
          <w:szCs w:val="18"/>
          <w:u w:color="474747"/>
          <w:lang w:val="en-US"/>
        </w:rPr>
        <w:t>Investor Relations</w:t>
      </w:r>
    </w:p>
    <w:p w14:paraId="71237BF9" w14:textId="77777777" w:rsidR="00D55C8E" w:rsidRDefault="003B66A5">
      <w:pPr>
        <w:pStyle w:val="Body"/>
        <w:shd w:val="clear" w:color="auto" w:fill="FFFFFF"/>
        <w:spacing w:line="240" w:lineRule="auto"/>
        <w:jc w:val="both"/>
        <w:rPr>
          <w:rStyle w:val="None"/>
          <w:rFonts w:ascii="Roboto" w:eastAsia="Roboto" w:hAnsi="Roboto" w:cs="Roboto"/>
          <w:color w:val="474747"/>
          <w:sz w:val="24"/>
          <w:szCs w:val="24"/>
          <w:u w:color="474747"/>
        </w:rPr>
      </w:pPr>
      <w:r>
        <w:rPr>
          <w:rStyle w:val="None"/>
          <w:rFonts w:ascii="Roboto" w:eastAsia="Roboto" w:hAnsi="Roboto" w:cs="Roboto"/>
          <w:color w:val="474747"/>
          <w:sz w:val="18"/>
          <w:szCs w:val="18"/>
          <w:u w:color="474747"/>
          <w:lang w:val="en-US"/>
        </w:rPr>
        <w:t>For further information, please contact Nikhil Thadani, Investor Relations for GameSquare Esports Inc.: </w:t>
      </w:r>
    </w:p>
    <w:p w14:paraId="78A982A5" w14:textId="77777777" w:rsidR="005C2A7B" w:rsidRDefault="005C2A7B">
      <w:pPr>
        <w:pStyle w:val="Body"/>
        <w:spacing w:line="240" w:lineRule="auto"/>
        <w:rPr>
          <w:rStyle w:val="None"/>
          <w:rFonts w:ascii="Roboto" w:eastAsia="Roboto" w:hAnsi="Roboto" w:cs="Roboto"/>
          <w:color w:val="474747"/>
          <w:sz w:val="18"/>
          <w:szCs w:val="18"/>
          <w:u w:color="474747"/>
          <w:lang w:val="en-US"/>
        </w:rPr>
      </w:pPr>
    </w:p>
    <w:p w14:paraId="7957E761" w14:textId="3BCB1320" w:rsidR="00D55C8E" w:rsidRDefault="003B66A5">
      <w:pPr>
        <w:pStyle w:val="Body"/>
        <w:spacing w:line="240" w:lineRule="auto"/>
        <w:rPr>
          <w:rStyle w:val="None"/>
          <w:rFonts w:ascii="Roboto" w:eastAsia="Roboto" w:hAnsi="Roboto" w:cs="Roboto"/>
          <w:color w:val="474747"/>
          <w:sz w:val="24"/>
          <w:szCs w:val="24"/>
          <w:u w:color="474747"/>
        </w:rPr>
      </w:pPr>
      <w:r>
        <w:rPr>
          <w:rStyle w:val="None"/>
          <w:rFonts w:ascii="Roboto" w:eastAsia="Roboto" w:hAnsi="Roboto" w:cs="Roboto"/>
          <w:color w:val="474747"/>
          <w:sz w:val="18"/>
          <w:szCs w:val="18"/>
          <w:u w:color="474747"/>
          <w:lang w:val="en-US"/>
        </w:rPr>
        <w:t xml:space="preserve">Kevin Wright, </w:t>
      </w:r>
      <w:proofErr w:type="gramStart"/>
      <w:r>
        <w:rPr>
          <w:rStyle w:val="None"/>
          <w:rFonts w:ascii="Roboto" w:eastAsia="Roboto" w:hAnsi="Roboto" w:cs="Roboto"/>
          <w:color w:val="474747"/>
          <w:sz w:val="18"/>
          <w:szCs w:val="18"/>
          <w:u w:color="474747"/>
          <w:lang w:val="en-US"/>
        </w:rPr>
        <w:t>President</w:t>
      </w:r>
      <w:proofErr w:type="gramEnd"/>
      <w:r>
        <w:rPr>
          <w:rStyle w:val="None"/>
          <w:rFonts w:ascii="Roboto" w:eastAsia="Roboto" w:hAnsi="Roboto" w:cs="Roboto"/>
          <w:color w:val="474747"/>
          <w:sz w:val="18"/>
          <w:szCs w:val="18"/>
          <w:u w:color="474747"/>
          <w:lang w:val="en-US"/>
        </w:rPr>
        <w:t xml:space="preserve"> and Chairman</w:t>
      </w:r>
    </w:p>
    <w:p w14:paraId="3C54720B" w14:textId="77777777" w:rsidR="00D55C8E" w:rsidRDefault="003B66A5">
      <w:pPr>
        <w:pStyle w:val="Body"/>
        <w:spacing w:line="240" w:lineRule="auto"/>
        <w:rPr>
          <w:rStyle w:val="None"/>
          <w:rFonts w:ascii="Roboto" w:eastAsia="Roboto" w:hAnsi="Roboto" w:cs="Roboto"/>
          <w:color w:val="474747"/>
          <w:sz w:val="24"/>
          <w:szCs w:val="24"/>
          <w:u w:color="474747"/>
        </w:rPr>
      </w:pPr>
      <w:r>
        <w:rPr>
          <w:rStyle w:val="None"/>
          <w:rFonts w:ascii="Roboto" w:eastAsia="Roboto" w:hAnsi="Roboto" w:cs="Roboto"/>
          <w:color w:val="474747"/>
          <w:sz w:val="18"/>
          <w:szCs w:val="18"/>
          <w:u w:color="474747"/>
          <w:lang w:val="it-IT"/>
        </w:rPr>
        <w:t>Phone: (647) 670-2500</w:t>
      </w:r>
    </w:p>
    <w:p w14:paraId="0EA7E8F0" w14:textId="77777777" w:rsidR="00D55C8E" w:rsidRDefault="00D55C8E">
      <w:pPr>
        <w:pStyle w:val="Body"/>
        <w:spacing w:line="240" w:lineRule="auto"/>
        <w:rPr>
          <w:rStyle w:val="None"/>
          <w:rFonts w:ascii="Roboto" w:eastAsia="Roboto" w:hAnsi="Roboto" w:cs="Roboto"/>
          <w:color w:val="474747"/>
          <w:sz w:val="24"/>
          <w:szCs w:val="24"/>
          <w:u w:color="474747"/>
        </w:rPr>
      </w:pPr>
    </w:p>
    <w:p w14:paraId="5AA009F7" w14:textId="77777777" w:rsidR="00D55C8E" w:rsidRDefault="003B66A5">
      <w:pPr>
        <w:pStyle w:val="Body"/>
        <w:spacing w:line="240" w:lineRule="auto"/>
        <w:rPr>
          <w:rStyle w:val="None"/>
          <w:rFonts w:ascii="Roboto" w:eastAsia="Roboto" w:hAnsi="Roboto" w:cs="Roboto"/>
          <w:color w:val="474747"/>
          <w:sz w:val="24"/>
          <w:szCs w:val="24"/>
          <w:u w:color="474747"/>
        </w:rPr>
      </w:pPr>
      <w:r>
        <w:rPr>
          <w:rStyle w:val="None"/>
          <w:rFonts w:ascii="Roboto" w:eastAsia="Roboto" w:hAnsi="Roboto" w:cs="Roboto"/>
          <w:color w:val="474747"/>
          <w:sz w:val="18"/>
          <w:szCs w:val="18"/>
          <w:u w:color="474747"/>
          <w:lang w:val="it-IT"/>
        </w:rPr>
        <w:t>Nikhil Thadani</w:t>
      </w:r>
    </w:p>
    <w:p w14:paraId="48AB2D36" w14:textId="77777777" w:rsidR="00D55C8E" w:rsidRDefault="003B66A5">
      <w:pPr>
        <w:pStyle w:val="Body"/>
        <w:spacing w:line="240" w:lineRule="auto"/>
        <w:rPr>
          <w:rStyle w:val="None"/>
          <w:rFonts w:ascii="Roboto" w:eastAsia="Roboto" w:hAnsi="Roboto" w:cs="Roboto"/>
          <w:sz w:val="24"/>
          <w:szCs w:val="24"/>
        </w:rPr>
      </w:pPr>
      <w:r>
        <w:rPr>
          <w:rStyle w:val="None"/>
          <w:rFonts w:ascii="Roboto" w:eastAsia="Roboto" w:hAnsi="Roboto" w:cs="Roboto"/>
          <w:color w:val="474747"/>
          <w:sz w:val="18"/>
          <w:szCs w:val="18"/>
          <w:u w:color="474747"/>
        </w:rPr>
        <w:t>Email:</w:t>
      </w:r>
      <w:r>
        <w:rPr>
          <w:rStyle w:val="None"/>
          <w:rFonts w:ascii="Roboto" w:eastAsia="Roboto" w:hAnsi="Roboto" w:cs="Roboto"/>
          <w:sz w:val="18"/>
          <w:szCs w:val="18"/>
        </w:rPr>
        <w:t xml:space="preserve"> </w:t>
      </w:r>
      <w:hyperlink r:id="rId9" w:history="1">
        <w:r>
          <w:rPr>
            <w:rStyle w:val="Hyperlink1"/>
            <w:lang w:val="it-IT"/>
          </w:rPr>
          <w:t>IR@gamesquare.com</w:t>
        </w:r>
      </w:hyperlink>
    </w:p>
    <w:p w14:paraId="69F23A58" w14:textId="77777777" w:rsidR="00D55C8E" w:rsidRDefault="003B66A5">
      <w:pPr>
        <w:pStyle w:val="Body"/>
        <w:spacing w:line="240" w:lineRule="auto"/>
        <w:rPr>
          <w:rStyle w:val="None"/>
          <w:rFonts w:ascii="Roboto" w:eastAsia="Roboto" w:hAnsi="Roboto" w:cs="Roboto"/>
          <w:color w:val="474747"/>
          <w:sz w:val="18"/>
          <w:szCs w:val="18"/>
          <w:u w:color="474747"/>
        </w:rPr>
      </w:pPr>
      <w:r>
        <w:rPr>
          <w:rStyle w:val="None"/>
          <w:rFonts w:ascii="Roboto" w:eastAsia="Roboto" w:hAnsi="Roboto" w:cs="Roboto"/>
          <w:color w:val="474747"/>
          <w:sz w:val="18"/>
          <w:szCs w:val="18"/>
          <w:u w:color="474747"/>
          <w:lang w:val="it-IT"/>
        </w:rPr>
        <w:t>Phone: (647) 670-2500</w:t>
      </w:r>
    </w:p>
    <w:p w14:paraId="0CB537FC" w14:textId="77777777" w:rsidR="00D55C8E" w:rsidRDefault="00D55C8E">
      <w:pPr>
        <w:pStyle w:val="Body"/>
        <w:spacing w:line="240" w:lineRule="auto"/>
        <w:rPr>
          <w:rStyle w:val="None"/>
          <w:rFonts w:ascii="Roboto" w:eastAsia="Roboto" w:hAnsi="Roboto" w:cs="Roboto"/>
          <w:sz w:val="18"/>
          <w:szCs w:val="18"/>
        </w:rPr>
      </w:pPr>
    </w:p>
    <w:p w14:paraId="1F31753F" w14:textId="77777777" w:rsidR="00D55C8E" w:rsidRDefault="003B66A5">
      <w:pPr>
        <w:pStyle w:val="Body"/>
        <w:shd w:val="clear" w:color="auto" w:fill="FFFFFF"/>
        <w:spacing w:line="240" w:lineRule="auto"/>
        <w:jc w:val="both"/>
        <w:rPr>
          <w:rStyle w:val="None"/>
          <w:rFonts w:ascii="Roboto" w:eastAsia="Roboto" w:hAnsi="Roboto" w:cs="Roboto"/>
          <w:color w:val="474747"/>
          <w:sz w:val="24"/>
          <w:szCs w:val="24"/>
          <w:u w:color="474747"/>
        </w:rPr>
      </w:pPr>
      <w:r>
        <w:rPr>
          <w:rStyle w:val="None"/>
          <w:rFonts w:ascii="Roboto" w:eastAsia="Roboto" w:hAnsi="Roboto" w:cs="Roboto"/>
          <w:b/>
          <w:bCs/>
          <w:color w:val="474747"/>
          <w:sz w:val="18"/>
          <w:szCs w:val="18"/>
          <w:u w:color="474747"/>
          <w:lang w:val="en-US"/>
        </w:rPr>
        <w:t>Forward-Looking Information</w:t>
      </w:r>
    </w:p>
    <w:p w14:paraId="476BBC4A" w14:textId="267E05E7" w:rsidR="00D55C8E" w:rsidRDefault="003B66A5">
      <w:pPr>
        <w:pStyle w:val="Body"/>
        <w:shd w:val="clear" w:color="auto" w:fill="FFFFFF"/>
        <w:spacing w:line="240" w:lineRule="auto"/>
        <w:jc w:val="both"/>
        <w:rPr>
          <w:rStyle w:val="None"/>
          <w:rFonts w:ascii="Roboto" w:eastAsia="Roboto" w:hAnsi="Roboto" w:cs="Roboto"/>
          <w:color w:val="474747"/>
          <w:sz w:val="24"/>
          <w:szCs w:val="24"/>
          <w:u w:color="474747"/>
        </w:rPr>
      </w:pPr>
      <w:r>
        <w:rPr>
          <w:rStyle w:val="None"/>
          <w:rFonts w:ascii="Roboto" w:eastAsia="Roboto" w:hAnsi="Roboto" w:cs="Roboto"/>
          <w:i/>
          <w:iCs/>
          <w:color w:val="474747"/>
          <w:sz w:val="16"/>
          <w:szCs w:val="16"/>
          <w:u w:color="474747"/>
          <w:lang w:val="en-US"/>
        </w:rPr>
        <w:t>This news release contains "forward-looking information" and "forward-looking statements" (collectively, "</w:t>
      </w:r>
      <w:r>
        <w:rPr>
          <w:rStyle w:val="None"/>
          <w:rFonts w:ascii="Roboto" w:eastAsia="Roboto" w:hAnsi="Roboto" w:cs="Roboto"/>
          <w:b/>
          <w:bCs/>
          <w:i/>
          <w:iCs/>
          <w:color w:val="474747"/>
          <w:sz w:val="16"/>
          <w:szCs w:val="16"/>
          <w:u w:color="474747"/>
          <w:lang w:val="en-US"/>
        </w:rPr>
        <w:t>forward-looking statements</w:t>
      </w:r>
      <w:r>
        <w:rPr>
          <w:rStyle w:val="None"/>
          <w:rFonts w:ascii="Roboto" w:eastAsia="Roboto" w:hAnsi="Roboto" w:cs="Roboto"/>
          <w:i/>
          <w:iCs/>
          <w:color w:val="474747"/>
          <w:sz w:val="16"/>
          <w:szCs w:val="16"/>
          <w:u w:color="474747"/>
          <w:lang w:val="en-US"/>
        </w:rPr>
        <w:t xml:space="preserve">") within the meaning of the applicable Canadian securities legislation. All statements, other than statements of historical fact, are forward-looking statements and are based on expectations, estimates and projections as at the date of this news release. Any statement that involves discussions with respect to predictions, expectations, beliefs, plans, projections, objectives, assumptions, future events or performance (often but not always using phrases such as "expects", or "does not expect", "is expected", "anticipates" or "does not anticipate", "plans", "budget", "scheduled", "forecasts", "estimates", "believes" or "intends" or variations of such words and phrases or stating that certain actions, events or results "may" or "could", "would", "might" or "will" be taken to occur or be achieved) are not statements of historical fact and may be forward-looking statements. In this news release, forward-looking statements relate, among other things, </w:t>
      </w:r>
      <w:proofErr w:type="gramStart"/>
      <w:r>
        <w:rPr>
          <w:rStyle w:val="None"/>
          <w:rFonts w:ascii="Roboto" w:eastAsia="Roboto" w:hAnsi="Roboto" w:cs="Roboto"/>
          <w:i/>
          <w:iCs/>
          <w:color w:val="474747"/>
          <w:sz w:val="16"/>
          <w:szCs w:val="16"/>
          <w:u w:color="474747"/>
          <w:lang w:val="en-US"/>
        </w:rPr>
        <w:t>to:</w:t>
      </w:r>
      <w:proofErr w:type="gramEnd"/>
      <w:r>
        <w:rPr>
          <w:rStyle w:val="None"/>
          <w:rFonts w:ascii="Roboto" w:eastAsia="Roboto" w:hAnsi="Roboto" w:cs="Roboto"/>
          <w:i/>
          <w:iCs/>
          <w:color w:val="474747"/>
          <w:sz w:val="16"/>
          <w:szCs w:val="16"/>
          <w:u w:color="474747"/>
          <w:lang w:val="en-US"/>
        </w:rPr>
        <w:t xml:space="preserve"> </w:t>
      </w:r>
      <w:r w:rsidR="0060350C">
        <w:rPr>
          <w:rStyle w:val="None"/>
          <w:rFonts w:ascii="Roboto" w:eastAsia="Roboto" w:hAnsi="Roboto" w:cs="Roboto"/>
          <w:i/>
          <w:iCs/>
          <w:color w:val="474747"/>
          <w:sz w:val="16"/>
          <w:szCs w:val="16"/>
          <w:u w:color="474747"/>
          <w:lang w:val="en-US"/>
        </w:rPr>
        <w:t>closing of the Offering, entering into a definitive agreement with respect to the credit facility, enhanced liquidity, continued growth and profitability of the Company</w:t>
      </w:r>
      <w:r w:rsidR="00463EB2">
        <w:rPr>
          <w:rStyle w:val="None"/>
          <w:rFonts w:ascii="Roboto" w:eastAsia="Roboto" w:hAnsi="Roboto" w:cs="Roboto"/>
          <w:i/>
          <w:iCs/>
          <w:color w:val="474747"/>
          <w:sz w:val="16"/>
          <w:szCs w:val="16"/>
          <w:u w:color="474747"/>
          <w:lang w:val="en-US"/>
        </w:rPr>
        <w:t>; and the Company’s strategy, including to complete M&amp;A transactions at higher valuations</w:t>
      </w:r>
      <w:r>
        <w:rPr>
          <w:rStyle w:val="None"/>
          <w:rFonts w:ascii="Roboto" w:eastAsia="Roboto" w:hAnsi="Roboto" w:cs="Roboto"/>
          <w:i/>
          <w:iCs/>
          <w:color w:val="474747"/>
          <w:sz w:val="16"/>
          <w:szCs w:val="16"/>
          <w:u w:color="474747"/>
          <w:lang w:val="en-US"/>
        </w:rPr>
        <w:t xml:space="preserve">. These forward-looking statements are </w:t>
      </w:r>
      <w:r w:rsidR="0060350C">
        <w:rPr>
          <w:rStyle w:val="None"/>
          <w:rFonts w:ascii="Roboto" w:eastAsia="Roboto" w:hAnsi="Roboto" w:cs="Roboto"/>
          <w:i/>
          <w:iCs/>
          <w:color w:val="474747"/>
          <w:sz w:val="16"/>
          <w:szCs w:val="16"/>
          <w:u w:color="474747"/>
          <w:lang w:val="en-US"/>
        </w:rPr>
        <w:t>based on</w:t>
      </w:r>
      <w:r>
        <w:rPr>
          <w:rStyle w:val="None"/>
          <w:rFonts w:ascii="Roboto" w:eastAsia="Roboto" w:hAnsi="Roboto" w:cs="Roboto"/>
          <w:i/>
          <w:iCs/>
          <w:color w:val="474747"/>
          <w:sz w:val="16"/>
          <w:szCs w:val="16"/>
          <w:u w:color="474747"/>
          <w:lang w:val="en-US"/>
        </w:rPr>
        <w:t xml:space="preserve"> information currently available to us and are not intended to serve as and must not be relied on by any investor as, a guarantee, assurance or definitive statement of fact or probability. Forward-looking statements are necessarily based upon a number of estimates and assumptions which include, but are not limited to: </w:t>
      </w:r>
      <w:r w:rsidR="0060350C">
        <w:rPr>
          <w:rStyle w:val="None"/>
          <w:rFonts w:ascii="Roboto" w:eastAsia="Roboto" w:hAnsi="Roboto" w:cs="Roboto"/>
          <w:i/>
          <w:iCs/>
          <w:color w:val="474747"/>
          <w:sz w:val="16"/>
          <w:szCs w:val="16"/>
          <w:u w:color="474747"/>
          <w:lang w:val="en-US"/>
        </w:rPr>
        <w:t xml:space="preserve">the ability to close the Offering and its timing, the Company being able to enter into a definitive agreement with respect to the credit facility and its timing, </w:t>
      </w:r>
      <w:r>
        <w:rPr>
          <w:rStyle w:val="None"/>
          <w:rFonts w:ascii="Roboto" w:eastAsia="Roboto" w:hAnsi="Roboto" w:cs="Roboto"/>
          <w:i/>
          <w:iCs/>
          <w:color w:val="474747"/>
          <w:sz w:val="16"/>
          <w:szCs w:val="16"/>
          <w:u w:color="474747"/>
          <w:lang w:val="en-US"/>
        </w:rPr>
        <w:t xml:space="preserve">the Company being able to grow its business and being able to execute on its business plan, the Company being able to complete and successfully integrate acquisitions, the Company being able to recognize and capitalize on opportunities and the Company continuing to attract qualified personnel to supports its development requirements. These assumptions, while considered reasonable, are subject to known and unknown risks, uncertainties, and other factors which may cause the actual results and future events to differ materially from those expressed or implied by such forward-looking statements. Such factors </w:t>
      </w:r>
      <w:proofErr w:type="gramStart"/>
      <w:r>
        <w:rPr>
          <w:rStyle w:val="None"/>
          <w:rFonts w:ascii="Roboto" w:eastAsia="Roboto" w:hAnsi="Roboto" w:cs="Roboto"/>
          <w:i/>
          <w:iCs/>
          <w:color w:val="474747"/>
          <w:sz w:val="16"/>
          <w:szCs w:val="16"/>
          <w:u w:color="474747"/>
          <w:lang w:val="en-US"/>
        </w:rPr>
        <w:t>include, but</w:t>
      </w:r>
      <w:proofErr w:type="gramEnd"/>
      <w:r>
        <w:rPr>
          <w:rStyle w:val="None"/>
          <w:rFonts w:ascii="Roboto" w:eastAsia="Roboto" w:hAnsi="Roboto" w:cs="Roboto"/>
          <w:i/>
          <w:iCs/>
          <w:color w:val="474747"/>
          <w:sz w:val="16"/>
          <w:szCs w:val="16"/>
          <w:u w:color="474747"/>
          <w:lang w:val="en-US"/>
        </w:rPr>
        <w:t xml:space="preserve"> are not limited to: the Company’s ability to achieve its objectives</w:t>
      </w:r>
      <w:r w:rsidR="00B84883">
        <w:rPr>
          <w:rStyle w:val="None"/>
          <w:rFonts w:ascii="Roboto" w:eastAsia="Roboto" w:hAnsi="Roboto" w:cs="Roboto"/>
          <w:i/>
          <w:iCs/>
          <w:color w:val="474747"/>
          <w:sz w:val="16"/>
          <w:szCs w:val="16"/>
          <w:u w:color="474747"/>
          <w:lang w:val="en-US"/>
        </w:rPr>
        <w:t>, close the Offering and enter into the credit facility</w:t>
      </w:r>
      <w:r>
        <w:rPr>
          <w:rStyle w:val="None"/>
          <w:rFonts w:ascii="Roboto" w:eastAsia="Roboto" w:hAnsi="Roboto" w:cs="Roboto"/>
          <w:i/>
          <w:iCs/>
          <w:color w:val="474747"/>
          <w:sz w:val="16"/>
          <w:szCs w:val="16"/>
          <w:u w:color="474747"/>
          <w:lang w:val="en-US"/>
        </w:rPr>
        <w:t>, the Company successfully executing its growth strategy, failure to leverage the Company’s portfolio across entertainment and media platforms, dependence on the Company’s key personnel and general business, economic, competitive, political and social uncertainties including impact of the COVID-19 pandemic and any variants. These risk factors are not intended to represent a complete list of the factors that could affect the Company which are discussed in the Company’s most recent MD&amp;A. There can be no assurance that forward-looking statements will prove to be accurate, as actual results and future events could differ materially from those anticipated in such statements. Accordingly, readers should not place undue reliance on the forward-looking statements and information contained in this news release. GameSquare assumes no obligation to update the forward-looking statements of beliefs, opinions, projections, or other factors, should they change, except as required by law.</w:t>
      </w:r>
    </w:p>
    <w:p w14:paraId="0D358AEB" w14:textId="77777777" w:rsidR="00C006C3" w:rsidRDefault="00C006C3">
      <w:pPr>
        <w:pStyle w:val="Body"/>
        <w:spacing w:after="160" w:line="259" w:lineRule="auto"/>
        <w:rPr>
          <w:rStyle w:val="None"/>
          <w:rFonts w:ascii="Roboto" w:eastAsia="Roboto" w:hAnsi="Roboto" w:cs="Roboto"/>
          <w:i/>
          <w:iCs/>
          <w:color w:val="474747"/>
          <w:sz w:val="16"/>
          <w:szCs w:val="16"/>
          <w:u w:color="474747"/>
          <w:lang w:val="en-US"/>
        </w:rPr>
      </w:pPr>
    </w:p>
    <w:p w14:paraId="0B234AE3" w14:textId="6205A270" w:rsidR="00D55C8E" w:rsidRDefault="003B66A5">
      <w:pPr>
        <w:pStyle w:val="Body"/>
        <w:spacing w:after="160" w:line="259" w:lineRule="auto"/>
      </w:pPr>
      <w:r>
        <w:rPr>
          <w:rStyle w:val="None"/>
          <w:rFonts w:ascii="Roboto" w:eastAsia="Roboto" w:hAnsi="Roboto" w:cs="Roboto"/>
          <w:i/>
          <w:iCs/>
          <w:color w:val="474747"/>
          <w:sz w:val="16"/>
          <w:szCs w:val="16"/>
          <w:u w:color="474747"/>
          <w:lang w:val="en-US"/>
        </w:rPr>
        <w:t>Neither the Canadian Securities Exchange (“</w:t>
      </w:r>
      <w:r>
        <w:rPr>
          <w:rStyle w:val="None"/>
          <w:rFonts w:ascii="Roboto" w:eastAsia="Roboto" w:hAnsi="Roboto" w:cs="Roboto"/>
          <w:b/>
          <w:bCs/>
          <w:i/>
          <w:iCs/>
          <w:color w:val="474747"/>
          <w:sz w:val="16"/>
          <w:szCs w:val="16"/>
          <w:u w:color="474747"/>
        </w:rPr>
        <w:t>CSE</w:t>
      </w:r>
      <w:r>
        <w:rPr>
          <w:rStyle w:val="None"/>
          <w:rFonts w:ascii="Roboto" w:eastAsia="Roboto" w:hAnsi="Roboto" w:cs="Roboto"/>
          <w:i/>
          <w:iCs/>
          <w:color w:val="474747"/>
          <w:sz w:val="16"/>
          <w:szCs w:val="16"/>
          <w:u w:color="474747"/>
          <w:lang w:val="en-US"/>
        </w:rPr>
        <w:t>”) nor its Market Regulator (as that term is defined in the policies of the CSE) accepts responsibility for the adequacy or accuracy of this release.</w:t>
      </w:r>
    </w:p>
    <w:sectPr w:rsidR="00D55C8E">
      <w:footerReference w:type="first" r:id="rId10"/>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7451A6" w14:textId="77777777" w:rsidR="000D416A" w:rsidRDefault="000D416A">
      <w:r>
        <w:separator/>
      </w:r>
    </w:p>
  </w:endnote>
  <w:endnote w:type="continuationSeparator" w:id="0">
    <w:p w14:paraId="336A004C" w14:textId="77777777" w:rsidR="000D416A" w:rsidRDefault="000D41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B9D5F" w14:textId="778F7DC2" w:rsidR="00D81A73" w:rsidRDefault="00D81A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94F4F" w14:textId="77777777" w:rsidR="000D416A" w:rsidRDefault="000D416A">
      <w:r>
        <w:separator/>
      </w:r>
    </w:p>
  </w:footnote>
  <w:footnote w:type="continuationSeparator" w:id="0">
    <w:p w14:paraId="7F6AE9DE" w14:textId="77777777" w:rsidR="000D416A" w:rsidRDefault="000D416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C8E"/>
    <w:rsid w:val="000306E3"/>
    <w:rsid w:val="00053B2E"/>
    <w:rsid w:val="000B2364"/>
    <w:rsid w:val="000D13F5"/>
    <w:rsid w:val="000D2A94"/>
    <w:rsid w:val="000D416A"/>
    <w:rsid w:val="00185DCB"/>
    <w:rsid w:val="00207079"/>
    <w:rsid w:val="00244059"/>
    <w:rsid w:val="00246AE0"/>
    <w:rsid w:val="0026122F"/>
    <w:rsid w:val="0027108F"/>
    <w:rsid w:val="002734CB"/>
    <w:rsid w:val="002825D6"/>
    <w:rsid w:val="00292166"/>
    <w:rsid w:val="0031332F"/>
    <w:rsid w:val="003416B6"/>
    <w:rsid w:val="00342BC7"/>
    <w:rsid w:val="00353034"/>
    <w:rsid w:val="00355DE0"/>
    <w:rsid w:val="00377CF7"/>
    <w:rsid w:val="003B66A5"/>
    <w:rsid w:val="003C18E9"/>
    <w:rsid w:val="00403526"/>
    <w:rsid w:val="004214B7"/>
    <w:rsid w:val="00425443"/>
    <w:rsid w:val="00453C9A"/>
    <w:rsid w:val="00463EB2"/>
    <w:rsid w:val="00502866"/>
    <w:rsid w:val="00537C10"/>
    <w:rsid w:val="005576E5"/>
    <w:rsid w:val="00572C73"/>
    <w:rsid w:val="005941A6"/>
    <w:rsid w:val="005A2086"/>
    <w:rsid w:val="005C2A7B"/>
    <w:rsid w:val="0060350C"/>
    <w:rsid w:val="006211E7"/>
    <w:rsid w:val="006222E5"/>
    <w:rsid w:val="006F27C4"/>
    <w:rsid w:val="00700853"/>
    <w:rsid w:val="007068B2"/>
    <w:rsid w:val="00746DAC"/>
    <w:rsid w:val="00761CAE"/>
    <w:rsid w:val="0078056A"/>
    <w:rsid w:val="007E423D"/>
    <w:rsid w:val="00865B06"/>
    <w:rsid w:val="00873DD4"/>
    <w:rsid w:val="00874A63"/>
    <w:rsid w:val="008B034B"/>
    <w:rsid w:val="008D75A8"/>
    <w:rsid w:val="008E2D99"/>
    <w:rsid w:val="00951FF2"/>
    <w:rsid w:val="00967931"/>
    <w:rsid w:val="00971160"/>
    <w:rsid w:val="00990155"/>
    <w:rsid w:val="009A57FB"/>
    <w:rsid w:val="009C0A78"/>
    <w:rsid w:val="00A062B1"/>
    <w:rsid w:val="00A22B21"/>
    <w:rsid w:val="00A43BE8"/>
    <w:rsid w:val="00A4679E"/>
    <w:rsid w:val="00A94E23"/>
    <w:rsid w:val="00AA7386"/>
    <w:rsid w:val="00AD6B12"/>
    <w:rsid w:val="00AF4412"/>
    <w:rsid w:val="00B0238E"/>
    <w:rsid w:val="00B16666"/>
    <w:rsid w:val="00B228D2"/>
    <w:rsid w:val="00B56A63"/>
    <w:rsid w:val="00B66499"/>
    <w:rsid w:val="00B84883"/>
    <w:rsid w:val="00B92FC5"/>
    <w:rsid w:val="00BA79D5"/>
    <w:rsid w:val="00C006C3"/>
    <w:rsid w:val="00C247E0"/>
    <w:rsid w:val="00C36818"/>
    <w:rsid w:val="00C553E6"/>
    <w:rsid w:val="00C5620E"/>
    <w:rsid w:val="00CF4F85"/>
    <w:rsid w:val="00D47B38"/>
    <w:rsid w:val="00D55C8E"/>
    <w:rsid w:val="00D606E2"/>
    <w:rsid w:val="00D81A73"/>
    <w:rsid w:val="00D9609A"/>
    <w:rsid w:val="00DE365E"/>
    <w:rsid w:val="00DF70BB"/>
    <w:rsid w:val="00DF75B8"/>
    <w:rsid w:val="00E75ED0"/>
    <w:rsid w:val="00E7762E"/>
    <w:rsid w:val="00E77DBE"/>
    <w:rsid w:val="00E85E90"/>
    <w:rsid w:val="00EA3C36"/>
    <w:rsid w:val="00EA7C9B"/>
    <w:rsid w:val="00F36621"/>
    <w:rsid w:val="00F65622"/>
    <w:rsid w:val="00F85116"/>
    <w:rsid w:val="00F95A86"/>
    <w:rsid w:val="00FA24BB"/>
    <w:rsid w:val="00FE730B"/>
    <w:rsid w:val="00FF1DA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5C3F02"/>
  <w15:docId w15:val="{4AEB4B76-7DB9-46BB-8C2F-505A89176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line="276" w:lineRule="auto"/>
    </w:pPr>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rFonts w:ascii="Roboto" w:eastAsia="Roboto" w:hAnsi="Roboto" w:cs="Roboto"/>
      <w:i/>
      <w:iCs/>
      <w:color w:val="0563C1"/>
      <w:sz w:val="18"/>
      <w:szCs w:val="18"/>
      <w:u w:val="single" w:color="0563C1"/>
      <w14:textOutline w14:w="0" w14:cap="rnd" w14:cmpd="sng" w14:algn="ctr">
        <w14:noFill/>
        <w14:prstDash w14:val="solid"/>
        <w14:bevel/>
      </w14:textOutline>
    </w:rPr>
  </w:style>
  <w:style w:type="character" w:customStyle="1" w:styleId="Hyperlink1">
    <w:name w:val="Hyperlink.1"/>
    <w:basedOn w:val="None"/>
    <w:rPr>
      <w:rFonts w:ascii="Roboto" w:eastAsia="Roboto" w:hAnsi="Roboto" w:cs="Roboto"/>
      <w:color w:val="0563C1"/>
      <w:sz w:val="18"/>
      <w:szCs w:val="18"/>
      <w:u w:val="single" w:color="0563C1"/>
      <w14:textOutline w14:w="0" w14:cap="rnd" w14:cmpd="sng" w14:algn="ctr">
        <w14:noFill/>
        <w14:prstDash w14:val="solid"/>
        <w14:bevel/>
      </w14:textOutline>
    </w:rPr>
  </w:style>
  <w:style w:type="paragraph" w:styleId="Header">
    <w:name w:val="header"/>
    <w:basedOn w:val="Normal"/>
    <w:link w:val="HeaderChar"/>
    <w:uiPriority w:val="99"/>
    <w:unhideWhenUsed/>
    <w:rsid w:val="00D81A73"/>
    <w:pPr>
      <w:tabs>
        <w:tab w:val="center" w:pos="4680"/>
        <w:tab w:val="right" w:pos="9360"/>
      </w:tabs>
    </w:pPr>
  </w:style>
  <w:style w:type="character" w:customStyle="1" w:styleId="HeaderChar">
    <w:name w:val="Header Char"/>
    <w:basedOn w:val="DefaultParagraphFont"/>
    <w:link w:val="Header"/>
    <w:uiPriority w:val="99"/>
    <w:rsid w:val="00D81A73"/>
    <w:rPr>
      <w:sz w:val="24"/>
      <w:szCs w:val="24"/>
      <w:lang w:val="en-US" w:eastAsia="en-US"/>
    </w:rPr>
  </w:style>
  <w:style w:type="paragraph" w:styleId="Footer">
    <w:name w:val="footer"/>
    <w:basedOn w:val="Normal"/>
    <w:link w:val="FooterChar"/>
    <w:uiPriority w:val="99"/>
    <w:unhideWhenUsed/>
    <w:rsid w:val="00D81A73"/>
    <w:pPr>
      <w:tabs>
        <w:tab w:val="center" w:pos="4680"/>
        <w:tab w:val="right" w:pos="9360"/>
      </w:tabs>
    </w:pPr>
  </w:style>
  <w:style w:type="character" w:customStyle="1" w:styleId="FooterChar">
    <w:name w:val="Footer Char"/>
    <w:basedOn w:val="DefaultParagraphFont"/>
    <w:link w:val="Footer"/>
    <w:uiPriority w:val="99"/>
    <w:rsid w:val="00D81A73"/>
    <w:rPr>
      <w:sz w:val="24"/>
      <w:szCs w:val="24"/>
      <w:lang w:val="en-US" w:eastAsia="en-US"/>
    </w:rPr>
  </w:style>
  <w:style w:type="paragraph" w:styleId="FootnoteText">
    <w:name w:val="footnote text"/>
    <w:basedOn w:val="Normal"/>
    <w:link w:val="FootnoteTextChar"/>
    <w:uiPriority w:val="99"/>
    <w:semiHidden/>
    <w:unhideWhenUsed/>
    <w:rsid w:val="00537C10"/>
    <w:rPr>
      <w:sz w:val="20"/>
      <w:szCs w:val="20"/>
    </w:rPr>
  </w:style>
  <w:style w:type="character" w:customStyle="1" w:styleId="FootnoteTextChar">
    <w:name w:val="Footnote Text Char"/>
    <w:basedOn w:val="DefaultParagraphFont"/>
    <w:link w:val="FootnoteText"/>
    <w:uiPriority w:val="99"/>
    <w:semiHidden/>
    <w:rsid w:val="00537C10"/>
    <w:rPr>
      <w:lang w:val="en-US" w:eastAsia="en-US"/>
    </w:rPr>
  </w:style>
  <w:style w:type="character" w:styleId="FootnoteReference">
    <w:name w:val="footnote reference"/>
    <w:basedOn w:val="DefaultParagraphFont"/>
    <w:uiPriority w:val="99"/>
    <w:semiHidden/>
    <w:unhideWhenUsed/>
    <w:rsid w:val="00537C10"/>
    <w:rPr>
      <w:vertAlign w:val="superscript"/>
    </w:rPr>
  </w:style>
  <w:style w:type="paragraph" w:styleId="Revision">
    <w:name w:val="Revision"/>
    <w:hidden/>
    <w:uiPriority w:val="99"/>
    <w:semiHidden/>
    <w:rsid w:val="008E2D9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6434874">
      <w:bodyDiv w:val="1"/>
      <w:marLeft w:val="0"/>
      <w:marRight w:val="0"/>
      <w:marTop w:val="0"/>
      <w:marBottom w:val="0"/>
      <w:divBdr>
        <w:top w:val="none" w:sz="0" w:space="0" w:color="auto"/>
        <w:left w:val="none" w:sz="0" w:space="0" w:color="auto"/>
        <w:bottom w:val="none" w:sz="0" w:space="0" w:color="auto"/>
        <w:right w:val="none" w:sz="0" w:space="0" w:color="auto"/>
      </w:divBdr>
      <w:divsChild>
        <w:div w:id="442192299">
          <w:marLeft w:val="0"/>
          <w:marRight w:val="0"/>
          <w:marTop w:val="15"/>
          <w:marBottom w:val="0"/>
          <w:divBdr>
            <w:top w:val="single" w:sz="48" w:space="0" w:color="auto"/>
            <w:left w:val="single" w:sz="48" w:space="0" w:color="auto"/>
            <w:bottom w:val="single" w:sz="48" w:space="0" w:color="auto"/>
            <w:right w:val="single" w:sz="48" w:space="0" w:color="auto"/>
          </w:divBdr>
          <w:divsChild>
            <w:div w:id="1752195163">
              <w:marLeft w:val="0"/>
              <w:marRight w:val="0"/>
              <w:marTop w:val="0"/>
              <w:marBottom w:val="0"/>
              <w:divBdr>
                <w:top w:val="none" w:sz="0" w:space="0" w:color="auto"/>
                <w:left w:val="none" w:sz="0" w:space="0" w:color="auto"/>
                <w:bottom w:val="none" w:sz="0" w:space="0" w:color="auto"/>
                <w:right w:val="none" w:sz="0" w:space="0" w:color="auto"/>
              </w:divBdr>
            </w:div>
          </w:divsChild>
        </w:div>
        <w:div w:id="238635670">
          <w:marLeft w:val="0"/>
          <w:marRight w:val="0"/>
          <w:marTop w:val="15"/>
          <w:marBottom w:val="0"/>
          <w:divBdr>
            <w:top w:val="single" w:sz="48" w:space="0" w:color="auto"/>
            <w:left w:val="single" w:sz="48" w:space="0" w:color="auto"/>
            <w:bottom w:val="single" w:sz="48" w:space="0" w:color="auto"/>
            <w:right w:val="single" w:sz="48" w:space="0" w:color="auto"/>
          </w:divBdr>
          <w:divsChild>
            <w:div w:id="454838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28.q4cdn.com/842060271/files/doc_downloads/2022/Gamesquare-Shareholder-Letter-(FINAL).pdf"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IR@gamesquare.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E89EC0-08EF-4417-AE69-F7912C952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1401</Words>
  <Characters>7987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Wright</dc:creator>
  <cp:keywords/>
  <dc:description/>
  <cp:lastModifiedBy>Kevin Wright</cp:lastModifiedBy>
  <cp:revision>4</cp:revision>
  <dcterms:created xsi:type="dcterms:W3CDTF">2022-04-05T00:09:00Z</dcterms:created>
  <dcterms:modified xsi:type="dcterms:W3CDTF">2022-04-05T04:50:00Z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Confidential</vt:lpwstr>
  </property>
  <property fmtid="{D5CDD505-2E9C-101B-9397-08002B2CF9AE}" pid="3" name="DocXLocation">
    <vt:lpwstr>Every Page</vt:lpwstr>
  </property>
  <property fmtid="{D5CDD505-2E9C-101B-9397-08002B2CF9AE}" pid="4" name="DocXFormat">
    <vt:lpwstr>Test</vt:lpwstr>
  </property>
</Properties>
</file>