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273167" w14:textId="77777777" w:rsidR="0028083B" w:rsidRDefault="0028083B">
      <w:pPr>
        <w:jc w:val="center"/>
        <w:rPr>
          <w:rFonts w:ascii="Fira Sans" w:eastAsia="Fira Sans" w:hAnsi="Fira Sans" w:cs="Fira Sans"/>
          <w:b/>
          <w:sz w:val="25"/>
          <w:szCs w:val="25"/>
        </w:rPr>
      </w:pPr>
    </w:p>
    <w:p w14:paraId="199F07F3" w14:textId="77777777" w:rsidR="0028083B" w:rsidRDefault="003907B2">
      <w:pPr>
        <w:jc w:val="center"/>
        <w:rPr>
          <w:rFonts w:ascii="Fira Sans" w:eastAsia="Fira Sans" w:hAnsi="Fira Sans" w:cs="Fira Sans"/>
          <w:b/>
          <w:sz w:val="27"/>
          <w:szCs w:val="27"/>
          <w:highlight w:val="yellow"/>
        </w:rPr>
      </w:pPr>
      <w:r>
        <w:rPr>
          <w:rFonts w:ascii="Fira Sans" w:eastAsia="Fira Sans" w:hAnsi="Fira Sans" w:cs="Fira Sans"/>
          <w:b/>
          <w:sz w:val="27"/>
          <w:szCs w:val="27"/>
        </w:rPr>
        <w:t xml:space="preserve">Grid Dynamics Increases Revenue Guidance for Q1 2022 and </w:t>
      </w:r>
      <w:r w:rsidR="0031169C">
        <w:rPr>
          <w:rFonts w:ascii="Fira Sans" w:eastAsia="Fira Sans" w:hAnsi="Fira Sans" w:cs="Fira Sans"/>
          <w:b/>
          <w:sz w:val="27"/>
          <w:szCs w:val="27"/>
        </w:rPr>
        <w:t xml:space="preserve">Provides </w:t>
      </w:r>
      <w:r>
        <w:rPr>
          <w:rFonts w:ascii="Fira Sans" w:eastAsia="Fira Sans" w:hAnsi="Fira Sans" w:cs="Fira Sans"/>
          <w:b/>
          <w:sz w:val="27"/>
          <w:szCs w:val="27"/>
        </w:rPr>
        <w:t xml:space="preserve">Updates on Global Headcount Expansion </w:t>
      </w:r>
    </w:p>
    <w:p w14:paraId="0500AC5B" w14:textId="77777777" w:rsidR="0028083B" w:rsidRDefault="0028083B">
      <w:pPr>
        <w:rPr>
          <w:rFonts w:ascii="Fira Sans" w:eastAsia="Fira Sans" w:hAnsi="Fira Sans" w:cs="Fira Sans"/>
          <w:b/>
          <w:sz w:val="24"/>
          <w:szCs w:val="24"/>
          <w:highlight w:val="yellow"/>
        </w:rPr>
      </w:pPr>
    </w:p>
    <w:p w14:paraId="05E0BF95" w14:textId="77777777" w:rsidR="0028083B" w:rsidRDefault="003907B2">
      <w:pPr>
        <w:rPr>
          <w:rFonts w:ascii="Fira Sans" w:eastAsia="Fira Sans" w:hAnsi="Fira Sans" w:cs="Fira Sans"/>
          <w:b/>
          <w:sz w:val="24"/>
          <w:szCs w:val="24"/>
        </w:rPr>
      </w:pPr>
      <w:r>
        <w:rPr>
          <w:rFonts w:ascii="Fira Sans" w:eastAsia="Fira Sans" w:hAnsi="Fira Sans" w:cs="Fira Sans"/>
          <w:b/>
          <w:sz w:val="24"/>
          <w:szCs w:val="24"/>
        </w:rPr>
        <w:t>Key Takeaways:</w:t>
      </w:r>
    </w:p>
    <w:p w14:paraId="1A22642A" w14:textId="729A24AE" w:rsidR="0028083B" w:rsidRDefault="00CE6A69">
      <w:pPr>
        <w:numPr>
          <w:ilvl w:val="0"/>
          <w:numId w:val="1"/>
        </w:numPr>
        <w:rPr>
          <w:rFonts w:ascii="Fira Sans" w:eastAsia="Fira Sans" w:hAnsi="Fira Sans" w:cs="Fira Sans"/>
          <w:sz w:val="24"/>
          <w:szCs w:val="24"/>
        </w:rPr>
      </w:pPr>
      <w:r>
        <w:rPr>
          <w:rFonts w:ascii="Fira Sans" w:eastAsia="Fira Sans" w:hAnsi="Fira Sans" w:cs="Fira Sans"/>
          <w:sz w:val="24"/>
          <w:szCs w:val="24"/>
        </w:rPr>
        <w:t xml:space="preserve">The company </w:t>
      </w:r>
      <w:r w:rsidR="003907B2">
        <w:rPr>
          <w:rFonts w:ascii="Fira Sans" w:eastAsia="Fira Sans" w:hAnsi="Fira Sans" w:cs="Fira Sans"/>
          <w:sz w:val="24"/>
          <w:szCs w:val="24"/>
        </w:rPr>
        <w:t xml:space="preserve">provides an upward revision of </w:t>
      </w:r>
      <w:r>
        <w:rPr>
          <w:rFonts w:ascii="Fira Sans" w:eastAsia="Fira Sans" w:hAnsi="Fira Sans" w:cs="Fira Sans"/>
          <w:sz w:val="24"/>
          <w:szCs w:val="24"/>
        </w:rPr>
        <w:t xml:space="preserve">its </w:t>
      </w:r>
      <w:r w:rsidR="003907B2">
        <w:rPr>
          <w:rFonts w:ascii="Fira Sans" w:eastAsia="Fira Sans" w:hAnsi="Fira Sans" w:cs="Fira Sans"/>
          <w:sz w:val="24"/>
          <w:szCs w:val="24"/>
        </w:rPr>
        <w:t>Q1 2022 outlook.</w:t>
      </w:r>
    </w:p>
    <w:p w14:paraId="3469591A" w14:textId="472DF0CA" w:rsidR="0028083B" w:rsidRDefault="003907B2">
      <w:pPr>
        <w:numPr>
          <w:ilvl w:val="0"/>
          <w:numId w:val="1"/>
        </w:numPr>
        <w:rPr>
          <w:rFonts w:ascii="Fira Sans" w:eastAsia="Fira Sans" w:hAnsi="Fira Sans" w:cs="Fira Sans"/>
          <w:sz w:val="24"/>
          <w:szCs w:val="24"/>
        </w:rPr>
      </w:pPr>
      <w:r>
        <w:rPr>
          <w:rFonts w:ascii="Fira Sans" w:eastAsia="Fira Sans" w:hAnsi="Fira Sans" w:cs="Fira Sans"/>
          <w:sz w:val="24"/>
          <w:szCs w:val="24"/>
        </w:rPr>
        <w:t xml:space="preserve">The company accelerates global headcount expansion in Central Europe, </w:t>
      </w:r>
      <w:r w:rsidR="002B68C9">
        <w:rPr>
          <w:rFonts w:ascii="Fira Sans" w:eastAsia="Fira Sans" w:hAnsi="Fira Sans" w:cs="Fira Sans"/>
          <w:sz w:val="24"/>
          <w:szCs w:val="24"/>
        </w:rPr>
        <w:t xml:space="preserve">the </w:t>
      </w:r>
      <w:r>
        <w:rPr>
          <w:rFonts w:ascii="Fira Sans" w:eastAsia="Fira Sans" w:hAnsi="Fira Sans" w:cs="Fira Sans"/>
          <w:sz w:val="24"/>
          <w:szCs w:val="24"/>
        </w:rPr>
        <w:t>US, Mexico, and India.</w:t>
      </w:r>
    </w:p>
    <w:p w14:paraId="488C1CFA" w14:textId="1E7E2D43" w:rsidR="0028083B" w:rsidRDefault="003907B2">
      <w:pPr>
        <w:numPr>
          <w:ilvl w:val="0"/>
          <w:numId w:val="1"/>
        </w:numPr>
        <w:rPr>
          <w:rFonts w:ascii="Fira Sans" w:eastAsia="Fira Sans" w:hAnsi="Fira Sans" w:cs="Fira Sans"/>
          <w:sz w:val="24"/>
          <w:szCs w:val="24"/>
        </w:rPr>
      </w:pPr>
      <w:r>
        <w:rPr>
          <w:rFonts w:ascii="Fira Sans" w:eastAsia="Fira Sans" w:hAnsi="Fira Sans" w:cs="Fira Sans"/>
          <w:sz w:val="24"/>
          <w:szCs w:val="24"/>
        </w:rPr>
        <w:t>Approximatel</w:t>
      </w:r>
      <w:r>
        <w:rPr>
          <w:rFonts w:ascii="Fira Sans" w:eastAsia="Fira Sans" w:hAnsi="Fira Sans" w:cs="Fira Sans"/>
          <w:sz w:val="24"/>
          <w:szCs w:val="24"/>
          <w:highlight w:val="white"/>
        </w:rPr>
        <w:t>y half of the company's</w:t>
      </w:r>
      <w:r>
        <w:rPr>
          <w:rFonts w:ascii="Fira Sans" w:eastAsia="Fira Sans" w:hAnsi="Fira Sans" w:cs="Fira Sans"/>
          <w:sz w:val="24"/>
          <w:szCs w:val="24"/>
        </w:rPr>
        <w:t xml:space="preserve"> total headcount is present in the Eastern Europe region, down from two</w:t>
      </w:r>
      <w:r w:rsidR="00CE6A69">
        <w:rPr>
          <w:rFonts w:ascii="Fira Sans" w:eastAsia="Fira Sans" w:hAnsi="Fira Sans" w:cs="Fira Sans"/>
          <w:sz w:val="24"/>
          <w:szCs w:val="24"/>
        </w:rPr>
        <w:t>-</w:t>
      </w:r>
      <w:r>
        <w:rPr>
          <w:rFonts w:ascii="Fira Sans" w:eastAsia="Fira Sans" w:hAnsi="Fira Sans" w:cs="Fira Sans"/>
          <w:sz w:val="24"/>
          <w:szCs w:val="24"/>
        </w:rPr>
        <w:t>thirds.</w:t>
      </w:r>
    </w:p>
    <w:p w14:paraId="42407731" w14:textId="77777777" w:rsidR="0028083B" w:rsidRDefault="0028083B">
      <w:pPr>
        <w:rPr>
          <w:rFonts w:ascii="Fira Sans" w:eastAsia="Fira Sans" w:hAnsi="Fira Sans" w:cs="Fira Sans"/>
          <w:sz w:val="24"/>
          <w:szCs w:val="24"/>
        </w:rPr>
      </w:pPr>
    </w:p>
    <w:p w14:paraId="3E295A82" w14:textId="35F9C91A" w:rsidR="0028083B" w:rsidRDefault="003907B2">
      <w:pPr>
        <w:rPr>
          <w:rFonts w:ascii="Fira Sans" w:eastAsia="Fira Sans" w:hAnsi="Fira Sans" w:cs="Fira Sans"/>
          <w:sz w:val="24"/>
          <w:szCs w:val="24"/>
        </w:rPr>
      </w:pPr>
      <w:r>
        <w:rPr>
          <w:rFonts w:ascii="Fira Sans" w:eastAsia="Fira Sans" w:hAnsi="Fira Sans" w:cs="Fira Sans"/>
          <w:b/>
          <w:sz w:val="24"/>
          <w:szCs w:val="24"/>
        </w:rPr>
        <w:t>San Ramon, CA, April 6, 2022 –</w:t>
      </w:r>
      <w:hyperlink r:id="rId8">
        <w:r>
          <w:rPr>
            <w:rFonts w:ascii="Fira Sans" w:eastAsia="Fira Sans" w:hAnsi="Fira Sans" w:cs="Fira Sans"/>
            <w:b/>
            <w:sz w:val="24"/>
            <w:szCs w:val="24"/>
          </w:rPr>
          <w:t xml:space="preserve"> </w:t>
        </w:r>
      </w:hyperlink>
      <w:hyperlink r:id="rId9">
        <w:r>
          <w:rPr>
            <w:rFonts w:ascii="Fira Sans" w:eastAsia="Fira Sans" w:hAnsi="Fira Sans" w:cs="Fira Sans"/>
            <w:color w:val="0000FF"/>
            <w:sz w:val="24"/>
            <w:szCs w:val="24"/>
            <w:u w:val="single"/>
          </w:rPr>
          <w:t>Grid Dynamics</w:t>
        </w:r>
      </w:hyperlink>
      <w:r>
        <w:rPr>
          <w:rFonts w:ascii="Fira Sans" w:eastAsia="Fira Sans" w:hAnsi="Fira Sans" w:cs="Fira Sans"/>
          <w:sz w:val="24"/>
          <w:szCs w:val="24"/>
        </w:rPr>
        <w:t xml:space="preserve"> Holdings, Inc. (NASDAQ: GDYN) (Grid Dynamics), a leader in enterprise-level digital engineering services and solutions, today announced an upward revision of </w:t>
      </w:r>
      <w:r w:rsidR="00CE6A69">
        <w:rPr>
          <w:rFonts w:ascii="Fira Sans" w:eastAsia="Fira Sans" w:hAnsi="Fira Sans" w:cs="Fira Sans"/>
          <w:sz w:val="24"/>
          <w:szCs w:val="24"/>
        </w:rPr>
        <w:t xml:space="preserve">its </w:t>
      </w:r>
      <w:r>
        <w:rPr>
          <w:rFonts w:ascii="Fira Sans" w:eastAsia="Fira Sans" w:hAnsi="Fira Sans" w:cs="Fira Sans"/>
          <w:sz w:val="24"/>
          <w:szCs w:val="24"/>
        </w:rPr>
        <w:t xml:space="preserve">Q1 2022 financial performance outlook. </w:t>
      </w:r>
    </w:p>
    <w:p w14:paraId="5382008C" w14:textId="77777777" w:rsidR="0028083B" w:rsidRDefault="0028083B">
      <w:pPr>
        <w:rPr>
          <w:rFonts w:ascii="Fira Sans" w:eastAsia="Fira Sans" w:hAnsi="Fira Sans" w:cs="Fira Sans"/>
          <w:sz w:val="24"/>
          <w:szCs w:val="24"/>
        </w:rPr>
      </w:pPr>
    </w:p>
    <w:p w14:paraId="3D5BD419" w14:textId="699B152A" w:rsidR="0028083B" w:rsidRDefault="003907B2">
      <w:pPr>
        <w:rPr>
          <w:rFonts w:ascii="Fira Sans" w:eastAsia="Fira Sans" w:hAnsi="Fira Sans" w:cs="Fira Sans"/>
          <w:sz w:val="24"/>
          <w:szCs w:val="24"/>
        </w:rPr>
      </w:pPr>
      <w:r>
        <w:rPr>
          <w:rFonts w:ascii="Fira Sans" w:eastAsia="Fira Sans" w:hAnsi="Fira Sans" w:cs="Fira Sans"/>
          <w:sz w:val="24"/>
          <w:szCs w:val="24"/>
        </w:rPr>
        <w:t xml:space="preserve">For the first quarter, the company now expects quarterly revenues to be no less than $65 million, compared to the previous guidance in the range of $55 million to $60 million. </w:t>
      </w:r>
    </w:p>
    <w:p w14:paraId="06E4A9BD" w14:textId="77777777" w:rsidR="0028083B" w:rsidRDefault="0028083B">
      <w:pPr>
        <w:rPr>
          <w:rFonts w:ascii="Fira Sans" w:eastAsia="Fira Sans" w:hAnsi="Fira Sans" w:cs="Fira Sans"/>
          <w:sz w:val="24"/>
          <w:szCs w:val="24"/>
        </w:rPr>
      </w:pPr>
    </w:p>
    <w:p w14:paraId="0D50654B" w14:textId="14A8FA8B" w:rsidR="0028083B" w:rsidRDefault="003907B2">
      <w:pPr>
        <w:rPr>
          <w:rFonts w:ascii="Fira Sans" w:eastAsia="Fira Sans" w:hAnsi="Fira Sans" w:cs="Fira Sans"/>
          <w:sz w:val="24"/>
          <w:szCs w:val="24"/>
        </w:rPr>
      </w:pPr>
      <w:r>
        <w:rPr>
          <w:rFonts w:ascii="Fira Sans" w:eastAsia="Fira Sans" w:hAnsi="Fira Sans" w:cs="Fira Sans"/>
          <w:sz w:val="24"/>
          <w:szCs w:val="24"/>
        </w:rPr>
        <w:t xml:space="preserve">Regarding headcount expansion, the company continues to </w:t>
      </w:r>
      <w:r w:rsidR="00AD4923">
        <w:rPr>
          <w:rFonts w:ascii="Fira Sans" w:eastAsia="Fira Sans" w:hAnsi="Fira Sans" w:cs="Fira Sans"/>
          <w:sz w:val="24"/>
          <w:szCs w:val="24"/>
        </w:rPr>
        <w:t xml:space="preserve">swiftly </w:t>
      </w:r>
      <w:r>
        <w:rPr>
          <w:rFonts w:ascii="Fira Sans" w:eastAsia="Fira Sans" w:hAnsi="Fira Sans" w:cs="Fira Sans"/>
          <w:sz w:val="24"/>
          <w:szCs w:val="24"/>
        </w:rPr>
        <w:t xml:space="preserve">grow its engineering </w:t>
      </w:r>
      <w:r w:rsidR="000B396D">
        <w:rPr>
          <w:rFonts w:ascii="Fira Sans" w:eastAsia="Fira Sans" w:hAnsi="Fira Sans" w:cs="Fira Sans"/>
          <w:sz w:val="24"/>
          <w:szCs w:val="24"/>
        </w:rPr>
        <w:t xml:space="preserve">workforce </w:t>
      </w:r>
      <w:r>
        <w:rPr>
          <w:rFonts w:ascii="Fira Sans" w:eastAsia="Fira Sans" w:hAnsi="Fira Sans" w:cs="Fira Sans"/>
          <w:sz w:val="24"/>
          <w:szCs w:val="24"/>
        </w:rPr>
        <w:t>outside of Eastern Europe</w:t>
      </w:r>
      <w:r w:rsidR="0083693E">
        <w:rPr>
          <w:rFonts w:ascii="Fira Sans" w:eastAsia="Fira Sans" w:hAnsi="Fira Sans" w:cs="Fira Sans"/>
          <w:sz w:val="24"/>
          <w:szCs w:val="24"/>
        </w:rPr>
        <w:t>,</w:t>
      </w:r>
      <w:r w:rsidR="00BB370F">
        <w:rPr>
          <w:rFonts w:ascii="Fira Sans" w:eastAsia="Fira Sans" w:hAnsi="Fira Sans" w:cs="Fira Sans"/>
          <w:sz w:val="24"/>
          <w:szCs w:val="24"/>
        </w:rPr>
        <w:t xml:space="preserve"> while</w:t>
      </w:r>
      <w:r>
        <w:rPr>
          <w:rFonts w:ascii="Fira Sans" w:eastAsia="Fira Sans" w:hAnsi="Fira Sans" w:cs="Fira Sans"/>
          <w:sz w:val="24"/>
          <w:szCs w:val="24"/>
        </w:rPr>
        <w:t xml:space="preserve"> </w:t>
      </w:r>
      <w:r w:rsidR="00BB370F">
        <w:rPr>
          <w:rFonts w:ascii="Fira Sans" w:eastAsia="Fira Sans" w:hAnsi="Fira Sans" w:cs="Fira Sans"/>
          <w:sz w:val="24"/>
          <w:szCs w:val="24"/>
        </w:rPr>
        <w:t xml:space="preserve">accelerating </w:t>
      </w:r>
      <w:r>
        <w:rPr>
          <w:rFonts w:ascii="Fira Sans" w:eastAsia="Fira Sans" w:hAnsi="Fira Sans" w:cs="Fira Sans"/>
          <w:sz w:val="24"/>
          <w:szCs w:val="24"/>
        </w:rPr>
        <w:t xml:space="preserve">relocations from Eastern Europe to Central Europe, Mexico, and other locations. As of today, the </w:t>
      </w:r>
      <w:r w:rsidR="00077B95">
        <w:rPr>
          <w:rFonts w:ascii="Fira Sans" w:eastAsia="Fira Sans" w:hAnsi="Fira Sans" w:cs="Fira Sans"/>
          <w:sz w:val="24"/>
          <w:szCs w:val="24"/>
        </w:rPr>
        <w:t xml:space="preserve">number of employees </w:t>
      </w:r>
      <w:r>
        <w:rPr>
          <w:rFonts w:ascii="Fira Sans" w:eastAsia="Fira Sans" w:hAnsi="Fira Sans" w:cs="Fira Sans"/>
          <w:sz w:val="24"/>
          <w:szCs w:val="24"/>
        </w:rPr>
        <w:t>based in Eastern Europe comprises about half of the company’s total headcount, down from more than two</w:t>
      </w:r>
      <w:r w:rsidR="0083693E">
        <w:rPr>
          <w:rFonts w:ascii="Fira Sans" w:eastAsia="Fira Sans" w:hAnsi="Fira Sans" w:cs="Fira Sans"/>
          <w:sz w:val="24"/>
          <w:szCs w:val="24"/>
        </w:rPr>
        <w:t>-</w:t>
      </w:r>
      <w:r>
        <w:rPr>
          <w:rFonts w:ascii="Fira Sans" w:eastAsia="Fira Sans" w:hAnsi="Fira Sans" w:cs="Fira Sans"/>
          <w:sz w:val="24"/>
          <w:szCs w:val="24"/>
        </w:rPr>
        <w:t>thirds as of February 24</w:t>
      </w:r>
      <w:r w:rsidRPr="000B396D">
        <w:rPr>
          <w:rFonts w:ascii="Fira Sans" w:eastAsia="Fira Sans" w:hAnsi="Fira Sans" w:cs="Fira Sans"/>
          <w:sz w:val="24"/>
          <w:szCs w:val="24"/>
          <w:vertAlign w:val="superscript"/>
        </w:rPr>
        <w:t>th</w:t>
      </w:r>
      <w:r w:rsidR="00BB370F">
        <w:rPr>
          <w:rFonts w:ascii="Fira Sans" w:eastAsia="Fira Sans" w:hAnsi="Fira Sans" w:cs="Fira Sans"/>
          <w:sz w:val="24"/>
          <w:szCs w:val="24"/>
        </w:rPr>
        <w:t>, 2022</w:t>
      </w:r>
      <w:r>
        <w:rPr>
          <w:rFonts w:ascii="Fira Sans" w:eastAsia="Fira Sans" w:hAnsi="Fira Sans" w:cs="Fira Sans"/>
          <w:sz w:val="24"/>
          <w:szCs w:val="24"/>
        </w:rPr>
        <w:t xml:space="preserve">. Grid Dynamics </w:t>
      </w:r>
      <w:r w:rsidR="002B68C9">
        <w:rPr>
          <w:rFonts w:ascii="Fira Sans" w:eastAsia="Fira Sans" w:hAnsi="Fira Sans" w:cs="Fira Sans"/>
          <w:sz w:val="24"/>
          <w:szCs w:val="24"/>
        </w:rPr>
        <w:t xml:space="preserve">also </w:t>
      </w:r>
      <w:r>
        <w:rPr>
          <w:rFonts w:ascii="Fira Sans" w:eastAsia="Fira Sans" w:hAnsi="Fira Sans" w:cs="Fira Sans"/>
          <w:sz w:val="24"/>
          <w:szCs w:val="24"/>
        </w:rPr>
        <w:t xml:space="preserve">continues hiring in </w:t>
      </w:r>
      <w:r w:rsidR="00AD4923">
        <w:rPr>
          <w:rFonts w:ascii="Fira Sans" w:eastAsia="Fira Sans" w:hAnsi="Fira Sans" w:cs="Fira Sans"/>
          <w:sz w:val="24"/>
          <w:szCs w:val="24"/>
        </w:rPr>
        <w:t>w</w:t>
      </w:r>
      <w:r>
        <w:rPr>
          <w:rFonts w:ascii="Fira Sans" w:eastAsia="Fira Sans" w:hAnsi="Fira Sans" w:cs="Fira Sans"/>
          <w:sz w:val="24"/>
          <w:szCs w:val="24"/>
        </w:rPr>
        <w:t xml:space="preserve">estern Ukraine. Outside of </w:t>
      </w:r>
      <w:r w:rsidR="00AD4923">
        <w:rPr>
          <w:rFonts w:ascii="Fira Sans" w:eastAsia="Fira Sans" w:hAnsi="Fira Sans" w:cs="Fira Sans"/>
          <w:sz w:val="24"/>
          <w:szCs w:val="24"/>
        </w:rPr>
        <w:t>w</w:t>
      </w:r>
      <w:r>
        <w:rPr>
          <w:rFonts w:ascii="Fira Sans" w:eastAsia="Fira Sans" w:hAnsi="Fira Sans" w:cs="Fira Sans"/>
          <w:sz w:val="24"/>
          <w:szCs w:val="24"/>
        </w:rPr>
        <w:t xml:space="preserve">estern Ukraine, the engineering workforce serving </w:t>
      </w:r>
      <w:r w:rsidR="00BB370F">
        <w:rPr>
          <w:rFonts w:ascii="Fira Sans" w:eastAsia="Fira Sans" w:hAnsi="Fira Sans" w:cs="Fira Sans"/>
          <w:sz w:val="24"/>
          <w:szCs w:val="24"/>
        </w:rPr>
        <w:t xml:space="preserve">enterprise </w:t>
      </w:r>
      <w:r>
        <w:rPr>
          <w:rFonts w:ascii="Fira Sans" w:eastAsia="Fira Sans" w:hAnsi="Fira Sans" w:cs="Fira Sans"/>
          <w:sz w:val="24"/>
          <w:szCs w:val="24"/>
        </w:rPr>
        <w:t xml:space="preserve">accounts in Eastern Europe is less than 20% of </w:t>
      </w:r>
      <w:r w:rsidR="0083693E">
        <w:rPr>
          <w:rFonts w:ascii="Fira Sans" w:eastAsia="Fira Sans" w:hAnsi="Fira Sans" w:cs="Fira Sans"/>
          <w:sz w:val="24"/>
          <w:szCs w:val="24"/>
        </w:rPr>
        <w:t xml:space="preserve">the </w:t>
      </w:r>
      <w:r>
        <w:rPr>
          <w:rFonts w:ascii="Fira Sans" w:eastAsia="Fira Sans" w:hAnsi="Fira Sans" w:cs="Fira Sans"/>
          <w:sz w:val="24"/>
          <w:szCs w:val="24"/>
        </w:rPr>
        <w:t xml:space="preserve">total headcount, down from 33% five weeks ago. </w:t>
      </w:r>
      <w:r w:rsidR="006C6145">
        <w:rPr>
          <w:rFonts w:ascii="Fira Sans" w:eastAsia="Fira Sans" w:hAnsi="Fira Sans" w:cs="Fira Sans"/>
          <w:sz w:val="24"/>
          <w:szCs w:val="24"/>
        </w:rPr>
        <w:t xml:space="preserve">The </w:t>
      </w:r>
      <w:r>
        <w:rPr>
          <w:rFonts w:ascii="Fira Sans" w:eastAsia="Fira Sans" w:hAnsi="Fira Sans" w:cs="Fira Sans"/>
          <w:sz w:val="24"/>
          <w:szCs w:val="24"/>
        </w:rPr>
        <w:t>trend is expected to persist.</w:t>
      </w:r>
    </w:p>
    <w:p w14:paraId="604AB979" w14:textId="77777777" w:rsidR="0028083B" w:rsidRDefault="0028083B">
      <w:pPr>
        <w:rPr>
          <w:rFonts w:ascii="Fira Sans" w:eastAsia="Fira Sans" w:hAnsi="Fira Sans" w:cs="Fira Sans"/>
          <w:sz w:val="24"/>
          <w:szCs w:val="24"/>
        </w:rPr>
      </w:pPr>
    </w:p>
    <w:p w14:paraId="2DBA3EE2" w14:textId="6BDC773D" w:rsidR="0028083B" w:rsidRDefault="003907B2">
      <w:pPr>
        <w:rPr>
          <w:rFonts w:ascii="Fira Sans" w:eastAsia="Fira Sans" w:hAnsi="Fira Sans" w:cs="Fira Sans"/>
          <w:sz w:val="24"/>
          <w:szCs w:val="24"/>
        </w:rPr>
      </w:pPr>
      <w:r>
        <w:rPr>
          <w:rFonts w:ascii="Fira Sans" w:eastAsia="Fira Sans" w:hAnsi="Fira Sans" w:cs="Fira Sans"/>
          <w:sz w:val="24"/>
          <w:szCs w:val="24"/>
        </w:rPr>
        <w:t>In response to increased client demand, the company</w:t>
      </w:r>
      <w:r w:rsidR="00AD4923">
        <w:rPr>
          <w:rFonts w:ascii="Fira Sans" w:eastAsia="Fira Sans" w:hAnsi="Fira Sans" w:cs="Fira Sans"/>
          <w:sz w:val="24"/>
          <w:szCs w:val="24"/>
        </w:rPr>
        <w:t xml:space="preserve"> is </w:t>
      </w:r>
      <w:r>
        <w:rPr>
          <w:rFonts w:ascii="Fira Sans" w:eastAsia="Fira Sans" w:hAnsi="Fira Sans" w:cs="Fira Sans"/>
          <w:sz w:val="24"/>
          <w:szCs w:val="24"/>
        </w:rPr>
        <w:t>accelerat</w:t>
      </w:r>
      <w:r w:rsidR="00AD4923">
        <w:rPr>
          <w:rFonts w:ascii="Fira Sans" w:eastAsia="Fira Sans" w:hAnsi="Fira Sans" w:cs="Fira Sans"/>
          <w:sz w:val="24"/>
          <w:szCs w:val="24"/>
        </w:rPr>
        <w:t>ing</w:t>
      </w:r>
      <w:bookmarkStart w:id="0" w:name="_GoBack"/>
      <w:bookmarkEnd w:id="0"/>
      <w:r>
        <w:rPr>
          <w:rFonts w:ascii="Fira Sans" w:eastAsia="Fira Sans" w:hAnsi="Fira Sans" w:cs="Fira Sans"/>
          <w:sz w:val="24"/>
          <w:szCs w:val="24"/>
        </w:rPr>
        <w:t xml:space="preserve"> workforce expansion across geographic regions</w:t>
      </w:r>
      <w:r w:rsidR="00077B95">
        <w:rPr>
          <w:rFonts w:ascii="Fira Sans" w:eastAsia="Fira Sans" w:hAnsi="Fira Sans" w:cs="Fira Sans"/>
          <w:sz w:val="24"/>
          <w:szCs w:val="24"/>
        </w:rPr>
        <w:t>,</w:t>
      </w:r>
      <w:r>
        <w:rPr>
          <w:rFonts w:ascii="Fira Sans" w:eastAsia="Fira Sans" w:hAnsi="Fira Sans" w:cs="Fira Sans"/>
          <w:sz w:val="24"/>
          <w:szCs w:val="24"/>
        </w:rPr>
        <w:t xml:space="preserve"> including Central Europe, </w:t>
      </w:r>
      <w:r w:rsidR="00077B95">
        <w:rPr>
          <w:rFonts w:ascii="Fira Sans" w:eastAsia="Fira Sans" w:hAnsi="Fira Sans" w:cs="Fira Sans"/>
          <w:sz w:val="24"/>
          <w:szCs w:val="24"/>
        </w:rPr>
        <w:t xml:space="preserve">the </w:t>
      </w:r>
      <w:r>
        <w:rPr>
          <w:rFonts w:ascii="Fira Sans" w:eastAsia="Fira Sans" w:hAnsi="Fira Sans" w:cs="Fira Sans"/>
          <w:sz w:val="24"/>
          <w:szCs w:val="24"/>
        </w:rPr>
        <w:t xml:space="preserve">US, Mexico, and India. </w:t>
      </w:r>
    </w:p>
    <w:p w14:paraId="5D0B3B77" w14:textId="77777777" w:rsidR="0028083B" w:rsidRDefault="0028083B">
      <w:pPr>
        <w:rPr>
          <w:rFonts w:ascii="Fira Sans" w:eastAsia="Fira Sans" w:hAnsi="Fira Sans" w:cs="Fira Sans"/>
          <w:sz w:val="24"/>
          <w:szCs w:val="24"/>
        </w:rPr>
      </w:pPr>
    </w:p>
    <w:p w14:paraId="12F53C7E" w14:textId="77777777" w:rsidR="0028083B" w:rsidRDefault="0028083B">
      <w:pPr>
        <w:rPr>
          <w:rFonts w:ascii="Fira Sans" w:eastAsia="Fira Sans" w:hAnsi="Fira Sans" w:cs="Fira Sans"/>
          <w:sz w:val="24"/>
          <w:szCs w:val="24"/>
          <w:highlight w:val="yellow"/>
        </w:rPr>
      </w:pPr>
    </w:p>
    <w:p w14:paraId="651E75B4" w14:textId="77777777" w:rsidR="0028083B" w:rsidRDefault="0028083B">
      <w:pPr>
        <w:rPr>
          <w:rFonts w:ascii="Fira Sans" w:eastAsia="Fira Sans" w:hAnsi="Fira Sans" w:cs="Fira Sans"/>
          <w:sz w:val="24"/>
          <w:szCs w:val="24"/>
          <w:highlight w:val="yellow"/>
        </w:rPr>
      </w:pPr>
    </w:p>
    <w:p w14:paraId="5C96629D" w14:textId="77777777" w:rsidR="0028083B" w:rsidRPr="0031169C" w:rsidRDefault="003907B2">
      <w:pPr>
        <w:jc w:val="center"/>
        <w:rPr>
          <w:rFonts w:ascii="Fira Sans" w:eastAsia="Fira Sans" w:hAnsi="Fira Sans" w:cs="Fira Sans"/>
          <w:sz w:val="24"/>
          <w:szCs w:val="24"/>
        </w:rPr>
      </w:pPr>
      <w:r w:rsidRPr="0031169C">
        <w:rPr>
          <w:rFonts w:ascii="Fira Sans" w:eastAsia="Fira Sans" w:hAnsi="Fira Sans" w:cs="Fira Sans"/>
          <w:sz w:val="24"/>
          <w:szCs w:val="24"/>
        </w:rPr>
        <w:t># # #</w:t>
      </w:r>
    </w:p>
    <w:p w14:paraId="10521447" w14:textId="77777777" w:rsidR="0028083B" w:rsidRDefault="0028083B">
      <w:pPr>
        <w:rPr>
          <w:rFonts w:ascii="Fira Sans" w:eastAsia="Fira Sans" w:hAnsi="Fira Sans" w:cs="Fira Sans"/>
          <w:b/>
          <w:sz w:val="24"/>
          <w:szCs w:val="24"/>
          <w:highlight w:val="yellow"/>
        </w:rPr>
      </w:pPr>
    </w:p>
    <w:p w14:paraId="37E0A935" w14:textId="77777777" w:rsidR="0028083B" w:rsidRDefault="0028083B">
      <w:pPr>
        <w:rPr>
          <w:rFonts w:ascii="Fira Sans" w:eastAsia="Fira Sans" w:hAnsi="Fira Sans" w:cs="Fira Sans"/>
          <w:sz w:val="24"/>
          <w:szCs w:val="24"/>
          <w:highlight w:val="yellow"/>
        </w:rPr>
      </w:pPr>
    </w:p>
    <w:p w14:paraId="40C81FAF" w14:textId="77777777" w:rsidR="0028083B" w:rsidRDefault="003907B2">
      <w:pPr>
        <w:rPr>
          <w:rFonts w:ascii="Fira Sans" w:eastAsia="Fira Sans" w:hAnsi="Fira Sans" w:cs="Fira Sans"/>
          <w:b/>
          <w:sz w:val="24"/>
          <w:szCs w:val="24"/>
        </w:rPr>
      </w:pPr>
      <w:r>
        <w:rPr>
          <w:rFonts w:ascii="Fira Sans" w:eastAsia="Fira Sans" w:hAnsi="Fira Sans" w:cs="Fira Sans"/>
          <w:b/>
          <w:sz w:val="24"/>
          <w:szCs w:val="24"/>
        </w:rPr>
        <w:t>About Grid Dynamics</w:t>
      </w:r>
    </w:p>
    <w:p w14:paraId="587456B6" w14:textId="77777777" w:rsidR="0028083B" w:rsidRDefault="003907B2">
      <w:pPr>
        <w:rPr>
          <w:rFonts w:ascii="Fira Sans" w:eastAsia="Fira Sans" w:hAnsi="Fira Sans" w:cs="Fira Sans"/>
          <w:sz w:val="24"/>
          <w:szCs w:val="24"/>
        </w:rPr>
      </w:pPr>
      <w:r>
        <w:rPr>
          <w:rFonts w:ascii="Fira Sans" w:eastAsia="Fira Sans" w:hAnsi="Fira Sans" w:cs="Fira Sans"/>
          <w:sz w:val="24"/>
          <w:szCs w:val="24"/>
        </w:rPr>
        <w:lastRenderedPageBreak/>
        <w:t>Grid Dynamics (Nasdaq: GDYN) is a digital-native technology services provider that accelerates growth and bolsters competitive advantage for Fortune 1000 companies. Grid Dynamics provides digital transformation consulting and implementation services in omnichannel customer experience, big data analytics, search, artificial intelligence, cloud migration, and application modernization. Grid Dynamics achieves high speed-to-market, quality, and efficiency by using technology accelerators, an agile delivery culture, and its pool of global engineering talent. Founded in 2006, Grid Dynamics is headquartered in Silicon Valley with offices across the US, UK, Netherlands, Mexico, and Central and Eastern Europe.</w:t>
      </w:r>
    </w:p>
    <w:p w14:paraId="022F71AB" w14:textId="77777777" w:rsidR="0028083B" w:rsidRDefault="0028083B">
      <w:pPr>
        <w:rPr>
          <w:rFonts w:ascii="Fira Sans" w:eastAsia="Fira Sans" w:hAnsi="Fira Sans" w:cs="Fira Sans"/>
          <w:sz w:val="24"/>
          <w:szCs w:val="24"/>
        </w:rPr>
      </w:pPr>
    </w:p>
    <w:p w14:paraId="71284FA9" w14:textId="77777777" w:rsidR="0028083B" w:rsidRDefault="003907B2">
      <w:pPr>
        <w:rPr>
          <w:rFonts w:ascii="Fira Sans" w:eastAsia="Fira Sans" w:hAnsi="Fira Sans" w:cs="Fira Sans"/>
          <w:sz w:val="24"/>
          <w:szCs w:val="24"/>
        </w:rPr>
      </w:pPr>
      <w:r>
        <w:rPr>
          <w:rFonts w:ascii="Fira Sans" w:eastAsia="Fira Sans" w:hAnsi="Fira Sans" w:cs="Fira Sans"/>
          <w:sz w:val="24"/>
          <w:szCs w:val="24"/>
        </w:rPr>
        <w:t xml:space="preserve">To learn more about Grid Dynamics, please visit </w:t>
      </w:r>
      <w:hyperlink r:id="rId10">
        <w:r>
          <w:rPr>
            <w:rFonts w:ascii="Fira Sans" w:eastAsia="Fira Sans" w:hAnsi="Fira Sans" w:cs="Fira Sans"/>
            <w:color w:val="1155CC"/>
            <w:sz w:val="24"/>
            <w:szCs w:val="24"/>
            <w:u w:val="single"/>
          </w:rPr>
          <w:t>www.griddynamics.com</w:t>
        </w:r>
      </w:hyperlink>
      <w:r>
        <w:rPr>
          <w:rFonts w:ascii="Fira Sans" w:eastAsia="Fira Sans" w:hAnsi="Fira Sans" w:cs="Fira Sans"/>
          <w:sz w:val="24"/>
          <w:szCs w:val="24"/>
        </w:rPr>
        <w:t xml:space="preserve">. Follow us on </w:t>
      </w:r>
      <w:hyperlink r:id="rId11">
        <w:r>
          <w:rPr>
            <w:rFonts w:ascii="Fira Sans" w:eastAsia="Fira Sans" w:hAnsi="Fira Sans" w:cs="Fira Sans"/>
            <w:color w:val="1155CC"/>
            <w:sz w:val="24"/>
            <w:szCs w:val="24"/>
            <w:u w:val="single"/>
          </w:rPr>
          <w:t>Facebook</w:t>
        </w:r>
      </w:hyperlink>
      <w:r>
        <w:rPr>
          <w:rFonts w:ascii="Fira Sans" w:eastAsia="Fira Sans" w:hAnsi="Fira Sans" w:cs="Fira Sans"/>
          <w:sz w:val="24"/>
          <w:szCs w:val="24"/>
        </w:rPr>
        <w:t xml:space="preserve">, </w:t>
      </w:r>
      <w:hyperlink r:id="rId12">
        <w:r>
          <w:rPr>
            <w:rFonts w:ascii="Fira Sans" w:eastAsia="Fira Sans" w:hAnsi="Fira Sans" w:cs="Fira Sans"/>
            <w:color w:val="1155CC"/>
            <w:sz w:val="24"/>
            <w:szCs w:val="24"/>
            <w:u w:val="single"/>
          </w:rPr>
          <w:t>Twitter</w:t>
        </w:r>
      </w:hyperlink>
      <w:r>
        <w:rPr>
          <w:rFonts w:ascii="Fira Sans" w:eastAsia="Fira Sans" w:hAnsi="Fira Sans" w:cs="Fira Sans"/>
          <w:sz w:val="24"/>
          <w:szCs w:val="24"/>
        </w:rPr>
        <w:t xml:space="preserve">, and </w:t>
      </w:r>
      <w:hyperlink r:id="rId13">
        <w:r>
          <w:rPr>
            <w:rFonts w:ascii="Fira Sans" w:eastAsia="Fira Sans" w:hAnsi="Fira Sans" w:cs="Fira Sans"/>
            <w:color w:val="1155CC"/>
            <w:sz w:val="24"/>
            <w:szCs w:val="24"/>
            <w:u w:val="single"/>
          </w:rPr>
          <w:t>LinkedIn</w:t>
        </w:r>
      </w:hyperlink>
      <w:r>
        <w:rPr>
          <w:rFonts w:ascii="Fira Sans" w:eastAsia="Fira Sans" w:hAnsi="Fira Sans" w:cs="Fira Sans"/>
          <w:sz w:val="24"/>
          <w:szCs w:val="24"/>
        </w:rPr>
        <w:t>.</w:t>
      </w:r>
    </w:p>
    <w:p w14:paraId="3284FC7C" w14:textId="77777777" w:rsidR="0028083B" w:rsidRDefault="0028083B">
      <w:pPr>
        <w:rPr>
          <w:rFonts w:ascii="Fira Sans" w:eastAsia="Fira Sans" w:hAnsi="Fira Sans" w:cs="Fira Sans"/>
          <w:sz w:val="24"/>
          <w:szCs w:val="24"/>
        </w:rPr>
      </w:pPr>
    </w:p>
    <w:p w14:paraId="32D6F5CB" w14:textId="77777777" w:rsidR="0028083B" w:rsidRPr="00535CB2" w:rsidRDefault="003907B2">
      <w:pPr>
        <w:spacing w:before="580" w:after="580"/>
        <w:rPr>
          <w:rFonts w:ascii="Fira Sans" w:eastAsia="Fira Sans" w:hAnsi="Fira Sans" w:cs="Fira Sans"/>
          <w:b/>
          <w:sz w:val="24"/>
          <w:szCs w:val="24"/>
        </w:rPr>
      </w:pPr>
      <w:r w:rsidRPr="00535CB2">
        <w:rPr>
          <w:rFonts w:ascii="Fira Sans" w:eastAsia="Fira Sans" w:hAnsi="Fira Sans" w:cs="Fira Sans"/>
          <w:b/>
          <w:sz w:val="24"/>
          <w:szCs w:val="24"/>
        </w:rPr>
        <w:t>Forward-Looking Statements</w:t>
      </w:r>
    </w:p>
    <w:p w14:paraId="7BA030ED" w14:textId="11C6A7A0" w:rsidR="0028083B" w:rsidRDefault="003907B2">
      <w:pPr>
        <w:spacing w:before="580" w:after="580"/>
        <w:rPr>
          <w:rFonts w:ascii="Fira Sans" w:eastAsia="Fira Sans" w:hAnsi="Fira Sans" w:cs="Fira Sans"/>
          <w:sz w:val="24"/>
          <w:szCs w:val="24"/>
        </w:rPr>
      </w:pPr>
      <w:r>
        <w:rPr>
          <w:rFonts w:ascii="Fira Sans" w:eastAsia="Fira Sans" w:hAnsi="Fira Sans" w:cs="Fira Sans"/>
          <w:sz w:val="24"/>
          <w:szCs w:val="24"/>
        </w:rPr>
        <w:t>This communication contains "forward-looking statements" within the meaning of Section 27A of the Securities Act of 1933 and Section 21E of the Securities Exchange Act of 1934 that are not historical facts and involve risks and uncertainties that could cause</w:t>
      </w:r>
      <w:r w:rsidR="006C6145">
        <w:rPr>
          <w:rFonts w:ascii="Fira Sans" w:eastAsia="Fira Sans" w:hAnsi="Fira Sans" w:cs="Fira Sans"/>
          <w:sz w:val="24"/>
          <w:szCs w:val="24"/>
        </w:rPr>
        <w:t xml:space="preserve"> the</w:t>
      </w:r>
      <w:r>
        <w:rPr>
          <w:rFonts w:ascii="Fira Sans" w:eastAsia="Fira Sans" w:hAnsi="Fira Sans" w:cs="Fira Sans"/>
          <w:sz w:val="24"/>
          <w:szCs w:val="24"/>
        </w:rPr>
        <w:t xml:space="preserve"> actual results of Grid Dynamics to differ materially from those expected and projected. These forward-looking statements can be identified by the use of forward-looking terminology, including the words "believes," "estimates," "anticipates," "expects," "intends," "plans," "may," "will," "potential," "projects," "predicts," "continue," or "should," or, in each case, their negative or other variations or comparable terminology. These forward-looking statements include, without limitation, the statement </w:t>
      </w:r>
      <w:r w:rsidR="00A12734">
        <w:rPr>
          <w:rFonts w:ascii="Fira Sans" w:eastAsia="Fira Sans" w:hAnsi="Fira Sans" w:cs="Fira Sans"/>
          <w:sz w:val="24"/>
          <w:szCs w:val="24"/>
        </w:rPr>
        <w:t xml:space="preserve">increasing revenue </w:t>
      </w:r>
      <w:r>
        <w:rPr>
          <w:rFonts w:ascii="Fira Sans" w:eastAsia="Fira Sans" w:hAnsi="Fira Sans" w:cs="Fira Sans"/>
          <w:sz w:val="24"/>
          <w:szCs w:val="24"/>
        </w:rPr>
        <w:t xml:space="preserve">guidance for Q1 2022 and statements concerning Grid Dynamics's expectations with respect to </w:t>
      </w:r>
      <w:r w:rsidR="00A12734">
        <w:rPr>
          <w:rFonts w:ascii="Fira Sans" w:eastAsia="Fira Sans" w:hAnsi="Fira Sans" w:cs="Fira Sans"/>
          <w:sz w:val="24"/>
          <w:szCs w:val="24"/>
        </w:rPr>
        <w:t xml:space="preserve">workforce hiring and other </w:t>
      </w:r>
      <w:r>
        <w:rPr>
          <w:rFonts w:ascii="Fira Sans" w:eastAsia="Fira Sans" w:hAnsi="Fira Sans" w:cs="Fira Sans"/>
          <w:sz w:val="24"/>
          <w:szCs w:val="24"/>
        </w:rPr>
        <w:t>future performance, particularly in light of the COVID-19 pandemic and the Russian invasion of Ukraine.</w:t>
      </w:r>
    </w:p>
    <w:p w14:paraId="4B81FF8A" w14:textId="2DBC9785" w:rsidR="0028083B" w:rsidRDefault="003907B2">
      <w:pPr>
        <w:spacing w:before="580" w:after="580"/>
        <w:rPr>
          <w:rFonts w:ascii="Fira Sans" w:eastAsia="Fira Sans" w:hAnsi="Fira Sans" w:cs="Fira Sans"/>
          <w:sz w:val="24"/>
          <w:szCs w:val="24"/>
        </w:rPr>
      </w:pPr>
      <w:r>
        <w:rPr>
          <w:rFonts w:ascii="Fira Sans" w:eastAsia="Fira Sans" w:hAnsi="Fira Sans" w:cs="Fira Sans"/>
          <w:sz w:val="24"/>
          <w:szCs w:val="24"/>
        </w:rPr>
        <w:t xml:space="preserve">These forward-looking statements involve significant risks and uncertainties that could cause the actual results to differ materially from the expected results. Most of these factors are outside Grid Dynamics' control and are difficult to predict. Factors that may cause such differences include, but are not limited to: (i) Grid Dynamics has a relatively short operating history and operates in a rapidly evolving industry, which makes it difficult to evaluate future prospects and may increase the risk that it will not continue to be successful and may adversely impact our stock price; (ii) Grid Dynamics may be unable to effectively manage its growth or achieve anticipated growth, which could place significant strain on Grid Dynamics' management personnel, systems and resources; (iii) Grid Dynamics' revenues are highly dependent on a limited number of clients and industries that are affected by seasonal trends, and any decrease in demand for outsourced services in these industries may reduce Grid Dynamics' revenues and adversely affect Grid </w:t>
      </w:r>
      <w:r>
        <w:rPr>
          <w:rFonts w:ascii="Fira Sans" w:eastAsia="Fira Sans" w:hAnsi="Fira Sans" w:cs="Fira Sans"/>
          <w:sz w:val="24"/>
          <w:szCs w:val="24"/>
        </w:rPr>
        <w:lastRenderedPageBreak/>
        <w:t>Dynamics' business, financial condition and results of operations; (iv) the impact of the COVID-19 pandemic and the Russian invasion of Ukraine has and may continue to materially adversely affect our stock price, business operations, and overall financial performance; (v) Grid Dynamics' revenues are highly dependent on clients primarily located in the United States, and any economic downturn in the United States or in other parts of the world, including Europe or disruptions in the credit markets may have a material adverse effect on Grid Dynamics' business, financial condition and results of operations; (vi) Grid Dynamics faces intense and increasing competition; (vii) Grid Dynamics' failure to successfully attract, hire, develop, motivate and retain highly skilled personnel could materially adversely affect Grid Dynamics' business, financial condition and results of operations; (viii) failure to adapt to rapidly changing technologies, methodologies and evolving industry standards may have a material adverse effect on Grid Dynamics' business, financial condition and results of operations; (ix) failure to successfully deliver contracted services or causing disruptions to clients' businesses may have a material adverse effect on Grid Dynamics' reputation, business, financial condition and results of operations; (x) risks and costs related to acquiring and integrating other companies, including Daxx and Tacit; and (xi) other risks and uncertainties indicated in Grid Dynamics filings with the SEC.</w:t>
      </w:r>
    </w:p>
    <w:p w14:paraId="55352C52" w14:textId="77777777" w:rsidR="0028083B" w:rsidRDefault="003907B2">
      <w:pPr>
        <w:spacing w:before="580" w:after="580"/>
        <w:rPr>
          <w:rFonts w:ascii="Fira Sans" w:eastAsia="Fira Sans" w:hAnsi="Fira Sans" w:cs="Fira Sans"/>
          <w:sz w:val="24"/>
          <w:szCs w:val="24"/>
        </w:rPr>
      </w:pPr>
      <w:r>
        <w:rPr>
          <w:rFonts w:ascii="Fira Sans" w:eastAsia="Fira Sans" w:hAnsi="Fira Sans" w:cs="Fira Sans"/>
          <w:sz w:val="24"/>
          <w:szCs w:val="24"/>
        </w:rPr>
        <w:t>Grid Dynamics cautions that the foregoing list of factors is not exclusive. Grid Dynamics cautions readers not to place undue reliance upon any forward-looking statements, which speak only as of the date made. Grid Dynamics does not undertake or accept any obligation or undertaking to release publicly any updates or revisions to any forward-looking statements to reflect any change in its expectations or any change in events, conditions or circumstances on which any such statement is based. Further information about factors that could materially affect Grid Dynamics, including its results of operations and financial condition, is set forth under the "Risk Factors" section of the Company's annual report on Form 10-K filed March 3, 2022 and in other periodic filings Grid Dynamics makes with the SEC.</w:t>
      </w:r>
    </w:p>
    <w:p w14:paraId="73F221CC" w14:textId="77777777" w:rsidR="0028083B" w:rsidRDefault="0028083B">
      <w:pPr>
        <w:rPr>
          <w:rFonts w:ascii="Fira Sans" w:eastAsia="Fira Sans" w:hAnsi="Fira Sans" w:cs="Fira Sans"/>
          <w:sz w:val="24"/>
          <w:szCs w:val="24"/>
        </w:rPr>
      </w:pPr>
    </w:p>
    <w:p w14:paraId="2B079169" w14:textId="77777777" w:rsidR="0028083B" w:rsidRDefault="003907B2">
      <w:pPr>
        <w:rPr>
          <w:rFonts w:ascii="Fira Sans" w:eastAsia="Fira Sans" w:hAnsi="Fira Sans" w:cs="Fira Sans"/>
          <w:sz w:val="24"/>
          <w:szCs w:val="24"/>
        </w:rPr>
      </w:pPr>
      <w:r>
        <w:rPr>
          <w:rFonts w:ascii="Fira Sans" w:eastAsia="Fira Sans" w:hAnsi="Fira Sans" w:cs="Fira Sans"/>
          <w:sz w:val="24"/>
          <w:szCs w:val="24"/>
        </w:rPr>
        <w:t xml:space="preserve"> </w:t>
      </w:r>
    </w:p>
    <w:p w14:paraId="5C623E30" w14:textId="77777777" w:rsidR="0031169C" w:rsidRPr="0031169C" w:rsidRDefault="0031169C" w:rsidP="0031169C">
      <w:pPr>
        <w:rPr>
          <w:rFonts w:ascii="Fira Sans" w:eastAsia="Fira Sans" w:hAnsi="Fira Sans" w:cs="Fira Sans"/>
          <w:b/>
          <w:sz w:val="24"/>
          <w:szCs w:val="24"/>
        </w:rPr>
      </w:pPr>
      <w:r w:rsidRPr="0031169C">
        <w:rPr>
          <w:rFonts w:ascii="Fira Sans" w:eastAsia="Fira Sans" w:hAnsi="Fira Sans" w:cs="Fira Sans"/>
          <w:b/>
          <w:sz w:val="24"/>
          <w:szCs w:val="24"/>
        </w:rPr>
        <w:t>Contact</w:t>
      </w:r>
    </w:p>
    <w:p w14:paraId="3FF8977F" w14:textId="77777777" w:rsidR="0031169C" w:rsidRPr="0031169C" w:rsidRDefault="0031169C" w:rsidP="0031169C">
      <w:pPr>
        <w:rPr>
          <w:rFonts w:ascii="Fira Sans" w:eastAsia="Fira Sans" w:hAnsi="Fira Sans" w:cs="Fira Sans"/>
          <w:sz w:val="24"/>
          <w:szCs w:val="24"/>
        </w:rPr>
      </w:pPr>
      <w:r w:rsidRPr="0031169C">
        <w:rPr>
          <w:rFonts w:ascii="Fira Sans" w:eastAsia="Fira Sans" w:hAnsi="Fira Sans" w:cs="Fira Sans"/>
          <w:sz w:val="24"/>
          <w:szCs w:val="24"/>
        </w:rPr>
        <w:t>investorrelations@griddynamics.com</w:t>
      </w:r>
    </w:p>
    <w:p w14:paraId="3ED8B7BB" w14:textId="77777777" w:rsidR="0028083B" w:rsidRDefault="0028083B" w:rsidP="0031169C">
      <w:pPr>
        <w:rPr>
          <w:rFonts w:ascii="Fira Sans" w:eastAsia="Fira Sans" w:hAnsi="Fira Sans" w:cs="Fira Sans"/>
          <w:sz w:val="24"/>
          <w:szCs w:val="24"/>
        </w:rPr>
      </w:pPr>
    </w:p>
    <w:sectPr w:rsidR="0028083B">
      <w:headerReference w:type="first" r:id="rId14"/>
      <w:pgSz w:w="12240" w:h="15840"/>
      <w:pgMar w:top="1440" w:right="1440" w:bottom="1440" w:left="1440" w:header="720" w:footer="720" w:gutter="0"/>
      <w:pgNumType w:start="1"/>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6A596" w16cex:dateUtc="2022-04-05T18:25:00Z"/>
  <w16cex:commentExtensible w16cex:durableId="25F6A6A5" w16cex:dateUtc="2022-04-05T18: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5736F9" w16cid:durableId="25F6A596"/>
  <w16cid:commentId w16cid:paraId="6E1282B9" w16cid:durableId="25F6A6A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D82877" w14:textId="77777777" w:rsidR="008E3A99" w:rsidRDefault="008E3A99">
      <w:pPr>
        <w:spacing w:line="240" w:lineRule="auto"/>
      </w:pPr>
      <w:r>
        <w:separator/>
      </w:r>
    </w:p>
  </w:endnote>
  <w:endnote w:type="continuationSeparator" w:id="0">
    <w:p w14:paraId="5BC5695F" w14:textId="77777777" w:rsidR="008E3A99" w:rsidRDefault="008E3A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ira Sans">
    <w:altName w:val="Times New Roman"/>
    <w:charset w:val="00"/>
    <w:family w:val="auto"/>
    <w:pitch w:val="default"/>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A848A8" w14:textId="77777777" w:rsidR="008E3A99" w:rsidRDefault="008E3A99">
      <w:pPr>
        <w:spacing w:line="240" w:lineRule="auto"/>
      </w:pPr>
      <w:r>
        <w:separator/>
      </w:r>
    </w:p>
  </w:footnote>
  <w:footnote w:type="continuationSeparator" w:id="0">
    <w:p w14:paraId="40FA4064" w14:textId="77777777" w:rsidR="008E3A99" w:rsidRDefault="008E3A9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86BB6" w14:textId="77777777" w:rsidR="0028083B" w:rsidRDefault="003907B2">
    <w:r>
      <w:rPr>
        <w:noProof/>
        <w:lang w:val="en-US"/>
      </w:rPr>
      <w:drawing>
        <wp:inline distT="114300" distB="114300" distL="114300" distR="114300" wp14:anchorId="72031F8F" wp14:editId="7CDE968C">
          <wp:extent cx="1228725" cy="1081088"/>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28725" cy="1081088"/>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CB6DA5"/>
    <w:multiLevelType w:val="multilevel"/>
    <w:tmpl w:val="2DCC78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Version" w:val="5.0"/>
  </w:docVars>
  <w:rsids>
    <w:rsidRoot w:val="0028083B"/>
    <w:rsid w:val="00077B95"/>
    <w:rsid w:val="000B396D"/>
    <w:rsid w:val="002802D4"/>
    <w:rsid w:val="0028083B"/>
    <w:rsid w:val="002B68C9"/>
    <w:rsid w:val="002C0310"/>
    <w:rsid w:val="0031169C"/>
    <w:rsid w:val="003907B2"/>
    <w:rsid w:val="003C2886"/>
    <w:rsid w:val="004C08ED"/>
    <w:rsid w:val="00535CB2"/>
    <w:rsid w:val="006C6145"/>
    <w:rsid w:val="00804305"/>
    <w:rsid w:val="0083693E"/>
    <w:rsid w:val="008E3A99"/>
    <w:rsid w:val="00A12734"/>
    <w:rsid w:val="00A6590A"/>
    <w:rsid w:val="00AD4923"/>
    <w:rsid w:val="00AE5CEB"/>
    <w:rsid w:val="00B81AD8"/>
    <w:rsid w:val="00BB370F"/>
    <w:rsid w:val="00CE6A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B9862"/>
  <w15:docId w15:val="{F8F243AD-B898-4271-A75D-1458D5C04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BB370F"/>
    <w:rPr>
      <w:sz w:val="16"/>
      <w:szCs w:val="16"/>
    </w:rPr>
  </w:style>
  <w:style w:type="paragraph" w:styleId="CommentText">
    <w:name w:val="annotation text"/>
    <w:basedOn w:val="Normal"/>
    <w:link w:val="CommentTextChar"/>
    <w:uiPriority w:val="99"/>
    <w:semiHidden/>
    <w:unhideWhenUsed/>
    <w:rsid w:val="00BB370F"/>
    <w:pPr>
      <w:spacing w:line="240" w:lineRule="auto"/>
    </w:pPr>
    <w:rPr>
      <w:sz w:val="20"/>
      <w:szCs w:val="20"/>
    </w:rPr>
  </w:style>
  <w:style w:type="character" w:customStyle="1" w:styleId="CommentTextChar">
    <w:name w:val="Comment Text Char"/>
    <w:basedOn w:val="DefaultParagraphFont"/>
    <w:link w:val="CommentText"/>
    <w:uiPriority w:val="99"/>
    <w:semiHidden/>
    <w:rsid w:val="00BB370F"/>
    <w:rPr>
      <w:sz w:val="20"/>
      <w:szCs w:val="20"/>
    </w:rPr>
  </w:style>
  <w:style w:type="paragraph" w:styleId="CommentSubject">
    <w:name w:val="annotation subject"/>
    <w:basedOn w:val="CommentText"/>
    <w:next w:val="CommentText"/>
    <w:link w:val="CommentSubjectChar"/>
    <w:uiPriority w:val="99"/>
    <w:semiHidden/>
    <w:unhideWhenUsed/>
    <w:rsid w:val="00BB370F"/>
    <w:rPr>
      <w:b/>
      <w:bCs/>
    </w:rPr>
  </w:style>
  <w:style w:type="character" w:customStyle="1" w:styleId="CommentSubjectChar">
    <w:name w:val="Comment Subject Char"/>
    <w:basedOn w:val="CommentTextChar"/>
    <w:link w:val="CommentSubject"/>
    <w:uiPriority w:val="99"/>
    <w:semiHidden/>
    <w:rsid w:val="00BB370F"/>
    <w:rPr>
      <w:b/>
      <w:bCs/>
      <w:sz w:val="20"/>
      <w:szCs w:val="20"/>
    </w:rPr>
  </w:style>
  <w:style w:type="paragraph" w:styleId="BalloonText">
    <w:name w:val="Balloon Text"/>
    <w:basedOn w:val="Normal"/>
    <w:link w:val="BalloonTextChar"/>
    <w:uiPriority w:val="99"/>
    <w:semiHidden/>
    <w:unhideWhenUsed/>
    <w:rsid w:val="000B396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96D"/>
    <w:rPr>
      <w:rFonts w:ascii="Segoe UI" w:hAnsi="Segoe UI" w:cs="Segoe UI"/>
      <w:sz w:val="18"/>
      <w:szCs w:val="18"/>
    </w:rPr>
  </w:style>
  <w:style w:type="paragraph" w:styleId="Header">
    <w:name w:val="header"/>
    <w:basedOn w:val="Normal"/>
    <w:link w:val="HeaderChar"/>
    <w:uiPriority w:val="99"/>
    <w:unhideWhenUsed/>
    <w:rsid w:val="00A12734"/>
    <w:pPr>
      <w:tabs>
        <w:tab w:val="center" w:pos="4320"/>
        <w:tab w:val="right" w:pos="8640"/>
      </w:tabs>
      <w:spacing w:line="240" w:lineRule="auto"/>
    </w:pPr>
  </w:style>
  <w:style w:type="character" w:customStyle="1" w:styleId="HeaderChar">
    <w:name w:val="Header Char"/>
    <w:basedOn w:val="DefaultParagraphFont"/>
    <w:link w:val="Header"/>
    <w:uiPriority w:val="99"/>
    <w:rsid w:val="00A12734"/>
  </w:style>
  <w:style w:type="paragraph" w:styleId="Footer">
    <w:name w:val="footer"/>
    <w:basedOn w:val="Normal"/>
    <w:link w:val="FooterChar"/>
    <w:uiPriority w:val="99"/>
    <w:unhideWhenUsed/>
    <w:rsid w:val="00A12734"/>
    <w:pPr>
      <w:tabs>
        <w:tab w:val="center" w:pos="4320"/>
        <w:tab w:val="right" w:pos="8640"/>
      </w:tabs>
      <w:spacing w:line="240" w:lineRule="auto"/>
    </w:pPr>
  </w:style>
  <w:style w:type="character" w:customStyle="1" w:styleId="FooterChar">
    <w:name w:val="Footer Char"/>
    <w:basedOn w:val="DefaultParagraphFont"/>
    <w:link w:val="Footer"/>
    <w:uiPriority w:val="99"/>
    <w:rsid w:val="00A127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griddynamics.com/" TargetMode="External"/><Relationship Id="rId13" Type="http://schemas.openxmlformats.org/officeDocument/2006/relationships/hyperlink" Target="https://www.linkedin.com/company/grid-dynamics/" TargetMode="Externa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witter.com/griddynamics" TargetMode="External"/><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griddynamic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griddynamics.com" TargetMode="External"/><Relationship Id="rId4" Type="http://schemas.openxmlformats.org/officeDocument/2006/relationships/settings" Target="settings.xml"/><Relationship Id="rId9" Type="http://schemas.openxmlformats.org/officeDocument/2006/relationships/hyperlink" Target="https://www.griddynamics.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M+G0Vh0sF2+ka66c/hGGwZ/vunQ==">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3</Pages>
  <Words>1089</Words>
  <Characters>6210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Anil Doradla</dc:creator>
  <cp:lastModifiedBy>Bin Jiang</cp:lastModifiedBy>
  <cp:revision>10</cp:revision>
  <dcterms:created xsi:type="dcterms:W3CDTF">2022-04-05T18:23:00Z</dcterms:created>
  <dcterms:modified xsi:type="dcterms:W3CDTF">2022-04-06T01:03:00Z</dcterms:modified>
</cp:coreProperties>
</file>