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11AAC" w14:textId="77777777" w:rsidR="00EA5E0B" w:rsidRDefault="00EA5E0B" w:rsidP="00EA5E0B">
      <w:pPr>
        <w:jc w:val="center"/>
        <w:rPr>
          <w:sz w:val="18"/>
          <w:szCs w:val="18"/>
        </w:rPr>
      </w:pPr>
      <w:r>
        <w:rPr>
          <w:b/>
          <w:noProof/>
          <w:lang w:val="en-US"/>
        </w:rPr>
        <w:drawing>
          <wp:inline distT="0" distB="0" distL="0" distR="0" wp14:anchorId="264E3DC3" wp14:editId="22A41697">
            <wp:extent cx="3056336" cy="715013"/>
            <wp:effectExtent l="0" t="0" r="0" b="0"/>
            <wp:docPr id="3" name="image1.png" descr="C:\Users\axs\AppData\Local\Microsoft\Windows\INetCache\Content.Outlook\NCKLQA86\Aduro-Full-Logo_Two-Color-1024x264.png"/>
            <wp:cNvGraphicFramePr/>
            <a:graphic xmlns:a="http://schemas.openxmlformats.org/drawingml/2006/main">
              <a:graphicData uri="http://schemas.openxmlformats.org/drawingml/2006/picture">
                <pic:pic xmlns:pic="http://schemas.openxmlformats.org/drawingml/2006/picture">
                  <pic:nvPicPr>
                    <pic:cNvPr id="0" name="image1.png" descr="C:\Users\axs\AppData\Local\Microsoft\Windows\INetCache\Content.Outlook\NCKLQA86\Aduro-Full-Logo_Two-Color-1024x264.png"/>
                    <pic:cNvPicPr preferRelativeResize="0"/>
                  </pic:nvPicPr>
                  <pic:blipFill>
                    <a:blip r:embed="rId9"/>
                    <a:srcRect/>
                    <a:stretch>
                      <a:fillRect/>
                    </a:stretch>
                  </pic:blipFill>
                  <pic:spPr>
                    <a:xfrm>
                      <a:off x="0" y="0"/>
                      <a:ext cx="3056336" cy="715013"/>
                    </a:xfrm>
                    <a:prstGeom prst="rect">
                      <a:avLst/>
                    </a:prstGeom>
                    <a:ln/>
                  </pic:spPr>
                </pic:pic>
              </a:graphicData>
            </a:graphic>
          </wp:inline>
        </w:drawing>
      </w:r>
    </w:p>
    <w:p w14:paraId="1A5D1765" w14:textId="77777777" w:rsidR="00095AA8" w:rsidRDefault="00095AA8" w:rsidP="003D4EFE">
      <w:pPr>
        <w:spacing w:after="0" w:line="240" w:lineRule="auto"/>
        <w:jc w:val="center"/>
        <w:rPr>
          <w:b/>
        </w:rPr>
      </w:pPr>
    </w:p>
    <w:p w14:paraId="2632DC52" w14:textId="667D7DC7" w:rsidR="00EA5E0B" w:rsidRPr="00D12FFA" w:rsidRDefault="006B20E1" w:rsidP="003D4EFE">
      <w:pPr>
        <w:spacing w:after="0" w:line="240" w:lineRule="auto"/>
        <w:jc w:val="center"/>
        <w:rPr>
          <w:b/>
          <w:sz w:val="28"/>
          <w:szCs w:val="28"/>
        </w:rPr>
      </w:pPr>
      <w:r w:rsidRPr="00D12FFA">
        <w:rPr>
          <w:b/>
          <w:sz w:val="28"/>
          <w:szCs w:val="28"/>
        </w:rPr>
        <w:t>A</w:t>
      </w:r>
      <w:r w:rsidR="00B9668E" w:rsidRPr="00D12FFA">
        <w:rPr>
          <w:b/>
          <w:sz w:val="28"/>
          <w:szCs w:val="28"/>
        </w:rPr>
        <w:t xml:space="preserve">duro </w:t>
      </w:r>
      <w:r w:rsidR="0020533A" w:rsidRPr="0020533A">
        <w:rPr>
          <w:b/>
          <w:sz w:val="28"/>
          <w:szCs w:val="28"/>
        </w:rPr>
        <w:t xml:space="preserve">Announces </w:t>
      </w:r>
      <w:r w:rsidR="007E284F">
        <w:rPr>
          <w:b/>
          <w:sz w:val="28"/>
          <w:szCs w:val="28"/>
        </w:rPr>
        <w:t>Clos</w:t>
      </w:r>
      <w:r w:rsidR="003E1891">
        <w:rPr>
          <w:b/>
          <w:sz w:val="28"/>
          <w:szCs w:val="28"/>
        </w:rPr>
        <w:t xml:space="preserve">ing </w:t>
      </w:r>
      <w:r w:rsidR="007E284F">
        <w:rPr>
          <w:b/>
          <w:sz w:val="28"/>
          <w:szCs w:val="28"/>
        </w:rPr>
        <w:t xml:space="preserve">of First Tranche </w:t>
      </w:r>
      <w:r w:rsidR="00960E02">
        <w:rPr>
          <w:b/>
          <w:sz w:val="28"/>
          <w:szCs w:val="28"/>
        </w:rPr>
        <w:t xml:space="preserve">of </w:t>
      </w:r>
      <w:r w:rsidR="0020533A" w:rsidRPr="0020533A">
        <w:rPr>
          <w:b/>
          <w:sz w:val="28"/>
          <w:szCs w:val="28"/>
        </w:rPr>
        <w:t xml:space="preserve">Private Placement </w:t>
      </w:r>
    </w:p>
    <w:p w14:paraId="2BC9CA03" w14:textId="77777777" w:rsidR="00095AA8" w:rsidRDefault="00095AA8" w:rsidP="003D4EFE">
      <w:pPr>
        <w:spacing w:after="0" w:line="240" w:lineRule="auto"/>
        <w:jc w:val="center"/>
        <w:rPr>
          <w:b/>
        </w:rPr>
      </w:pPr>
    </w:p>
    <w:p w14:paraId="3B7AF73A" w14:textId="77777777" w:rsidR="00BF7358" w:rsidRPr="00BF7358" w:rsidRDefault="00BF7358" w:rsidP="00BF7358">
      <w:pPr>
        <w:spacing w:after="0" w:line="240" w:lineRule="auto"/>
        <w:jc w:val="center"/>
        <w:rPr>
          <w:rFonts w:asciiTheme="minorHAnsi" w:hAnsiTheme="minorHAnsi" w:cstheme="minorHAnsi"/>
          <w:b/>
        </w:rPr>
      </w:pPr>
      <w:r w:rsidRPr="00BF7358">
        <w:rPr>
          <w:rFonts w:asciiTheme="minorHAnsi" w:hAnsiTheme="minorHAnsi" w:cstheme="minorHAnsi"/>
          <w:b/>
          <w:bCs/>
          <w:i/>
          <w:iCs/>
          <w:bdr w:val="none" w:sz="0" w:space="0" w:color="auto" w:frame="1"/>
        </w:rPr>
        <w:t>THIS NEWS RELEASE IS NOT FOR DISTRIBUTION TO U.S. NEWSWIRE SERVICES FOR DISSEMINATION IN THE UNITED STATES</w:t>
      </w:r>
    </w:p>
    <w:p w14:paraId="2C3FB754" w14:textId="77777777" w:rsidR="00BF7358" w:rsidRDefault="00BF7358" w:rsidP="00541C0B">
      <w:pPr>
        <w:widowControl w:val="0"/>
        <w:spacing w:after="0" w:line="240" w:lineRule="auto"/>
        <w:jc w:val="both"/>
      </w:pPr>
    </w:p>
    <w:p w14:paraId="67FEA121" w14:textId="0F33C93E" w:rsidR="000C710C" w:rsidRDefault="00EA5E0B" w:rsidP="00541C0B">
      <w:pPr>
        <w:widowControl w:val="0"/>
        <w:spacing w:after="0" w:line="240" w:lineRule="auto"/>
        <w:jc w:val="both"/>
      </w:pPr>
      <w:r w:rsidRPr="00EA5E0B">
        <w:t xml:space="preserve">Sarnia, ON, </w:t>
      </w:r>
      <w:r w:rsidR="000A2D35">
        <w:t>April 12</w:t>
      </w:r>
      <w:r w:rsidR="00D864C7">
        <w:t>,</w:t>
      </w:r>
      <w:r w:rsidRPr="00EA5E0B">
        <w:t xml:space="preserve"> 202</w:t>
      </w:r>
      <w:r w:rsidR="003D4EFE">
        <w:t>2</w:t>
      </w:r>
      <w:r w:rsidRPr="00EA5E0B">
        <w:t xml:space="preserve"> </w:t>
      </w:r>
      <w:r w:rsidRPr="00B9668E">
        <w:t>–</w:t>
      </w:r>
      <w:r w:rsidR="003D4EFE" w:rsidRPr="00B9668E">
        <w:t xml:space="preserve"> </w:t>
      </w:r>
      <w:hyperlink r:id="rId10" w:history="1">
        <w:r w:rsidRPr="00B9668E">
          <w:rPr>
            <w:rStyle w:val="Hyperlink"/>
            <w:b/>
            <w:bCs/>
            <w:u w:val="none"/>
          </w:rPr>
          <w:t>Aduro Clean Technologies Inc.</w:t>
        </w:r>
      </w:hyperlink>
      <w:r w:rsidR="003D4EFE">
        <w:t xml:space="preserve"> </w:t>
      </w:r>
      <w:r w:rsidRPr="00EA5E0B">
        <w:t>(“</w:t>
      </w:r>
      <w:r w:rsidRPr="00EA5E0B">
        <w:rPr>
          <w:b/>
          <w:bCs/>
        </w:rPr>
        <w:t>Aduro</w:t>
      </w:r>
      <w:r w:rsidR="00341C11">
        <w:t>”</w:t>
      </w:r>
      <w:r w:rsidR="00341C11" w:rsidRPr="00EA5E0B">
        <w:t xml:space="preserve"> </w:t>
      </w:r>
      <w:r w:rsidRPr="00EA5E0B">
        <w:t>or the “</w:t>
      </w:r>
      <w:r w:rsidRPr="00EA5E0B">
        <w:rPr>
          <w:b/>
          <w:bCs/>
        </w:rPr>
        <w:t>Company</w:t>
      </w:r>
      <w:r w:rsidRPr="00EA5E0B">
        <w:t>”) (CSE:</w:t>
      </w:r>
      <w:r w:rsidR="003D4EFE">
        <w:rPr>
          <w:b/>
          <w:bCs/>
        </w:rPr>
        <w:t xml:space="preserve"> </w:t>
      </w:r>
      <w:r w:rsidRPr="00EA5E0B">
        <w:rPr>
          <w:b/>
          <w:bCs/>
        </w:rPr>
        <w:t>ACT</w:t>
      </w:r>
      <w:r w:rsidRPr="00EA5E0B">
        <w:t>) (OTCQB:</w:t>
      </w:r>
      <w:r w:rsidR="003D4EFE">
        <w:t xml:space="preserve"> </w:t>
      </w:r>
      <w:r w:rsidRPr="00EA5E0B">
        <w:rPr>
          <w:b/>
          <w:bCs/>
        </w:rPr>
        <w:t>ACTHF</w:t>
      </w:r>
      <w:r w:rsidRPr="00EA5E0B">
        <w:t>) (FSE:</w:t>
      </w:r>
      <w:r w:rsidR="003D4EFE">
        <w:t xml:space="preserve"> </w:t>
      </w:r>
      <w:r w:rsidRPr="00EA5E0B">
        <w:rPr>
          <w:b/>
          <w:bCs/>
        </w:rPr>
        <w:t>9D50</w:t>
      </w:r>
      <w:r w:rsidRPr="00B9668E">
        <w:t>)</w:t>
      </w:r>
      <w:r w:rsidR="00B9668E">
        <w:t>,</w:t>
      </w:r>
      <w:r w:rsidRPr="00B9668E">
        <w:t xml:space="preserve"> </w:t>
      </w:r>
      <w:r w:rsidRPr="00790FF9">
        <w:t>a Canadian developer of patented water-based technologies to chemically recycle plastics, and to transform heavy crude and renewable oils into new-era resources and higher-value fuels</w:t>
      </w:r>
      <w:r w:rsidR="00B31320" w:rsidRPr="00790FF9">
        <w:t>,</w:t>
      </w:r>
      <w:r w:rsidR="00B31320">
        <w:t xml:space="preserve"> </w:t>
      </w:r>
      <w:r w:rsidR="00B754FD">
        <w:t xml:space="preserve">is pleased to announce </w:t>
      </w:r>
      <w:r w:rsidR="00AB1C7B" w:rsidRPr="00AB1C7B">
        <w:t>that it has c</w:t>
      </w:r>
      <w:r w:rsidR="00634548">
        <w:t>losed</w:t>
      </w:r>
      <w:r w:rsidR="00AB1C7B" w:rsidRPr="00AB1C7B">
        <w:t xml:space="preserve"> </w:t>
      </w:r>
      <w:r w:rsidR="008942EB">
        <w:t xml:space="preserve">the first tranche </w:t>
      </w:r>
      <w:r w:rsidR="00F810AB">
        <w:t xml:space="preserve">of </w:t>
      </w:r>
      <w:r w:rsidR="00D13FD6">
        <w:t>its</w:t>
      </w:r>
      <w:r w:rsidR="00D878F3">
        <w:t xml:space="preserve"> </w:t>
      </w:r>
      <w:r w:rsidR="00D878F3" w:rsidRPr="00D878F3">
        <w:t xml:space="preserve">previously announced </w:t>
      </w:r>
      <w:r w:rsidR="00AB1C7B" w:rsidRPr="00AB1C7B">
        <w:t xml:space="preserve">private placement offering of </w:t>
      </w:r>
      <w:r w:rsidR="00F810AB">
        <w:t xml:space="preserve">units </w:t>
      </w:r>
      <w:r w:rsidR="00AB1C7B" w:rsidRPr="00AB1C7B">
        <w:t>(the “</w:t>
      </w:r>
      <w:r w:rsidR="006D04C0">
        <w:t>Offering</w:t>
      </w:r>
      <w:r w:rsidR="00AB1C7B" w:rsidRPr="00AB1C7B">
        <w:t>”)</w:t>
      </w:r>
      <w:r w:rsidR="002658BC">
        <w:t xml:space="preserve">. </w:t>
      </w:r>
      <w:r w:rsidR="00533E25">
        <w:t>T</w:t>
      </w:r>
      <w:r w:rsidR="00E11D0D" w:rsidRPr="00E11D0D">
        <w:t>he Co</w:t>
      </w:r>
      <w:r w:rsidR="00E11D0D">
        <w:t>mpa</w:t>
      </w:r>
      <w:r w:rsidR="001605E0">
        <w:t>ny issued</w:t>
      </w:r>
      <w:r w:rsidR="00E11D0D" w:rsidRPr="00E11D0D">
        <w:t xml:space="preserve"> an aggregate of </w:t>
      </w:r>
      <w:r w:rsidR="008F2B16">
        <w:t>2,2</w:t>
      </w:r>
      <w:r w:rsidR="003A69D7">
        <w:t>26</w:t>
      </w:r>
      <w:r w:rsidR="008F2B16">
        <w:t>,</w:t>
      </w:r>
      <w:r w:rsidR="003A69D7">
        <w:t>036</w:t>
      </w:r>
      <w:r w:rsidR="00E11D0D" w:rsidRPr="00E11D0D">
        <w:t xml:space="preserve"> </w:t>
      </w:r>
      <w:r w:rsidR="006D04C0">
        <w:t>u</w:t>
      </w:r>
      <w:r w:rsidR="00E11D0D" w:rsidRPr="00E11D0D">
        <w:t xml:space="preserve">nits </w:t>
      </w:r>
      <w:r w:rsidR="006D04C0" w:rsidRPr="006D04C0">
        <w:t>(the “</w:t>
      </w:r>
      <w:r w:rsidR="007663A8">
        <w:t>Units</w:t>
      </w:r>
      <w:r w:rsidR="006D04C0" w:rsidRPr="006D04C0">
        <w:t>”)</w:t>
      </w:r>
      <w:r w:rsidR="006D04C0">
        <w:t xml:space="preserve"> </w:t>
      </w:r>
      <w:r w:rsidR="00E11D0D" w:rsidRPr="00E11D0D">
        <w:t>at a price of $0.</w:t>
      </w:r>
      <w:r w:rsidR="008F2B16">
        <w:t>7</w:t>
      </w:r>
      <w:r w:rsidR="00E11D0D" w:rsidRPr="00E11D0D">
        <w:t xml:space="preserve">0 per Unit for aggregate gross proceeds </w:t>
      </w:r>
      <w:r w:rsidR="00AB1C7B" w:rsidRPr="00AB1C7B">
        <w:t>of C$1,5</w:t>
      </w:r>
      <w:r w:rsidR="004A47C3">
        <w:t>58</w:t>
      </w:r>
      <w:r w:rsidR="00AB1C7B" w:rsidRPr="00AB1C7B">
        <w:t>,</w:t>
      </w:r>
      <w:r w:rsidR="004A47C3">
        <w:t>225</w:t>
      </w:r>
      <w:r w:rsidR="008F2B16">
        <w:t>.</w:t>
      </w:r>
      <w:r w:rsidR="00AB1C7B" w:rsidRPr="00AB1C7B">
        <w:t xml:space="preserve"> The Company may complete additional tranches of the Offering for cumulative gross proceeds of up to $</w:t>
      </w:r>
      <w:r w:rsidR="005441CD">
        <w:t>2</w:t>
      </w:r>
      <w:r w:rsidR="00AB1C7B" w:rsidRPr="00AB1C7B">
        <w:t xml:space="preserve"> milli</w:t>
      </w:r>
      <w:r w:rsidR="00F414F3">
        <w:t xml:space="preserve">on. </w:t>
      </w:r>
    </w:p>
    <w:p w14:paraId="5BDBAD27" w14:textId="77777777" w:rsidR="000C710C" w:rsidRDefault="000C710C" w:rsidP="00541C0B">
      <w:pPr>
        <w:widowControl w:val="0"/>
        <w:spacing w:after="0" w:line="240" w:lineRule="auto"/>
        <w:jc w:val="both"/>
      </w:pPr>
    </w:p>
    <w:p w14:paraId="2C539C22" w14:textId="22521093" w:rsidR="00EB2677" w:rsidRPr="00EB2677" w:rsidRDefault="00EB0100" w:rsidP="00EB2677">
      <w:pPr>
        <w:widowControl w:val="0"/>
        <w:spacing w:after="0" w:line="240" w:lineRule="auto"/>
        <w:jc w:val="both"/>
      </w:pPr>
      <w:r>
        <w:t xml:space="preserve">“As we continue </w:t>
      </w:r>
      <w:r w:rsidR="001635A9">
        <w:t>to deliver</w:t>
      </w:r>
      <w:r w:rsidR="003226CC">
        <w:t xml:space="preserve"> on our </w:t>
      </w:r>
      <w:r w:rsidR="00B62102">
        <w:t>strategic</w:t>
      </w:r>
      <w:r w:rsidR="003226CC">
        <w:t xml:space="preserve"> </w:t>
      </w:r>
      <w:proofErr w:type="gramStart"/>
      <w:r w:rsidR="003226CC">
        <w:t>plan</w:t>
      </w:r>
      <w:proofErr w:type="gramEnd"/>
      <w:r w:rsidR="000C379B">
        <w:t xml:space="preserve"> we are pleased </w:t>
      </w:r>
      <w:r w:rsidR="00BF2E3A">
        <w:t xml:space="preserve">to see </w:t>
      </w:r>
      <w:r w:rsidR="009F460E">
        <w:t xml:space="preserve">the </w:t>
      </w:r>
      <w:r w:rsidR="00BF2E3A">
        <w:t>positive response from our growing investor base.”</w:t>
      </w:r>
      <w:r w:rsidR="003D38F5">
        <w:t xml:space="preserve"> </w:t>
      </w:r>
      <w:r w:rsidR="00B4655A">
        <w:t>said</w:t>
      </w:r>
      <w:r w:rsidR="00EB2677" w:rsidRPr="00EB2677">
        <w:t xml:space="preserve"> Ofer Vicus, </w:t>
      </w:r>
      <w:r w:rsidR="00B4655A">
        <w:t>the C</w:t>
      </w:r>
      <w:r w:rsidR="00EB2677" w:rsidRPr="00EB2677">
        <w:t xml:space="preserve">hief </w:t>
      </w:r>
      <w:r w:rsidR="00B4655A">
        <w:t>E</w:t>
      </w:r>
      <w:r w:rsidR="00EB2677" w:rsidRPr="00EB2677">
        <w:t xml:space="preserve">xecutive </w:t>
      </w:r>
      <w:r w:rsidR="00B4655A">
        <w:t>O</w:t>
      </w:r>
      <w:r w:rsidR="00EB2677" w:rsidRPr="00EB2677">
        <w:t xml:space="preserve">fficer </w:t>
      </w:r>
      <w:r w:rsidR="00B4655A">
        <w:t xml:space="preserve">and a director </w:t>
      </w:r>
      <w:r w:rsidR="00EB2677" w:rsidRPr="00EB2677">
        <w:t>of Aduro. “</w:t>
      </w:r>
      <w:r w:rsidR="000C1896">
        <w:t>W</w:t>
      </w:r>
      <w:r w:rsidR="006079DE">
        <w:t xml:space="preserve">e </w:t>
      </w:r>
      <w:r w:rsidR="000C1896">
        <w:t xml:space="preserve">also </w:t>
      </w:r>
      <w:r w:rsidR="006079DE">
        <w:t xml:space="preserve">continue to show our </w:t>
      </w:r>
      <w:r w:rsidR="000C1896">
        <w:t xml:space="preserve">strong </w:t>
      </w:r>
      <w:r w:rsidR="006079DE">
        <w:t xml:space="preserve">commitment </w:t>
      </w:r>
      <w:r w:rsidR="00946AA8">
        <w:t xml:space="preserve">and alignment with </w:t>
      </w:r>
      <w:r w:rsidR="006079DE">
        <w:t xml:space="preserve">our shareholders with </w:t>
      </w:r>
      <w:r w:rsidR="009D2FA7">
        <w:t>all</w:t>
      </w:r>
      <w:r w:rsidR="006079DE">
        <w:t xml:space="preserve"> our board members investing in this current financing round</w:t>
      </w:r>
      <w:r w:rsidR="00EB2677" w:rsidRPr="00EB2677">
        <w:t>.”</w:t>
      </w:r>
    </w:p>
    <w:p w14:paraId="3FE40A48" w14:textId="77777777" w:rsidR="00EB2677" w:rsidRDefault="00EB2677" w:rsidP="00541C0B">
      <w:pPr>
        <w:widowControl w:val="0"/>
        <w:spacing w:after="0" w:line="240" w:lineRule="auto"/>
        <w:jc w:val="both"/>
      </w:pPr>
    </w:p>
    <w:p w14:paraId="0AB349A0" w14:textId="2342DB3E" w:rsidR="006F5A0F" w:rsidRDefault="00F414F3" w:rsidP="00541C0B">
      <w:pPr>
        <w:widowControl w:val="0"/>
        <w:spacing w:after="0" w:line="240" w:lineRule="auto"/>
        <w:jc w:val="both"/>
      </w:pPr>
      <w:r>
        <w:t>E</w:t>
      </w:r>
      <w:r w:rsidR="005F6E09" w:rsidRPr="005F6E09">
        <w:t xml:space="preserve">ach Unit is comprised of one common share </w:t>
      </w:r>
      <w:r w:rsidR="00E4162F">
        <w:t xml:space="preserve">of the Company </w:t>
      </w:r>
      <w:r w:rsidR="005F6E09" w:rsidRPr="005F6E09">
        <w:t xml:space="preserve">(each, a “Common Share”) and one </w:t>
      </w:r>
      <w:r w:rsidR="00E4162F">
        <w:t>C</w:t>
      </w:r>
      <w:r w:rsidR="005F6E09" w:rsidRPr="005F6E09">
        <w:t xml:space="preserve">ommon </w:t>
      </w:r>
      <w:r w:rsidR="00E4162F">
        <w:t>S</w:t>
      </w:r>
      <w:r w:rsidR="005F6E09" w:rsidRPr="005F6E09">
        <w:t xml:space="preserve">hare purchase warrant (each, a “Warrant”). Each Warrant will entitle the holder to acquire one additional Common Share at a price of $1.00 per share, for a period of two years from the date the Units are issued. If during the exercise period of the Warrants, but after the resale restrictions on the shares have expired, the Company's shares trade at or above a weighted average trading price of $1.25 per share for ten (10) consecutive trading days, the Company may accelerate the expiry time of the </w:t>
      </w:r>
      <w:r w:rsidR="007663A8">
        <w:t>W</w:t>
      </w:r>
      <w:r w:rsidR="005F6E09" w:rsidRPr="005F6E09">
        <w:t xml:space="preserve">arrants by giving written notice to warrant holders by dissemination of a news release that the </w:t>
      </w:r>
      <w:r w:rsidR="007663A8">
        <w:t>W</w:t>
      </w:r>
      <w:r w:rsidR="005F6E09" w:rsidRPr="005F6E09">
        <w:t>arrants will expire 30 days from the date of providing such notice.</w:t>
      </w:r>
    </w:p>
    <w:p w14:paraId="2349D591" w14:textId="77777777" w:rsidR="006F5A0F" w:rsidRDefault="006F5A0F" w:rsidP="00541C0B">
      <w:pPr>
        <w:widowControl w:val="0"/>
        <w:spacing w:after="0" w:line="240" w:lineRule="auto"/>
        <w:jc w:val="both"/>
      </w:pPr>
    </w:p>
    <w:p w14:paraId="60EFBB73" w14:textId="58F33DD5" w:rsidR="00062C2B" w:rsidRDefault="00062C2B" w:rsidP="00062C2B">
      <w:pPr>
        <w:widowControl w:val="0"/>
        <w:spacing w:after="0" w:line="240" w:lineRule="auto"/>
        <w:jc w:val="both"/>
      </w:pPr>
      <w:r w:rsidRPr="00062C2B">
        <w:t xml:space="preserve">Of the </w:t>
      </w:r>
      <w:r w:rsidR="00952BE8">
        <w:t>2,2</w:t>
      </w:r>
      <w:r w:rsidR="008C63DC">
        <w:t>26</w:t>
      </w:r>
      <w:r w:rsidR="00952BE8">
        <w:t>,</w:t>
      </w:r>
      <w:r w:rsidR="0043273B">
        <w:t>036</w:t>
      </w:r>
      <w:r w:rsidR="00952BE8">
        <w:t xml:space="preserve"> Units</w:t>
      </w:r>
      <w:r w:rsidRPr="00062C2B">
        <w:t xml:space="preserve"> </w:t>
      </w:r>
      <w:r w:rsidR="00952BE8">
        <w:t>issued</w:t>
      </w:r>
      <w:r w:rsidRPr="00062C2B">
        <w:t xml:space="preserve">, </w:t>
      </w:r>
      <w:r w:rsidR="0043273B">
        <w:t>149</w:t>
      </w:r>
      <w:r w:rsidR="009D745C">
        <w:t>,</w:t>
      </w:r>
      <w:r w:rsidR="0043273B">
        <w:t>983</w:t>
      </w:r>
      <w:r w:rsidRPr="00062C2B">
        <w:t xml:space="preserve"> </w:t>
      </w:r>
      <w:r w:rsidR="00DF6E86">
        <w:t xml:space="preserve">Units </w:t>
      </w:r>
      <w:r w:rsidRPr="00062C2B">
        <w:t>were issued to directors of the Company</w:t>
      </w:r>
      <w:r w:rsidR="00DF6E86">
        <w:t xml:space="preserve"> for gross proceeds of </w:t>
      </w:r>
      <w:r w:rsidR="000960CB">
        <w:t>$1</w:t>
      </w:r>
      <w:r w:rsidR="00D054F1">
        <w:t>0</w:t>
      </w:r>
      <w:r w:rsidR="000960CB">
        <w:t>4,9</w:t>
      </w:r>
      <w:r w:rsidR="00D054F1">
        <w:t>8</w:t>
      </w:r>
      <w:r w:rsidR="000960CB">
        <w:t>8</w:t>
      </w:r>
      <w:r w:rsidRPr="00062C2B">
        <w:t xml:space="preserve">. The </w:t>
      </w:r>
      <w:r w:rsidR="000960CB">
        <w:t>issu</w:t>
      </w:r>
      <w:r w:rsidR="007663A8">
        <w:t>ance</w:t>
      </w:r>
      <w:r w:rsidR="000960CB">
        <w:t xml:space="preserve"> of the Units </w:t>
      </w:r>
      <w:r w:rsidRPr="00062C2B">
        <w:t xml:space="preserve">to the directors of the Company </w:t>
      </w:r>
      <w:r w:rsidRPr="00062C2B">
        <w:rPr>
          <w:lang w:val="en-US"/>
        </w:rPr>
        <w:t xml:space="preserve">were “related party transactions” within the meaning of Multilateral Instrument 61-101 </w:t>
      </w:r>
      <w:r w:rsidR="007663A8">
        <w:rPr>
          <w:lang w:val="en-US"/>
        </w:rPr>
        <w:t xml:space="preserve">– </w:t>
      </w:r>
      <w:r w:rsidRPr="007663A8">
        <w:rPr>
          <w:i/>
          <w:lang w:val="en-US"/>
        </w:rPr>
        <w:t>Protection of Minority Security Holders in Special Transactions</w:t>
      </w:r>
      <w:r w:rsidRPr="00062C2B">
        <w:rPr>
          <w:lang w:val="en-US"/>
        </w:rPr>
        <w:t xml:space="preserve"> (“MI 61-101”)</w:t>
      </w:r>
      <w:r w:rsidRPr="00062C2B">
        <w:t xml:space="preserve">. The Company relied on section 5.5(b) of MI 61‐ 101 for an exemption from the formal valuation requirements of MI 61‐ 101 in respect of the </w:t>
      </w:r>
      <w:r w:rsidR="00AE1334">
        <w:t>Units</w:t>
      </w:r>
      <w:r w:rsidRPr="00062C2B">
        <w:t xml:space="preserve"> </w:t>
      </w:r>
      <w:r w:rsidR="007663A8">
        <w:t>issued</w:t>
      </w:r>
      <w:r w:rsidRPr="00062C2B">
        <w:t xml:space="preserve"> to the directors of the Company as no securities of the Company are listed on a specified market as defined in MI 61‐ 101. Aduro relied on section 5.7(a) of MI 61-101 for an exemption from the minority approval requirements of MI 61-101 in respect of the </w:t>
      </w:r>
      <w:r w:rsidR="0042091C">
        <w:t>Units</w:t>
      </w:r>
      <w:r w:rsidRPr="00062C2B">
        <w:t xml:space="preserve"> </w:t>
      </w:r>
      <w:r w:rsidR="0042091C">
        <w:t>issued</w:t>
      </w:r>
      <w:r w:rsidRPr="00062C2B">
        <w:t xml:space="preserve"> to the directors of the Company as neither the fair market value of </w:t>
      </w:r>
      <w:r w:rsidR="007D0843">
        <w:t>the Units issued to the directors of Aduro</w:t>
      </w:r>
      <w:r w:rsidRPr="00062C2B">
        <w:t xml:space="preserve">, nor the consideration </w:t>
      </w:r>
      <w:r w:rsidR="007D0843">
        <w:t>paid for the Units issued to them</w:t>
      </w:r>
      <w:r w:rsidRPr="00062C2B">
        <w:t xml:space="preserve">, exceeded 25% of the Company’s market capitalization. </w:t>
      </w:r>
      <w:r w:rsidR="000E1DF6" w:rsidRPr="000E1DF6">
        <w:t xml:space="preserve">No additional insiders or related parties of the Company participated in the </w:t>
      </w:r>
      <w:r w:rsidR="00252DB6">
        <w:t xml:space="preserve">first tranche of the </w:t>
      </w:r>
      <w:r w:rsidR="007D0843">
        <w:t>Offering</w:t>
      </w:r>
      <w:r w:rsidR="000E1DF6" w:rsidRPr="000E1DF6">
        <w:t xml:space="preserve"> and no new insiders or control persons were created in connection with the closing of the </w:t>
      </w:r>
      <w:r w:rsidR="00252DB6">
        <w:t xml:space="preserve">first tranche of the </w:t>
      </w:r>
      <w:r w:rsidR="007D0843">
        <w:t>Offering</w:t>
      </w:r>
      <w:r w:rsidR="000E1DF6" w:rsidRPr="000E1DF6">
        <w:t>.</w:t>
      </w:r>
    </w:p>
    <w:p w14:paraId="1ABBE910" w14:textId="77777777" w:rsidR="00DF58A6" w:rsidRPr="00C546BE" w:rsidRDefault="00DF58A6">
      <w:pPr>
        <w:widowControl w:val="0"/>
        <w:spacing w:after="0" w:line="240" w:lineRule="auto"/>
        <w:jc w:val="both"/>
      </w:pPr>
    </w:p>
    <w:p w14:paraId="2F6FF186" w14:textId="3CE21B01" w:rsidR="003C7478" w:rsidRDefault="00C546BE" w:rsidP="00541C0B">
      <w:pPr>
        <w:widowControl w:val="0"/>
        <w:spacing w:after="0" w:line="240" w:lineRule="auto"/>
        <w:jc w:val="both"/>
      </w:pPr>
      <w:r w:rsidRPr="00C546BE">
        <w:t xml:space="preserve">In connection with the </w:t>
      </w:r>
      <w:r w:rsidR="00D90088">
        <w:t>closing of the first tranche</w:t>
      </w:r>
      <w:r w:rsidRPr="00C546BE">
        <w:t>, the C</w:t>
      </w:r>
      <w:r w:rsidR="00D90088">
        <w:t>ompany</w:t>
      </w:r>
      <w:r w:rsidRPr="00C546BE">
        <w:t xml:space="preserve"> paid $</w:t>
      </w:r>
      <w:r w:rsidR="00697FCA">
        <w:t>80,304</w:t>
      </w:r>
      <w:r w:rsidRPr="00C546BE">
        <w:t xml:space="preserve"> in finder's fees, equal to </w:t>
      </w:r>
      <w:r w:rsidR="00697FCA">
        <w:t>7</w:t>
      </w:r>
      <w:r w:rsidRPr="00C546BE">
        <w:t xml:space="preserve">% of the gross proceeds raised and issued </w:t>
      </w:r>
      <w:r w:rsidR="00707FBA">
        <w:t>114,</w:t>
      </w:r>
      <w:r w:rsidR="004D2E89">
        <w:t>720</w:t>
      </w:r>
      <w:r w:rsidRPr="00C546BE">
        <w:t xml:space="preserve"> finder's warrants which entitle the holder thereof to </w:t>
      </w:r>
      <w:r w:rsidRPr="00C546BE">
        <w:lastRenderedPageBreak/>
        <w:t>purchase one additional Common Share at a price of $</w:t>
      </w:r>
      <w:r w:rsidR="004D2E89">
        <w:t>1.00</w:t>
      </w:r>
      <w:r w:rsidRPr="00C546BE">
        <w:t xml:space="preserve"> per Common Share at any time prior to </w:t>
      </w:r>
      <w:r w:rsidR="004D2E89">
        <w:t>April</w:t>
      </w:r>
      <w:r w:rsidRPr="00C546BE">
        <w:t xml:space="preserve"> </w:t>
      </w:r>
      <w:r w:rsidR="00F41385">
        <w:t>8</w:t>
      </w:r>
      <w:r w:rsidRPr="00C546BE">
        <w:t xml:space="preserve">, 2024. </w:t>
      </w:r>
    </w:p>
    <w:p w14:paraId="4932D8CB" w14:textId="3EB3BF02" w:rsidR="005830D0" w:rsidRDefault="005830D0" w:rsidP="00541C0B">
      <w:pPr>
        <w:widowControl w:val="0"/>
        <w:spacing w:after="0" w:line="240" w:lineRule="auto"/>
        <w:jc w:val="both"/>
      </w:pPr>
    </w:p>
    <w:p w14:paraId="10B392B6" w14:textId="6F803FC2" w:rsidR="005830D0" w:rsidRDefault="00DB3BB0" w:rsidP="00541C0B">
      <w:pPr>
        <w:widowControl w:val="0"/>
        <w:spacing w:after="0" w:line="240" w:lineRule="auto"/>
        <w:jc w:val="both"/>
      </w:pPr>
      <w:r w:rsidRPr="00DF58A6">
        <w:t xml:space="preserve">The proceeds of </w:t>
      </w:r>
      <w:r>
        <w:t>the first tranche of the</w:t>
      </w:r>
      <w:r w:rsidRPr="00DF58A6">
        <w:t xml:space="preserve"> </w:t>
      </w:r>
      <w:r>
        <w:t>Offering</w:t>
      </w:r>
      <w:r w:rsidRPr="00DF58A6">
        <w:t xml:space="preserve"> </w:t>
      </w:r>
      <w:r>
        <w:t>will</w:t>
      </w:r>
      <w:r w:rsidRPr="00DF58A6">
        <w:t xml:space="preserve"> be used for general working capital</w:t>
      </w:r>
      <w:r>
        <w:t xml:space="preserve"> purposes</w:t>
      </w:r>
      <w:r w:rsidRPr="00DF58A6">
        <w:t xml:space="preserve">. </w:t>
      </w:r>
      <w:r w:rsidR="002F5F17">
        <w:t xml:space="preserve">The securities issued in the </w:t>
      </w:r>
      <w:r w:rsidR="0041652E">
        <w:t>first</w:t>
      </w:r>
      <w:r w:rsidR="002F5F17">
        <w:t xml:space="preserve"> </w:t>
      </w:r>
      <w:r w:rsidR="0041652E">
        <w:t>t</w:t>
      </w:r>
      <w:r w:rsidR="002F5F17">
        <w:t xml:space="preserve">ranche </w:t>
      </w:r>
      <w:r w:rsidR="0041652E">
        <w:t xml:space="preserve">of the Offering </w:t>
      </w:r>
      <w:r w:rsidR="002F5F17">
        <w:t xml:space="preserve">are subject to a four month hold period </w:t>
      </w:r>
      <w:r w:rsidR="0041652E">
        <w:t>from the date of issuance</w:t>
      </w:r>
      <w:r w:rsidR="002F5F17">
        <w:t>.</w:t>
      </w:r>
    </w:p>
    <w:p w14:paraId="17A25C0B" w14:textId="4AB1E072" w:rsidR="00B75D61" w:rsidRDefault="00B75D61" w:rsidP="00541C0B">
      <w:pPr>
        <w:widowControl w:val="0"/>
        <w:spacing w:after="0" w:line="240" w:lineRule="auto"/>
        <w:jc w:val="both"/>
      </w:pPr>
    </w:p>
    <w:p w14:paraId="32F4D8DD" w14:textId="5357D29E" w:rsidR="00596869" w:rsidRDefault="001D492B" w:rsidP="00090205">
      <w:pPr>
        <w:widowControl w:val="0"/>
        <w:spacing w:after="0" w:line="240" w:lineRule="auto"/>
        <w:jc w:val="both"/>
      </w:pPr>
      <w:r>
        <w:t>Because of the strong interest shown</w:t>
      </w:r>
      <w:r w:rsidR="00B75D61">
        <w:t xml:space="preserve"> in </w:t>
      </w:r>
      <w:r w:rsidR="00DF12E4">
        <w:t>the Offering, i</w:t>
      </w:r>
      <w:r w:rsidR="00596869" w:rsidRPr="00596869">
        <w:t xml:space="preserve">n addition to other prospectus exemptions commonly relied on in private placements, </w:t>
      </w:r>
      <w:r w:rsidR="00E4162F">
        <w:t>any</w:t>
      </w:r>
      <w:r w:rsidR="006F0F46">
        <w:t xml:space="preserve"> further tranches of the </w:t>
      </w:r>
      <w:r w:rsidR="0066063F">
        <w:t xml:space="preserve">current </w:t>
      </w:r>
      <w:r w:rsidR="00596869" w:rsidRPr="00596869">
        <w:t xml:space="preserve">Offering will be available to existing shareholders of the Company who, as of the close of business on </w:t>
      </w:r>
      <w:r w:rsidR="00320550">
        <w:t>[</w:t>
      </w:r>
      <w:r w:rsidR="006F0F46">
        <w:t>April 11,</w:t>
      </w:r>
      <w:r w:rsidR="00596869" w:rsidRPr="00596869">
        <w:t xml:space="preserve"> </w:t>
      </w:r>
      <w:r w:rsidR="006F0F46">
        <w:t>2021</w:t>
      </w:r>
      <w:r w:rsidR="00320550">
        <w:t>]</w:t>
      </w:r>
      <w:r w:rsidR="00596869" w:rsidRPr="00596869">
        <w:t xml:space="preserve"> </w:t>
      </w:r>
      <w:r w:rsidR="0075581D">
        <w:t xml:space="preserve">(the “Record Date”) </w:t>
      </w:r>
      <w:r w:rsidR="00596869" w:rsidRPr="00596869">
        <w:t xml:space="preserve">held </w:t>
      </w:r>
      <w:r w:rsidR="00E4162F">
        <w:t>C</w:t>
      </w:r>
      <w:r w:rsidR="00596869" w:rsidRPr="00596869">
        <w:t xml:space="preserve">ommon </w:t>
      </w:r>
      <w:r w:rsidR="00E4162F">
        <w:t>S</w:t>
      </w:r>
      <w:r w:rsidR="00596869" w:rsidRPr="00596869">
        <w:t xml:space="preserve">hares of the Company (and who continue to hold such </w:t>
      </w:r>
      <w:r w:rsidR="00E4162F">
        <w:t>C</w:t>
      </w:r>
      <w:r w:rsidR="00596869" w:rsidRPr="00596869">
        <w:t xml:space="preserve">ommon </w:t>
      </w:r>
      <w:r w:rsidR="00E4162F">
        <w:t>S</w:t>
      </w:r>
      <w:r w:rsidR="00596869" w:rsidRPr="00596869">
        <w:t xml:space="preserve">hares as of the closing date), pursuant to the prospectus exemption set out in BC Instrument 45-534 </w:t>
      </w:r>
      <w:r w:rsidR="00D34311">
        <w:t xml:space="preserve">– </w:t>
      </w:r>
      <w:r w:rsidR="00596869" w:rsidRPr="00D34311">
        <w:rPr>
          <w:i/>
        </w:rPr>
        <w:t>Exemption</w:t>
      </w:r>
      <w:r w:rsidR="0075581D">
        <w:rPr>
          <w:i/>
        </w:rPr>
        <w:t xml:space="preserve"> </w:t>
      </w:r>
      <w:r w:rsidR="0075581D" w:rsidRPr="00D34311">
        <w:rPr>
          <w:i/>
        </w:rPr>
        <w:t>from prospectus requirement for certain trades to existing securityholders</w:t>
      </w:r>
      <w:r w:rsidR="0075581D">
        <w:t xml:space="preserve"> </w:t>
      </w:r>
      <w:r w:rsidR="00596869" w:rsidRPr="00596869">
        <w:t xml:space="preserve">and in similar instruments in other jurisdictions in Canada (the “Existing Shareholder Exemption”). </w:t>
      </w:r>
      <w:r w:rsidR="004B71CD">
        <w:t xml:space="preserve">As at the date hereof, the Existing Security Holder Exemption is available in each of the provinces of </w:t>
      </w:r>
      <w:r w:rsidR="004B71CD">
        <w:rPr>
          <w:rStyle w:val="xn-location"/>
        </w:rPr>
        <w:t>Canada</w:t>
      </w:r>
      <w:r w:rsidR="004B71CD">
        <w:t xml:space="preserve">, </w:t>
      </w:r>
      <w:proofErr w:type="gramStart"/>
      <w:r w:rsidR="004B71CD">
        <w:t>with the exception of</w:t>
      </w:r>
      <w:proofErr w:type="gramEnd"/>
      <w:r w:rsidR="004B71CD">
        <w:t xml:space="preserve"> </w:t>
      </w:r>
      <w:r w:rsidR="004B71CD">
        <w:rPr>
          <w:rStyle w:val="xn-location"/>
        </w:rPr>
        <w:t>Newfoundland</w:t>
      </w:r>
      <w:r w:rsidR="004B71CD">
        <w:t xml:space="preserve"> and </w:t>
      </w:r>
      <w:r w:rsidR="004B71CD">
        <w:rPr>
          <w:rStyle w:val="xn-location"/>
        </w:rPr>
        <w:t>Labrador</w:t>
      </w:r>
      <w:r w:rsidR="004B71CD">
        <w:t>.</w:t>
      </w:r>
      <w:r w:rsidR="00232238">
        <w:t xml:space="preserve"> </w:t>
      </w:r>
      <w:r w:rsidR="00596869" w:rsidRPr="009274B9">
        <w:t>The Existing Shareholder Exemption limits a shareholder to a maximum investment of $15,000 in a 12-month period unless the shareholder has obtained advice regarding the suitability of the investment and, if the shareholder is resident in a jurisdiction of Canada, that advice has been obtained from a person that is registered as an investment dealer in the jurisdiction.</w:t>
      </w:r>
      <w:r w:rsidR="00596869" w:rsidRPr="00596869">
        <w:t xml:space="preserve"> </w:t>
      </w:r>
      <w:r w:rsidR="00F501EB">
        <w:t xml:space="preserve">Shareholders that subscribe for Units under the Existing Shareholder Exemption will, among other things, need to represent in writing that they meet applicable requirements of the Existing Shareholder Exemption, including that, on or before the Record Date, such person became and continues to be a </w:t>
      </w:r>
      <w:r w:rsidR="0075581D">
        <w:t>shareholder of the Company</w:t>
      </w:r>
      <w:r w:rsidR="00F501EB">
        <w:t>.</w:t>
      </w:r>
    </w:p>
    <w:p w14:paraId="7337E8C0" w14:textId="77777777" w:rsidR="00090205" w:rsidRPr="00090205" w:rsidRDefault="00090205" w:rsidP="00090205">
      <w:pPr>
        <w:widowControl w:val="0"/>
        <w:spacing w:after="0" w:line="240" w:lineRule="auto"/>
        <w:jc w:val="both"/>
      </w:pPr>
    </w:p>
    <w:p w14:paraId="4AC423C8" w14:textId="0AFD2409" w:rsidR="00090205" w:rsidRDefault="00657801" w:rsidP="005F400A">
      <w:pPr>
        <w:widowControl w:val="0"/>
        <w:spacing w:after="0" w:line="240" w:lineRule="auto"/>
        <w:jc w:val="both"/>
      </w:pPr>
      <w:r w:rsidRPr="00657801">
        <w:t xml:space="preserve">The Company will also make </w:t>
      </w:r>
      <w:r w:rsidR="0075581D">
        <w:t xml:space="preserve">any further tranches of </w:t>
      </w:r>
      <w:r w:rsidRPr="00657801">
        <w:t xml:space="preserve">the Offering available to certain subscribers pursuant to BC Instrument 45-536 </w:t>
      </w:r>
      <w:r w:rsidR="0075581D">
        <w:t>–</w:t>
      </w:r>
      <w:r w:rsidRPr="00657801">
        <w:t xml:space="preserve"> </w:t>
      </w:r>
      <w:r w:rsidRPr="0075581D">
        <w:rPr>
          <w:i/>
        </w:rPr>
        <w:t>Exemption from</w:t>
      </w:r>
      <w:r w:rsidR="0075581D" w:rsidRPr="0075581D">
        <w:rPr>
          <w:i/>
        </w:rPr>
        <w:t xml:space="preserve"> </w:t>
      </w:r>
      <w:r w:rsidR="0075581D">
        <w:rPr>
          <w:i/>
        </w:rPr>
        <w:t>p</w:t>
      </w:r>
      <w:r w:rsidR="0075581D" w:rsidRPr="0075581D">
        <w:rPr>
          <w:i/>
        </w:rPr>
        <w:t xml:space="preserve">rospectus </w:t>
      </w:r>
      <w:r w:rsidR="0075581D">
        <w:rPr>
          <w:i/>
        </w:rPr>
        <w:t>r</w:t>
      </w:r>
      <w:r w:rsidR="0075581D" w:rsidRPr="0075581D">
        <w:rPr>
          <w:i/>
        </w:rPr>
        <w:t>equirement</w:t>
      </w:r>
      <w:r w:rsidRPr="0075581D">
        <w:rPr>
          <w:i/>
        </w:rPr>
        <w:t xml:space="preserve"> for certain distributions through an investment dealer</w:t>
      </w:r>
      <w:r w:rsidR="005F400A">
        <w:t xml:space="preserve"> </w:t>
      </w:r>
      <w:r w:rsidRPr="00657801">
        <w:t>(the “Investment Dealer Exemption”). In accordance with the requirements of the Investment Dealer Exemption, the Company confirms that there is no material fact or material change about the Company that has not been generally disclosed.</w:t>
      </w:r>
    </w:p>
    <w:p w14:paraId="2C5C32CE" w14:textId="6815D1E4" w:rsidR="00D838A7" w:rsidRDefault="00D838A7" w:rsidP="005F400A">
      <w:pPr>
        <w:widowControl w:val="0"/>
        <w:spacing w:after="0" w:line="240" w:lineRule="auto"/>
        <w:jc w:val="both"/>
      </w:pPr>
    </w:p>
    <w:p w14:paraId="2821F57E" w14:textId="4CB9469E" w:rsidR="00D838A7" w:rsidRPr="00090205" w:rsidRDefault="00D838A7" w:rsidP="005F400A">
      <w:pPr>
        <w:widowControl w:val="0"/>
        <w:spacing w:after="0" w:line="240" w:lineRule="auto"/>
        <w:jc w:val="both"/>
      </w:pPr>
      <w:r w:rsidRPr="00DF58A6">
        <w:t xml:space="preserve">The proceeds of </w:t>
      </w:r>
      <w:r w:rsidR="00DB3BB0">
        <w:t>any further tranches of the</w:t>
      </w:r>
      <w:r w:rsidRPr="00DF58A6">
        <w:t xml:space="preserve"> </w:t>
      </w:r>
      <w:r>
        <w:t>Offering</w:t>
      </w:r>
      <w:r w:rsidRPr="00DF58A6">
        <w:t xml:space="preserve"> are expected to be used for general working capital</w:t>
      </w:r>
      <w:r>
        <w:t xml:space="preserve"> purposes</w:t>
      </w:r>
      <w:r w:rsidRPr="00DF58A6">
        <w:t xml:space="preserve">. </w:t>
      </w:r>
    </w:p>
    <w:p w14:paraId="5FC0F2D1" w14:textId="77777777" w:rsidR="005F400A" w:rsidRDefault="005F400A" w:rsidP="009E3D2D">
      <w:pPr>
        <w:widowControl w:val="0"/>
        <w:spacing w:after="0" w:line="240" w:lineRule="auto"/>
        <w:jc w:val="both"/>
        <w:rPr>
          <w:lang w:val="en-US"/>
        </w:rPr>
      </w:pPr>
    </w:p>
    <w:p w14:paraId="619D8CA4" w14:textId="228A7399" w:rsidR="00090205" w:rsidRPr="00090205" w:rsidRDefault="00090205" w:rsidP="009E3D2D">
      <w:pPr>
        <w:widowControl w:val="0"/>
        <w:spacing w:after="0" w:line="240" w:lineRule="auto"/>
        <w:jc w:val="both"/>
      </w:pPr>
      <w:r w:rsidRPr="00090205">
        <w:rPr>
          <w:lang w:val="en-US"/>
        </w:rPr>
        <w:t xml:space="preserve">None of the securities acquired </w:t>
      </w:r>
      <w:r w:rsidR="00A75922">
        <w:rPr>
          <w:lang w:val="en-US"/>
        </w:rPr>
        <w:t xml:space="preserve">in the Offering </w:t>
      </w:r>
      <w:r w:rsidRPr="00090205">
        <w:rPr>
          <w:lang w:val="en-US"/>
        </w:rPr>
        <w:t>will be registered under the United States Securities Act of 1933, as amended (the “1933 Act”), and none of them may be offered or sold in the United States absent registration or an applicable exemption from the registration requirements of the 1933 Act. This news release shall not constitute an offer to sell or a solicitation of an offer to buy nor shall there be any sale of the securities in any state where such offer, solicitation, or sale would be unlawful.</w:t>
      </w:r>
    </w:p>
    <w:p w14:paraId="460C81AC" w14:textId="77777777" w:rsidR="00EC3329" w:rsidRDefault="00EC3329" w:rsidP="005D7EA9">
      <w:pPr>
        <w:widowControl w:val="0"/>
        <w:spacing w:after="0" w:line="240" w:lineRule="auto"/>
      </w:pPr>
    </w:p>
    <w:p w14:paraId="66FA7EB7" w14:textId="507DB5A6" w:rsidR="00EA5E0B" w:rsidRDefault="00EA5E0B" w:rsidP="005D7EA9">
      <w:pPr>
        <w:widowControl w:val="0"/>
        <w:spacing w:after="0" w:line="240" w:lineRule="auto"/>
        <w:rPr>
          <w:b/>
          <w:u w:val="single"/>
        </w:rPr>
      </w:pPr>
      <w:r>
        <w:rPr>
          <w:b/>
          <w:u w:val="single"/>
        </w:rPr>
        <w:t>About Aduro Clean Technologies</w:t>
      </w:r>
    </w:p>
    <w:p w14:paraId="45E0F9E8" w14:textId="77777777" w:rsidR="00BB0C81" w:rsidRDefault="00BB0C81" w:rsidP="005D7EA9">
      <w:pPr>
        <w:widowControl w:val="0"/>
        <w:spacing w:after="0" w:line="240" w:lineRule="auto"/>
        <w:rPr>
          <w:b/>
          <w:u w:val="single"/>
        </w:rPr>
      </w:pPr>
    </w:p>
    <w:p w14:paraId="59646F64" w14:textId="77777777" w:rsidR="00EA5E0B" w:rsidRDefault="005C18CA" w:rsidP="00541C0B">
      <w:pPr>
        <w:spacing w:after="0" w:line="240" w:lineRule="auto"/>
        <w:jc w:val="both"/>
        <w:rPr>
          <w:rFonts w:asciiTheme="minorHAnsi" w:hAnsiTheme="minorHAnsi" w:cstheme="minorHAnsi"/>
          <w:color w:val="000000" w:themeColor="text1"/>
          <w:shd w:val="clear" w:color="auto" w:fill="FFFFFF"/>
        </w:rPr>
      </w:pPr>
      <w:hyperlink r:id="rId11" w:history="1">
        <w:r w:rsidR="00EA5E0B" w:rsidRPr="00B9668E">
          <w:rPr>
            <w:rStyle w:val="Hyperlink"/>
            <w:rFonts w:asciiTheme="minorHAnsi" w:hAnsiTheme="minorHAnsi" w:cstheme="minorHAnsi"/>
            <w:u w:val="none"/>
            <w:shd w:val="clear" w:color="auto" w:fill="FFFFFF"/>
          </w:rPr>
          <w:t>Aduro Clean Technologies</w:t>
        </w:r>
      </w:hyperlink>
      <w:r w:rsidR="00EA5E0B" w:rsidRPr="00B9668E">
        <w:rPr>
          <w:rFonts w:asciiTheme="minorHAnsi" w:hAnsiTheme="minorHAnsi" w:cstheme="minorHAnsi"/>
          <w:color w:val="000000" w:themeColor="text1"/>
          <w:shd w:val="clear" w:color="auto" w:fill="FFFFFF"/>
        </w:rPr>
        <w:t> is</w:t>
      </w:r>
      <w:r w:rsidR="00EA5E0B" w:rsidRPr="00EA5E0B">
        <w:rPr>
          <w:rFonts w:asciiTheme="minorHAnsi" w:hAnsiTheme="minorHAnsi" w:cstheme="minorHAnsi"/>
          <w:color w:val="000000" w:themeColor="text1"/>
          <w:shd w:val="clear" w:color="auto" w:fill="FFFFFF"/>
        </w:rPr>
        <w:t xml:space="preserve"> a developer of patented water-based technologies to chemically recycle waste plastics; convert heavy crude and bitumen into lighter, more valuable oil; and transform renewable oils into higher-value fuels or renewable chemicals. The Company’s </w:t>
      </w:r>
      <w:proofErr w:type="spellStart"/>
      <w:r w:rsidR="00EA5E0B" w:rsidRPr="00EA5E0B">
        <w:rPr>
          <w:rFonts w:asciiTheme="minorHAnsi" w:hAnsiTheme="minorHAnsi" w:cstheme="minorHAnsi"/>
          <w:color w:val="000000" w:themeColor="text1"/>
          <w:shd w:val="clear" w:color="auto" w:fill="FFFFFF"/>
        </w:rPr>
        <w:t>Hydrochemolytic</w:t>
      </w:r>
      <w:proofErr w:type="spellEnd"/>
      <w:r w:rsidR="00EA5E0B" w:rsidRPr="00EA5E0B">
        <w:rPr>
          <w:rFonts w:asciiTheme="minorHAnsi" w:hAnsiTheme="minorHAnsi" w:cstheme="minorHAnsi"/>
          <w:color w:val="000000" w:themeColor="text1"/>
          <w:shd w:val="clear" w:color="auto" w:fill="FFFFFF"/>
        </w:rPr>
        <w:t>™ technology activates unique properties of water in a chemistry platform that operates at relatively low temperatures and cost, a game-changing approach that converts low-value feedstocks into 21st-century resources. With funding and support from </w:t>
      </w:r>
      <w:proofErr w:type="spellStart"/>
      <w:r>
        <w:fldChar w:fldCharType="begin"/>
      </w:r>
      <w:r>
        <w:instrText xml:space="preserve"> HYPERLINK "https://www.bincanada.ca/" </w:instrText>
      </w:r>
      <w:r>
        <w:fldChar w:fldCharType="separate"/>
      </w:r>
      <w:r w:rsidR="00EA5E0B" w:rsidRPr="00B9668E">
        <w:rPr>
          <w:rStyle w:val="Hyperlink"/>
          <w:rFonts w:asciiTheme="minorHAnsi" w:hAnsiTheme="minorHAnsi" w:cstheme="minorHAnsi"/>
          <w:u w:val="none"/>
          <w:shd w:val="clear" w:color="auto" w:fill="FFFFFF"/>
        </w:rPr>
        <w:t>Bioindustrial</w:t>
      </w:r>
      <w:proofErr w:type="spellEnd"/>
      <w:r w:rsidR="00EA5E0B" w:rsidRPr="00B9668E">
        <w:rPr>
          <w:rStyle w:val="Hyperlink"/>
          <w:rFonts w:asciiTheme="minorHAnsi" w:hAnsiTheme="minorHAnsi" w:cstheme="minorHAnsi"/>
          <w:u w:val="none"/>
          <w:shd w:val="clear" w:color="auto" w:fill="FFFFFF"/>
        </w:rPr>
        <w:t xml:space="preserve"> Innovation Canada</w:t>
      </w:r>
      <w:r>
        <w:rPr>
          <w:rStyle w:val="Hyperlink"/>
          <w:rFonts w:asciiTheme="minorHAnsi" w:hAnsiTheme="minorHAnsi" w:cstheme="minorHAnsi"/>
          <w:u w:val="none"/>
          <w:shd w:val="clear" w:color="auto" w:fill="FFFFFF"/>
        </w:rPr>
        <w:fldChar w:fldCharType="end"/>
      </w:r>
      <w:r w:rsidR="00EA5E0B" w:rsidRPr="00B9668E">
        <w:rPr>
          <w:rFonts w:asciiTheme="minorHAnsi" w:hAnsiTheme="minorHAnsi" w:cstheme="minorHAnsi"/>
          <w:color w:val="000000" w:themeColor="text1"/>
          <w:shd w:val="clear" w:color="auto" w:fill="FFFFFF"/>
        </w:rPr>
        <w:t>,</w:t>
      </w:r>
      <w:r w:rsidR="00EA5E0B" w:rsidRPr="00EA5E0B">
        <w:rPr>
          <w:rFonts w:asciiTheme="minorHAnsi" w:hAnsiTheme="minorHAnsi" w:cstheme="minorHAnsi"/>
          <w:color w:val="000000" w:themeColor="text1"/>
          <w:shd w:val="clear" w:color="auto" w:fill="FFFFFF"/>
        </w:rPr>
        <w:t xml:space="preserve"> the company has developed a pre-pilot reactor system to upgrade heavy petroleum into lighter oil.</w:t>
      </w:r>
    </w:p>
    <w:p w14:paraId="47048D94" w14:textId="77777777" w:rsidR="00B80AB5" w:rsidRDefault="00B80AB5" w:rsidP="003D4EFE">
      <w:pPr>
        <w:spacing w:after="0" w:line="240" w:lineRule="auto"/>
        <w:jc w:val="both"/>
        <w:rPr>
          <w:b/>
          <w:u w:val="single"/>
        </w:rPr>
      </w:pPr>
    </w:p>
    <w:p w14:paraId="41247CB1" w14:textId="4D5167B6" w:rsidR="00EA5E0B" w:rsidRDefault="00EA5E0B" w:rsidP="003D4EFE">
      <w:pPr>
        <w:spacing w:after="0" w:line="240" w:lineRule="auto"/>
        <w:jc w:val="both"/>
      </w:pPr>
      <w:r>
        <w:rPr>
          <w:b/>
          <w:u w:val="single"/>
        </w:rPr>
        <w:lastRenderedPageBreak/>
        <w:t>For further information, please contact:</w:t>
      </w:r>
    </w:p>
    <w:p w14:paraId="2FD062A0" w14:textId="77777777" w:rsidR="00EA5E0B" w:rsidRDefault="00EA5E0B" w:rsidP="003D4EFE">
      <w:pPr>
        <w:tabs>
          <w:tab w:val="left" w:pos="4253"/>
        </w:tabs>
        <w:spacing w:after="0" w:line="240" w:lineRule="auto"/>
      </w:pPr>
    </w:p>
    <w:p w14:paraId="191A6AA4" w14:textId="77777777" w:rsidR="005D7EA9" w:rsidRDefault="00EA5E0B" w:rsidP="003D4EFE">
      <w:pPr>
        <w:tabs>
          <w:tab w:val="left" w:pos="4253"/>
        </w:tabs>
        <w:spacing w:after="0" w:line="240" w:lineRule="auto"/>
      </w:pPr>
      <w:r>
        <w:t>Ofer Vicus, CEO</w:t>
      </w:r>
    </w:p>
    <w:p w14:paraId="06321A3E" w14:textId="522CBB4D" w:rsidR="00EA5E0B" w:rsidRPr="00B9668E" w:rsidRDefault="005C18CA" w:rsidP="003D4EFE">
      <w:pPr>
        <w:tabs>
          <w:tab w:val="left" w:pos="4253"/>
        </w:tabs>
        <w:spacing w:after="0" w:line="240" w:lineRule="auto"/>
      </w:pPr>
      <w:hyperlink r:id="rId12" w:history="1">
        <w:r w:rsidR="00EA5E0B" w:rsidRPr="00B9668E">
          <w:rPr>
            <w:rStyle w:val="Hyperlink"/>
            <w:u w:val="none"/>
          </w:rPr>
          <w:t>ovicus@adurocleantech.com</w:t>
        </w:r>
      </w:hyperlink>
    </w:p>
    <w:p w14:paraId="488BAE8D" w14:textId="62C51E57" w:rsidR="00EA5E0B" w:rsidRDefault="00EA5E0B" w:rsidP="003D4EFE">
      <w:pPr>
        <w:tabs>
          <w:tab w:val="left" w:pos="4253"/>
        </w:tabs>
        <w:spacing w:after="0" w:line="240" w:lineRule="auto"/>
      </w:pPr>
    </w:p>
    <w:p w14:paraId="006F4625" w14:textId="44B6E2D5" w:rsidR="00EA5E0B" w:rsidRDefault="00B80AB5" w:rsidP="003D4EFE">
      <w:pPr>
        <w:tabs>
          <w:tab w:val="left" w:pos="4253"/>
        </w:tabs>
        <w:spacing w:after="0" w:line="240" w:lineRule="auto"/>
      </w:pPr>
      <w:r>
        <w:t>Abe Dyck</w:t>
      </w:r>
      <w:r w:rsidR="00EA5E0B">
        <w:t>, Investor Relations</w:t>
      </w:r>
    </w:p>
    <w:p w14:paraId="6E52B87F" w14:textId="346D2B83" w:rsidR="00EA5E0B" w:rsidRPr="00B9668E" w:rsidRDefault="005C18CA" w:rsidP="003D4EFE">
      <w:pPr>
        <w:tabs>
          <w:tab w:val="left" w:pos="4253"/>
        </w:tabs>
        <w:spacing w:after="0" w:line="240" w:lineRule="auto"/>
        <w:rPr>
          <w:color w:val="0563C1"/>
        </w:rPr>
      </w:pPr>
      <w:hyperlink r:id="rId13">
        <w:r w:rsidR="00EA5E0B" w:rsidRPr="00B9668E">
          <w:rPr>
            <w:color w:val="0563C1"/>
          </w:rPr>
          <w:t>ir@adurocleantech.com</w:t>
        </w:r>
      </w:hyperlink>
    </w:p>
    <w:p w14:paraId="669474B2" w14:textId="5B2B017A" w:rsidR="00EA5E0B" w:rsidRDefault="00B80AB5" w:rsidP="003D4EFE">
      <w:pPr>
        <w:tabs>
          <w:tab w:val="left" w:pos="4253"/>
        </w:tabs>
        <w:spacing w:after="0" w:line="240" w:lineRule="auto"/>
      </w:pPr>
      <w:r>
        <w:t xml:space="preserve">+1 </w:t>
      </w:r>
      <w:r w:rsidR="00EA5E0B">
        <w:t>604-362-7011</w:t>
      </w:r>
    </w:p>
    <w:p w14:paraId="5BBA9FF1" w14:textId="0485780D" w:rsidR="00EA5E0B" w:rsidRDefault="00EA5E0B" w:rsidP="003D4EFE">
      <w:pPr>
        <w:tabs>
          <w:tab w:val="left" w:pos="4253"/>
        </w:tabs>
        <w:spacing w:after="0" w:line="240" w:lineRule="auto"/>
      </w:pPr>
    </w:p>
    <w:p w14:paraId="0F5B4F23" w14:textId="1BE48AB3" w:rsidR="000D5079" w:rsidRPr="009864FF" w:rsidRDefault="009864FF" w:rsidP="003D4EFE">
      <w:pPr>
        <w:tabs>
          <w:tab w:val="left" w:pos="4253"/>
        </w:tabs>
        <w:spacing w:after="0" w:line="240" w:lineRule="auto"/>
      </w:pPr>
      <w:r w:rsidRPr="009864FF">
        <w:t>Investor Cube</w:t>
      </w:r>
      <w:r w:rsidR="00353DBE">
        <w:t>d</w:t>
      </w:r>
      <w:r w:rsidRPr="009864FF">
        <w:t xml:space="preserve"> Inc.</w:t>
      </w:r>
    </w:p>
    <w:p w14:paraId="029A8536" w14:textId="1738D018" w:rsidR="000D5079" w:rsidRDefault="009864FF" w:rsidP="003D4EFE">
      <w:pPr>
        <w:tabs>
          <w:tab w:val="left" w:pos="4253"/>
        </w:tabs>
        <w:spacing w:after="0" w:line="240" w:lineRule="auto"/>
      </w:pPr>
      <w:r>
        <w:t>Neil Simon, CEO</w:t>
      </w:r>
    </w:p>
    <w:p w14:paraId="3BB1F676" w14:textId="504D2C64" w:rsidR="009864FF" w:rsidRDefault="005C18CA" w:rsidP="003D4EFE">
      <w:pPr>
        <w:tabs>
          <w:tab w:val="left" w:pos="4253"/>
        </w:tabs>
        <w:spacing w:after="0" w:line="240" w:lineRule="auto"/>
      </w:pPr>
      <w:hyperlink r:id="rId14" w:history="1">
        <w:r w:rsidR="0065493D" w:rsidRPr="00F20487">
          <w:rPr>
            <w:rStyle w:val="Hyperlink"/>
          </w:rPr>
          <w:t>nsimon@investor3.ca</w:t>
        </w:r>
      </w:hyperlink>
    </w:p>
    <w:p w14:paraId="4341CA1A" w14:textId="15F8B393" w:rsidR="0065493D" w:rsidRDefault="0065493D" w:rsidP="003D4EFE">
      <w:pPr>
        <w:tabs>
          <w:tab w:val="left" w:pos="4253"/>
        </w:tabs>
        <w:spacing w:after="0" w:line="240" w:lineRule="auto"/>
      </w:pPr>
      <w:r>
        <w:t>+1 647 258 3310</w:t>
      </w:r>
    </w:p>
    <w:p w14:paraId="61B6BCBA" w14:textId="77777777" w:rsidR="000D5079" w:rsidRDefault="000D5079" w:rsidP="003D4EFE">
      <w:pPr>
        <w:tabs>
          <w:tab w:val="left" w:pos="4253"/>
        </w:tabs>
        <w:spacing w:after="0" w:line="240" w:lineRule="auto"/>
      </w:pPr>
    </w:p>
    <w:p w14:paraId="0ADED269" w14:textId="77777777" w:rsidR="002C789F" w:rsidRPr="002C789F" w:rsidRDefault="002C789F" w:rsidP="00F96986">
      <w:pPr>
        <w:spacing w:after="0" w:line="240" w:lineRule="auto"/>
        <w:jc w:val="both"/>
        <w:rPr>
          <w:b/>
          <w:bCs/>
          <w:i/>
          <w:u w:val="single"/>
        </w:rPr>
      </w:pPr>
      <w:r w:rsidRPr="002C789F">
        <w:rPr>
          <w:b/>
          <w:bCs/>
          <w:i/>
          <w:u w:val="single"/>
        </w:rPr>
        <w:t>Forward-Looking Statements</w:t>
      </w:r>
    </w:p>
    <w:p w14:paraId="213AB1C1" w14:textId="77777777" w:rsidR="002C789F" w:rsidRPr="002C789F" w:rsidRDefault="002C789F" w:rsidP="00F96986">
      <w:pPr>
        <w:spacing w:after="0" w:line="240" w:lineRule="auto"/>
        <w:jc w:val="both"/>
        <w:rPr>
          <w:i/>
        </w:rPr>
      </w:pPr>
    </w:p>
    <w:p w14:paraId="5BC418B9" w14:textId="0E8D4BB4" w:rsidR="000B3CF0" w:rsidRDefault="002C789F" w:rsidP="00F96986">
      <w:pPr>
        <w:autoSpaceDE w:val="0"/>
        <w:autoSpaceDN w:val="0"/>
        <w:adjustRightInd w:val="0"/>
        <w:spacing w:after="0" w:line="240" w:lineRule="auto"/>
        <w:jc w:val="both"/>
        <w:rPr>
          <w:i/>
        </w:rPr>
      </w:pPr>
      <w:r w:rsidRPr="002C789F">
        <w:rPr>
          <w:i/>
        </w:rPr>
        <w:t xml:space="preserve">This news release contains forward-looking statements. All statements, other than statements of historical fact that address activities, events, or developments that the Company believes, </w:t>
      </w:r>
      <w:proofErr w:type="gramStart"/>
      <w:r w:rsidRPr="002C789F">
        <w:rPr>
          <w:i/>
        </w:rPr>
        <w:t>expects</w:t>
      </w:r>
      <w:proofErr w:type="gramEnd"/>
      <w:r w:rsidRPr="002C789F">
        <w:rPr>
          <w:i/>
        </w:rPr>
        <w:t xml:space="preserve"> or anticipates will or may occur in the future, are forward-looking statements. The forward-looking statements reflect management’s current expectations based on information currently available and are subject to </w:t>
      </w:r>
      <w:proofErr w:type="gramStart"/>
      <w:r w:rsidRPr="002C789F">
        <w:rPr>
          <w:i/>
        </w:rPr>
        <w:t>a number of</w:t>
      </w:r>
      <w:proofErr w:type="gramEnd"/>
      <w:r w:rsidRPr="002C789F">
        <w:rPr>
          <w:i/>
        </w:rPr>
        <w:t xml:space="preserve"> risks and uncertainties that may cause outcomes to differ materially from those discussed in the forward-looking statements. </w:t>
      </w:r>
      <w:r w:rsidR="000B3CF0">
        <w:rPr>
          <w:i/>
        </w:rPr>
        <w:t xml:space="preserve">Forward looking statements in this </w:t>
      </w:r>
      <w:r w:rsidR="00F677FD">
        <w:rPr>
          <w:i/>
        </w:rPr>
        <w:t xml:space="preserve">news </w:t>
      </w:r>
      <w:r w:rsidR="000B3CF0">
        <w:rPr>
          <w:i/>
        </w:rPr>
        <w:t xml:space="preserve">release </w:t>
      </w:r>
      <w:proofErr w:type="gramStart"/>
      <w:r w:rsidR="000B3CF0">
        <w:rPr>
          <w:i/>
        </w:rPr>
        <w:t>include</w:t>
      </w:r>
      <w:r w:rsidR="00F677FD">
        <w:rPr>
          <w:i/>
        </w:rPr>
        <w:t>:</w:t>
      </w:r>
      <w:proofErr w:type="gramEnd"/>
      <w:r w:rsidR="000B3CF0" w:rsidRPr="00E80F68">
        <w:rPr>
          <w:i/>
        </w:rPr>
        <w:t xml:space="preserve"> information with respect to the Offering; statutory hold periods; the principal uses of the proceeds of the Offering; the exemptions </w:t>
      </w:r>
      <w:r w:rsidR="00190226">
        <w:rPr>
          <w:i/>
        </w:rPr>
        <w:t>available</w:t>
      </w:r>
      <w:r w:rsidR="000B3CF0" w:rsidRPr="00E80F68">
        <w:rPr>
          <w:i/>
        </w:rPr>
        <w:t xml:space="preserve"> in connection with the Offering</w:t>
      </w:r>
      <w:r w:rsidR="00E80F68" w:rsidRPr="00E80F68">
        <w:rPr>
          <w:i/>
        </w:rPr>
        <w:t xml:space="preserve">; and the plans for commercialization of the Company’s technology. </w:t>
      </w:r>
      <w:r w:rsidR="00E80F68" w:rsidRPr="002C789F">
        <w:rPr>
          <w:i/>
        </w:rPr>
        <w:t>Although the Company believes that the assumptions inherent in the forward-looking statements are reasonable, forward-looking statements are not guarantees of future performance and, accordingly, undue reliance should not be put on such statements due to their inherent uncertainty. Important factors that could cause actual results to differ materially from the Company’s expectations include</w:t>
      </w:r>
      <w:r w:rsidR="00F677FD">
        <w:rPr>
          <w:i/>
        </w:rPr>
        <w:t>, but are not limited to, the following:</w:t>
      </w:r>
      <w:r w:rsidR="00F677FD" w:rsidRPr="00F677FD">
        <w:rPr>
          <w:i/>
          <w:iCs/>
          <w:lang w:val="en-US"/>
        </w:rPr>
        <w:t xml:space="preserve"> </w:t>
      </w:r>
      <w:r w:rsidR="00190226">
        <w:rPr>
          <w:i/>
          <w:iCs/>
          <w:lang w:val="en-US"/>
        </w:rPr>
        <w:t>the</w:t>
      </w:r>
      <w:r w:rsidR="00F677FD" w:rsidRPr="00E80F68">
        <w:rPr>
          <w:i/>
          <w:iCs/>
          <w:lang w:val="en-US"/>
        </w:rPr>
        <w:t xml:space="preserve"> </w:t>
      </w:r>
      <w:r w:rsidR="00190226">
        <w:rPr>
          <w:i/>
          <w:iCs/>
          <w:lang w:val="en-US"/>
        </w:rPr>
        <w:t xml:space="preserve">proposed </w:t>
      </w:r>
      <w:r w:rsidR="00F677FD">
        <w:rPr>
          <w:i/>
          <w:iCs/>
          <w:lang w:val="en-US"/>
        </w:rPr>
        <w:t xml:space="preserve">further tranches of the </w:t>
      </w:r>
      <w:r w:rsidR="00F677FD" w:rsidRPr="00E80F68">
        <w:rPr>
          <w:i/>
          <w:iCs/>
          <w:lang w:val="en-US"/>
        </w:rPr>
        <w:t xml:space="preserve">Offering </w:t>
      </w:r>
      <w:r w:rsidR="00F677FD">
        <w:rPr>
          <w:i/>
          <w:iCs/>
          <w:lang w:val="en-US"/>
        </w:rPr>
        <w:t xml:space="preserve">may not proceed as anticipated or at all; the anticipated </w:t>
      </w:r>
      <w:r w:rsidR="00F677FD" w:rsidRPr="00E80F68">
        <w:rPr>
          <w:i/>
          <w:iCs/>
          <w:lang w:val="en-US"/>
        </w:rPr>
        <w:t xml:space="preserve">prospectus exemptions </w:t>
      </w:r>
      <w:r w:rsidR="00F677FD">
        <w:rPr>
          <w:i/>
          <w:iCs/>
          <w:lang w:val="en-US"/>
        </w:rPr>
        <w:t xml:space="preserve">may not be available </w:t>
      </w:r>
      <w:r w:rsidR="00A75922">
        <w:rPr>
          <w:i/>
          <w:iCs/>
          <w:lang w:val="en-US"/>
        </w:rPr>
        <w:t xml:space="preserve">or relied upon in </w:t>
      </w:r>
      <w:r w:rsidR="00F677FD" w:rsidRPr="00E80F68">
        <w:rPr>
          <w:i/>
          <w:iCs/>
          <w:lang w:val="en-US"/>
        </w:rPr>
        <w:t>the Offering;</w:t>
      </w:r>
      <w:r w:rsidR="00F677FD">
        <w:rPr>
          <w:i/>
          <w:iCs/>
          <w:lang w:val="en-US"/>
        </w:rPr>
        <w:t xml:space="preserve"> </w:t>
      </w:r>
      <w:r w:rsidR="00F677FD" w:rsidRPr="00E80F68">
        <w:rPr>
          <w:i/>
          <w:iCs/>
          <w:lang w:val="en-US"/>
        </w:rPr>
        <w:t xml:space="preserve">the intended use of proceeds </w:t>
      </w:r>
      <w:r w:rsidR="00F677FD">
        <w:rPr>
          <w:i/>
          <w:iCs/>
          <w:lang w:val="en-US"/>
        </w:rPr>
        <w:t xml:space="preserve">may not remain </w:t>
      </w:r>
      <w:r w:rsidR="00F677FD" w:rsidRPr="00E80F68">
        <w:rPr>
          <w:i/>
          <w:iCs/>
          <w:lang w:val="en-US"/>
        </w:rPr>
        <w:t>in the best interests of the Company</w:t>
      </w:r>
      <w:r w:rsidR="00F677FD">
        <w:rPr>
          <w:i/>
          <w:iCs/>
          <w:lang w:val="en-US"/>
        </w:rPr>
        <w:t>; the Company may be unable to achieve commercialization of its technology</w:t>
      </w:r>
      <w:r w:rsidR="00A75922">
        <w:rPr>
          <w:i/>
          <w:iCs/>
          <w:lang w:val="en-US"/>
        </w:rPr>
        <w:t xml:space="preserve"> </w:t>
      </w:r>
      <w:r w:rsidR="00190226">
        <w:rPr>
          <w:i/>
          <w:iCs/>
          <w:lang w:val="en-US"/>
        </w:rPr>
        <w:t xml:space="preserve">or business </w:t>
      </w:r>
      <w:r w:rsidR="00A75922">
        <w:rPr>
          <w:i/>
          <w:iCs/>
          <w:lang w:val="en-US"/>
        </w:rPr>
        <w:t>as anticipated or at all</w:t>
      </w:r>
      <w:r w:rsidR="00F677FD">
        <w:rPr>
          <w:i/>
          <w:iCs/>
          <w:lang w:val="en-US"/>
        </w:rPr>
        <w:t>;</w:t>
      </w:r>
      <w:r w:rsidR="00F677FD">
        <w:rPr>
          <w:i/>
        </w:rPr>
        <w:t xml:space="preserve"> </w:t>
      </w:r>
      <w:r w:rsidR="00E80F68" w:rsidRPr="002C789F">
        <w:rPr>
          <w:i/>
        </w:rPr>
        <w:t xml:space="preserve">adverse market conditions and other factors beyond the control of the parties. The Company expressly disclaims any intention or obligation to update or revise any forward-looking statements whether </w:t>
      </w:r>
      <w:proofErr w:type="gramStart"/>
      <w:r w:rsidR="00E80F68" w:rsidRPr="002C789F">
        <w:rPr>
          <w:i/>
        </w:rPr>
        <w:t>as a result of</w:t>
      </w:r>
      <w:proofErr w:type="gramEnd"/>
      <w:r w:rsidR="00E80F68" w:rsidRPr="002C789F">
        <w:rPr>
          <w:i/>
        </w:rPr>
        <w:t xml:space="preserve"> new information, future events or otherwise, except as required by applicable law.</w:t>
      </w:r>
    </w:p>
    <w:p w14:paraId="1CF4EC20" w14:textId="77777777" w:rsidR="00F96986" w:rsidRDefault="00F96986" w:rsidP="00F96986">
      <w:pPr>
        <w:autoSpaceDE w:val="0"/>
        <w:autoSpaceDN w:val="0"/>
        <w:adjustRightInd w:val="0"/>
        <w:spacing w:after="0" w:line="240" w:lineRule="auto"/>
        <w:jc w:val="both"/>
        <w:rPr>
          <w:rFonts w:eastAsiaTheme="minorHAnsi"/>
          <w:i/>
          <w:iCs/>
          <w:sz w:val="20"/>
          <w:szCs w:val="20"/>
          <w:lang w:val="en-US"/>
        </w:rPr>
      </w:pPr>
    </w:p>
    <w:p w14:paraId="0CF560DB" w14:textId="77777777" w:rsidR="000B3CF0" w:rsidRDefault="000B3CF0" w:rsidP="00F96986">
      <w:pPr>
        <w:autoSpaceDE w:val="0"/>
        <w:autoSpaceDN w:val="0"/>
        <w:adjustRightInd w:val="0"/>
        <w:spacing w:after="0" w:line="240" w:lineRule="auto"/>
        <w:jc w:val="both"/>
        <w:rPr>
          <w:rFonts w:eastAsiaTheme="minorHAnsi"/>
          <w:b/>
          <w:bCs/>
          <w:i/>
          <w:iCs/>
          <w:sz w:val="20"/>
          <w:szCs w:val="20"/>
          <w:lang w:val="en-US"/>
        </w:rPr>
      </w:pPr>
      <w:r>
        <w:rPr>
          <w:rFonts w:eastAsiaTheme="minorHAnsi"/>
          <w:b/>
          <w:bCs/>
          <w:i/>
          <w:iCs/>
          <w:sz w:val="20"/>
          <w:szCs w:val="20"/>
          <w:lang w:val="en-US"/>
        </w:rPr>
        <w:t>Not for distribution to U.S. Newswire Services or for dissemination in the United States. Any failure to comply with this restriction may constitute a violation of U.S. Securities Laws</w:t>
      </w:r>
    </w:p>
    <w:p w14:paraId="0C1E966A" w14:textId="1527C5EA" w:rsidR="00130EC1" w:rsidRPr="00EA5E0B" w:rsidRDefault="005C18CA" w:rsidP="00F96986">
      <w:pPr>
        <w:spacing w:after="0" w:line="240" w:lineRule="auto"/>
        <w:rPr>
          <w:i/>
        </w:rPr>
      </w:pPr>
    </w:p>
    <w:sectPr w:rsidR="00130EC1" w:rsidRPr="00EA5E0B">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85B8B" w14:textId="77777777" w:rsidR="005C18CA" w:rsidRDefault="005C18CA">
      <w:pPr>
        <w:spacing w:after="0" w:line="240" w:lineRule="auto"/>
      </w:pPr>
      <w:r>
        <w:separator/>
      </w:r>
    </w:p>
  </w:endnote>
  <w:endnote w:type="continuationSeparator" w:id="0">
    <w:p w14:paraId="6C1AFD78" w14:textId="77777777" w:rsidR="005C18CA" w:rsidRDefault="005C1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67E46" w14:textId="77777777" w:rsidR="002A46E5" w:rsidRDefault="005C18CA">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0B7F1" w14:textId="77777777" w:rsidR="002A46E5" w:rsidRDefault="005C18CA">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09843" w14:textId="77777777" w:rsidR="002A46E5" w:rsidRDefault="005C18C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C5AB5" w14:textId="77777777" w:rsidR="005C18CA" w:rsidRDefault="005C18CA">
      <w:pPr>
        <w:spacing w:after="0" w:line="240" w:lineRule="auto"/>
      </w:pPr>
      <w:r>
        <w:separator/>
      </w:r>
    </w:p>
  </w:footnote>
  <w:footnote w:type="continuationSeparator" w:id="0">
    <w:p w14:paraId="22ED09CC" w14:textId="77777777" w:rsidR="005C18CA" w:rsidRDefault="005C18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373E7" w14:textId="77777777" w:rsidR="002A46E5" w:rsidRDefault="005C18CA">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D41A1" w14:textId="77777777" w:rsidR="002A46E5" w:rsidRDefault="005C18CA">
    <w:pPr>
      <w:pBdr>
        <w:top w:val="nil"/>
        <w:left w:val="nil"/>
        <w:bottom w:val="nil"/>
        <w:right w:val="nil"/>
        <w:between w:val="nil"/>
      </w:pBdr>
      <w:tabs>
        <w:tab w:val="center" w:pos="4680"/>
        <w:tab w:val="right" w:pos="9360"/>
      </w:tabs>
      <w:spacing w:after="0" w:line="240" w:lineRule="auto"/>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EAC4B" w14:textId="77777777" w:rsidR="002A46E5" w:rsidRDefault="005C18CA">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0tjQ2Mjc1MDAwszBR0lEKTi0uzszPAykwqgUAmIaGmiwAAAA="/>
  </w:docVars>
  <w:rsids>
    <w:rsidRoot w:val="00EA5E0B"/>
    <w:rsid w:val="00011FB4"/>
    <w:rsid w:val="0002276B"/>
    <w:rsid w:val="00036092"/>
    <w:rsid w:val="00046993"/>
    <w:rsid w:val="00051CFE"/>
    <w:rsid w:val="00062C2B"/>
    <w:rsid w:val="000749AE"/>
    <w:rsid w:val="00074C7D"/>
    <w:rsid w:val="00090205"/>
    <w:rsid w:val="00093A94"/>
    <w:rsid w:val="00095AA8"/>
    <w:rsid w:val="000960CB"/>
    <w:rsid w:val="000A036D"/>
    <w:rsid w:val="000A24C1"/>
    <w:rsid w:val="000A2D35"/>
    <w:rsid w:val="000B3CF0"/>
    <w:rsid w:val="000B4CCD"/>
    <w:rsid w:val="000C1896"/>
    <w:rsid w:val="000C379B"/>
    <w:rsid w:val="000C710C"/>
    <w:rsid w:val="000D0027"/>
    <w:rsid w:val="000D5079"/>
    <w:rsid w:val="000E1DF6"/>
    <w:rsid w:val="000E4FC0"/>
    <w:rsid w:val="000F12A6"/>
    <w:rsid w:val="000F31DF"/>
    <w:rsid w:val="000F4F5B"/>
    <w:rsid w:val="000F73FC"/>
    <w:rsid w:val="00100525"/>
    <w:rsid w:val="00105F19"/>
    <w:rsid w:val="00106EE6"/>
    <w:rsid w:val="001307D2"/>
    <w:rsid w:val="00135D2A"/>
    <w:rsid w:val="00141E4A"/>
    <w:rsid w:val="001444CF"/>
    <w:rsid w:val="001501A0"/>
    <w:rsid w:val="00153F84"/>
    <w:rsid w:val="0015782D"/>
    <w:rsid w:val="001605E0"/>
    <w:rsid w:val="001623ED"/>
    <w:rsid w:val="001635A9"/>
    <w:rsid w:val="00174127"/>
    <w:rsid w:val="00190226"/>
    <w:rsid w:val="00195CFA"/>
    <w:rsid w:val="001C0C33"/>
    <w:rsid w:val="001C13E2"/>
    <w:rsid w:val="001C7029"/>
    <w:rsid w:val="001D492B"/>
    <w:rsid w:val="001E14A3"/>
    <w:rsid w:val="001E1D75"/>
    <w:rsid w:val="001E2B99"/>
    <w:rsid w:val="001E42A5"/>
    <w:rsid w:val="001E7360"/>
    <w:rsid w:val="001F518E"/>
    <w:rsid w:val="0020533A"/>
    <w:rsid w:val="0020763D"/>
    <w:rsid w:val="002227DD"/>
    <w:rsid w:val="00232238"/>
    <w:rsid w:val="0023661C"/>
    <w:rsid w:val="0023728F"/>
    <w:rsid w:val="00241772"/>
    <w:rsid w:val="0025027B"/>
    <w:rsid w:val="00252DB6"/>
    <w:rsid w:val="00256A2C"/>
    <w:rsid w:val="002658BC"/>
    <w:rsid w:val="002718BB"/>
    <w:rsid w:val="002748B9"/>
    <w:rsid w:val="00284EFE"/>
    <w:rsid w:val="00284FBA"/>
    <w:rsid w:val="0029217A"/>
    <w:rsid w:val="00297453"/>
    <w:rsid w:val="002A16CA"/>
    <w:rsid w:val="002B5885"/>
    <w:rsid w:val="002C49CC"/>
    <w:rsid w:val="002C789F"/>
    <w:rsid w:val="002D34BA"/>
    <w:rsid w:val="002E0E92"/>
    <w:rsid w:val="002F5F17"/>
    <w:rsid w:val="00320550"/>
    <w:rsid w:val="003226CC"/>
    <w:rsid w:val="00334F99"/>
    <w:rsid w:val="00341C11"/>
    <w:rsid w:val="00353DBE"/>
    <w:rsid w:val="0035738B"/>
    <w:rsid w:val="003623B7"/>
    <w:rsid w:val="0037351A"/>
    <w:rsid w:val="003929EE"/>
    <w:rsid w:val="003A46B5"/>
    <w:rsid w:val="003A69D7"/>
    <w:rsid w:val="003C7478"/>
    <w:rsid w:val="003C7B8A"/>
    <w:rsid w:val="003D0825"/>
    <w:rsid w:val="003D38F5"/>
    <w:rsid w:val="003D4EFE"/>
    <w:rsid w:val="003E1891"/>
    <w:rsid w:val="003E4D51"/>
    <w:rsid w:val="00405F2B"/>
    <w:rsid w:val="0041102C"/>
    <w:rsid w:val="0041652E"/>
    <w:rsid w:val="0042091C"/>
    <w:rsid w:val="0042185A"/>
    <w:rsid w:val="0043273B"/>
    <w:rsid w:val="0044109C"/>
    <w:rsid w:val="0044523C"/>
    <w:rsid w:val="00455FA7"/>
    <w:rsid w:val="0047208F"/>
    <w:rsid w:val="00483919"/>
    <w:rsid w:val="004A21CF"/>
    <w:rsid w:val="004A47C3"/>
    <w:rsid w:val="004B71CD"/>
    <w:rsid w:val="004C025B"/>
    <w:rsid w:val="004C1AD0"/>
    <w:rsid w:val="004C75E5"/>
    <w:rsid w:val="004C7BB4"/>
    <w:rsid w:val="004D2E89"/>
    <w:rsid w:val="004E1142"/>
    <w:rsid w:val="004E302C"/>
    <w:rsid w:val="004E51D7"/>
    <w:rsid w:val="004F5177"/>
    <w:rsid w:val="005052AC"/>
    <w:rsid w:val="00507967"/>
    <w:rsid w:val="00515BFB"/>
    <w:rsid w:val="00516C24"/>
    <w:rsid w:val="00522813"/>
    <w:rsid w:val="00527889"/>
    <w:rsid w:val="0053262D"/>
    <w:rsid w:val="00533E25"/>
    <w:rsid w:val="005400B0"/>
    <w:rsid w:val="00540B4F"/>
    <w:rsid w:val="00541C0B"/>
    <w:rsid w:val="005441CD"/>
    <w:rsid w:val="0054539D"/>
    <w:rsid w:val="00545BD0"/>
    <w:rsid w:val="00546AA6"/>
    <w:rsid w:val="00557A43"/>
    <w:rsid w:val="00561EB3"/>
    <w:rsid w:val="005647D2"/>
    <w:rsid w:val="005830D0"/>
    <w:rsid w:val="00585DE6"/>
    <w:rsid w:val="0059633E"/>
    <w:rsid w:val="00596869"/>
    <w:rsid w:val="005B10CB"/>
    <w:rsid w:val="005B6691"/>
    <w:rsid w:val="005C08C8"/>
    <w:rsid w:val="005C18CA"/>
    <w:rsid w:val="005D7EA9"/>
    <w:rsid w:val="005E5811"/>
    <w:rsid w:val="005F400A"/>
    <w:rsid w:val="005F657E"/>
    <w:rsid w:val="005F6E09"/>
    <w:rsid w:val="00600151"/>
    <w:rsid w:val="006002B9"/>
    <w:rsid w:val="006017E2"/>
    <w:rsid w:val="006079DE"/>
    <w:rsid w:val="00624EC7"/>
    <w:rsid w:val="00627249"/>
    <w:rsid w:val="00634548"/>
    <w:rsid w:val="006446D5"/>
    <w:rsid w:val="0065493D"/>
    <w:rsid w:val="00655102"/>
    <w:rsid w:val="0065621F"/>
    <w:rsid w:val="00657801"/>
    <w:rsid w:val="0066063F"/>
    <w:rsid w:val="00660842"/>
    <w:rsid w:val="0066338E"/>
    <w:rsid w:val="00673B82"/>
    <w:rsid w:val="00697FCA"/>
    <w:rsid w:val="006B20E1"/>
    <w:rsid w:val="006C6024"/>
    <w:rsid w:val="006D04C0"/>
    <w:rsid w:val="006F0F46"/>
    <w:rsid w:val="006F5A0F"/>
    <w:rsid w:val="00707FBA"/>
    <w:rsid w:val="0071048C"/>
    <w:rsid w:val="0071661F"/>
    <w:rsid w:val="007263CE"/>
    <w:rsid w:val="00732767"/>
    <w:rsid w:val="007449EA"/>
    <w:rsid w:val="00745C6E"/>
    <w:rsid w:val="00747DCE"/>
    <w:rsid w:val="00750B65"/>
    <w:rsid w:val="0075581D"/>
    <w:rsid w:val="00761EED"/>
    <w:rsid w:val="007663A8"/>
    <w:rsid w:val="00781063"/>
    <w:rsid w:val="00790FF9"/>
    <w:rsid w:val="00797E21"/>
    <w:rsid w:val="007A54E8"/>
    <w:rsid w:val="007C51AB"/>
    <w:rsid w:val="007D0843"/>
    <w:rsid w:val="007D1F95"/>
    <w:rsid w:val="007D79B7"/>
    <w:rsid w:val="007E284F"/>
    <w:rsid w:val="007E6F41"/>
    <w:rsid w:val="007F04AA"/>
    <w:rsid w:val="008016FA"/>
    <w:rsid w:val="00802F89"/>
    <w:rsid w:val="00810878"/>
    <w:rsid w:val="008230BC"/>
    <w:rsid w:val="0082690F"/>
    <w:rsid w:val="00842361"/>
    <w:rsid w:val="00843693"/>
    <w:rsid w:val="008578E6"/>
    <w:rsid w:val="0086128D"/>
    <w:rsid w:val="00864A6B"/>
    <w:rsid w:val="00870E3F"/>
    <w:rsid w:val="00884AFE"/>
    <w:rsid w:val="008942EB"/>
    <w:rsid w:val="00894472"/>
    <w:rsid w:val="00894B5F"/>
    <w:rsid w:val="00896B38"/>
    <w:rsid w:val="008A18F8"/>
    <w:rsid w:val="008A5019"/>
    <w:rsid w:val="008A636A"/>
    <w:rsid w:val="008C63DC"/>
    <w:rsid w:val="008D342C"/>
    <w:rsid w:val="008F2B16"/>
    <w:rsid w:val="009228E7"/>
    <w:rsid w:val="009274B9"/>
    <w:rsid w:val="0093676C"/>
    <w:rsid w:val="00946AA8"/>
    <w:rsid w:val="009517AB"/>
    <w:rsid w:val="00952BE8"/>
    <w:rsid w:val="00957620"/>
    <w:rsid w:val="00960E02"/>
    <w:rsid w:val="00982315"/>
    <w:rsid w:val="00985618"/>
    <w:rsid w:val="009864FF"/>
    <w:rsid w:val="009A252A"/>
    <w:rsid w:val="009D2FA7"/>
    <w:rsid w:val="009D745C"/>
    <w:rsid w:val="009E3D2D"/>
    <w:rsid w:val="009E3FFC"/>
    <w:rsid w:val="009F460E"/>
    <w:rsid w:val="009F4760"/>
    <w:rsid w:val="009F7950"/>
    <w:rsid w:val="00A01DFF"/>
    <w:rsid w:val="00A05CCE"/>
    <w:rsid w:val="00A20337"/>
    <w:rsid w:val="00A20513"/>
    <w:rsid w:val="00A306DE"/>
    <w:rsid w:val="00A40EF9"/>
    <w:rsid w:val="00A60327"/>
    <w:rsid w:val="00A61F68"/>
    <w:rsid w:val="00A679CA"/>
    <w:rsid w:val="00A67BCD"/>
    <w:rsid w:val="00A7586E"/>
    <w:rsid w:val="00A75922"/>
    <w:rsid w:val="00A75C28"/>
    <w:rsid w:val="00AA2A4F"/>
    <w:rsid w:val="00AA4FBD"/>
    <w:rsid w:val="00AB1C7B"/>
    <w:rsid w:val="00AB7EDA"/>
    <w:rsid w:val="00AD204E"/>
    <w:rsid w:val="00AD32F4"/>
    <w:rsid w:val="00AE1334"/>
    <w:rsid w:val="00AE55CB"/>
    <w:rsid w:val="00AF52F6"/>
    <w:rsid w:val="00B15795"/>
    <w:rsid w:val="00B160A4"/>
    <w:rsid w:val="00B225AE"/>
    <w:rsid w:val="00B31320"/>
    <w:rsid w:val="00B3698D"/>
    <w:rsid w:val="00B4655A"/>
    <w:rsid w:val="00B55FF4"/>
    <w:rsid w:val="00B62102"/>
    <w:rsid w:val="00B64B33"/>
    <w:rsid w:val="00B64CFB"/>
    <w:rsid w:val="00B7081F"/>
    <w:rsid w:val="00B754FD"/>
    <w:rsid w:val="00B75D61"/>
    <w:rsid w:val="00B80AB5"/>
    <w:rsid w:val="00B9668E"/>
    <w:rsid w:val="00BA7519"/>
    <w:rsid w:val="00BB0C81"/>
    <w:rsid w:val="00BC21E8"/>
    <w:rsid w:val="00BC592E"/>
    <w:rsid w:val="00BD033F"/>
    <w:rsid w:val="00BD164F"/>
    <w:rsid w:val="00BF2E3A"/>
    <w:rsid w:val="00BF6D0A"/>
    <w:rsid w:val="00BF7358"/>
    <w:rsid w:val="00C007B0"/>
    <w:rsid w:val="00C1041C"/>
    <w:rsid w:val="00C12CFF"/>
    <w:rsid w:val="00C216FE"/>
    <w:rsid w:val="00C4490D"/>
    <w:rsid w:val="00C4503F"/>
    <w:rsid w:val="00C46AE4"/>
    <w:rsid w:val="00C546BE"/>
    <w:rsid w:val="00C574D7"/>
    <w:rsid w:val="00CA0862"/>
    <w:rsid w:val="00CA403E"/>
    <w:rsid w:val="00CD61D3"/>
    <w:rsid w:val="00CE1404"/>
    <w:rsid w:val="00CE3EB0"/>
    <w:rsid w:val="00CF3164"/>
    <w:rsid w:val="00CF40A7"/>
    <w:rsid w:val="00D054F1"/>
    <w:rsid w:val="00D12FFA"/>
    <w:rsid w:val="00D13FD6"/>
    <w:rsid w:val="00D14B52"/>
    <w:rsid w:val="00D17F78"/>
    <w:rsid w:val="00D235E1"/>
    <w:rsid w:val="00D24C95"/>
    <w:rsid w:val="00D34311"/>
    <w:rsid w:val="00D37A46"/>
    <w:rsid w:val="00D45E85"/>
    <w:rsid w:val="00D52672"/>
    <w:rsid w:val="00D706F6"/>
    <w:rsid w:val="00D838A7"/>
    <w:rsid w:val="00D864C7"/>
    <w:rsid w:val="00D8788C"/>
    <w:rsid w:val="00D878F3"/>
    <w:rsid w:val="00D90088"/>
    <w:rsid w:val="00DB3BB0"/>
    <w:rsid w:val="00DB4B65"/>
    <w:rsid w:val="00DB576D"/>
    <w:rsid w:val="00DF12E4"/>
    <w:rsid w:val="00DF3543"/>
    <w:rsid w:val="00DF58A6"/>
    <w:rsid w:val="00DF6E86"/>
    <w:rsid w:val="00E00755"/>
    <w:rsid w:val="00E0776B"/>
    <w:rsid w:val="00E11D0D"/>
    <w:rsid w:val="00E13957"/>
    <w:rsid w:val="00E13D29"/>
    <w:rsid w:val="00E2611C"/>
    <w:rsid w:val="00E347CE"/>
    <w:rsid w:val="00E36266"/>
    <w:rsid w:val="00E36B7A"/>
    <w:rsid w:val="00E4162F"/>
    <w:rsid w:val="00E44C63"/>
    <w:rsid w:val="00E44D50"/>
    <w:rsid w:val="00E46BF7"/>
    <w:rsid w:val="00E71107"/>
    <w:rsid w:val="00E80F68"/>
    <w:rsid w:val="00E841BF"/>
    <w:rsid w:val="00E9095C"/>
    <w:rsid w:val="00EA4F58"/>
    <w:rsid w:val="00EA5E0B"/>
    <w:rsid w:val="00EA6DCC"/>
    <w:rsid w:val="00EB0100"/>
    <w:rsid w:val="00EB2677"/>
    <w:rsid w:val="00EC1181"/>
    <w:rsid w:val="00EC3329"/>
    <w:rsid w:val="00EC6957"/>
    <w:rsid w:val="00ED7E50"/>
    <w:rsid w:val="00EE25B2"/>
    <w:rsid w:val="00EF4C9D"/>
    <w:rsid w:val="00F010F3"/>
    <w:rsid w:val="00F03AA8"/>
    <w:rsid w:val="00F23948"/>
    <w:rsid w:val="00F23F34"/>
    <w:rsid w:val="00F41385"/>
    <w:rsid w:val="00F414F3"/>
    <w:rsid w:val="00F501EB"/>
    <w:rsid w:val="00F57BA6"/>
    <w:rsid w:val="00F61B0D"/>
    <w:rsid w:val="00F64011"/>
    <w:rsid w:val="00F677FD"/>
    <w:rsid w:val="00F810AB"/>
    <w:rsid w:val="00F837E4"/>
    <w:rsid w:val="00F96986"/>
    <w:rsid w:val="00FB393F"/>
    <w:rsid w:val="00FD1BF9"/>
    <w:rsid w:val="00FE0E8B"/>
    <w:rsid w:val="00FE5C2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73AFC"/>
  <w15:chartTrackingRefBased/>
  <w15:docId w15:val="{A581BFB5-56A5-4D62-B1EC-DE2E62AEB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E0B"/>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5E0B"/>
    <w:rPr>
      <w:color w:val="0563C1" w:themeColor="hyperlink"/>
      <w:u w:val="single"/>
    </w:rPr>
  </w:style>
  <w:style w:type="character" w:styleId="UnresolvedMention">
    <w:name w:val="Unresolved Mention"/>
    <w:basedOn w:val="DefaultParagraphFont"/>
    <w:uiPriority w:val="99"/>
    <w:semiHidden/>
    <w:unhideWhenUsed/>
    <w:rsid w:val="00EA5E0B"/>
    <w:rPr>
      <w:color w:val="605E5C"/>
      <w:shd w:val="clear" w:color="auto" w:fill="E1DFDD"/>
    </w:rPr>
  </w:style>
  <w:style w:type="character" w:styleId="CommentReference">
    <w:name w:val="annotation reference"/>
    <w:basedOn w:val="DefaultParagraphFont"/>
    <w:uiPriority w:val="99"/>
    <w:semiHidden/>
    <w:unhideWhenUsed/>
    <w:rsid w:val="004C7BB4"/>
    <w:rPr>
      <w:sz w:val="16"/>
      <w:szCs w:val="16"/>
    </w:rPr>
  </w:style>
  <w:style w:type="paragraph" w:styleId="CommentText">
    <w:name w:val="annotation text"/>
    <w:basedOn w:val="Normal"/>
    <w:link w:val="CommentTextChar"/>
    <w:uiPriority w:val="99"/>
    <w:semiHidden/>
    <w:unhideWhenUsed/>
    <w:rsid w:val="004C7BB4"/>
    <w:pPr>
      <w:spacing w:line="240" w:lineRule="auto"/>
    </w:pPr>
    <w:rPr>
      <w:sz w:val="20"/>
      <w:szCs w:val="20"/>
    </w:rPr>
  </w:style>
  <w:style w:type="character" w:customStyle="1" w:styleId="CommentTextChar">
    <w:name w:val="Comment Text Char"/>
    <w:basedOn w:val="DefaultParagraphFont"/>
    <w:link w:val="CommentText"/>
    <w:uiPriority w:val="99"/>
    <w:semiHidden/>
    <w:rsid w:val="004C7BB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C7BB4"/>
    <w:rPr>
      <w:b/>
      <w:bCs/>
    </w:rPr>
  </w:style>
  <w:style w:type="character" w:customStyle="1" w:styleId="CommentSubjectChar">
    <w:name w:val="Comment Subject Char"/>
    <w:basedOn w:val="CommentTextChar"/>
    <w:link w:val="CommentSubject"/>
    <w:uiPriority w:val="99"/>
    <w:semiHidden/>
    <w:rsid w:val="004C7BB4"/>
    <w:rPr>
      <w:rFonts w:ascii="Calibri" w:eastAsia="Calibri" w:hAnsi="Calibri" w:cs="Calibri"/>
      <w:b/>
      <w:bCs/>
      <w:sz w:val="20"/>
      <w:szCs w:val="20"/>
    </w:rPr>
  </w:style>
  <w:style w:type="paragraph" w:styleId="Revision">
    <w:name w:val="Revision"/>
    <w:hidden/>
    <w:uiPriority w:val="99"/>
    <w:semiHidden/>
    <w:rsid w:val="0023728F"/>
    <w:pPr>
      <w:spacing w:after="0" w:line="240" w:lineRule="auto"/>
    </w:pPr>
    <w:rPr>
      <w:rFonts w:ascii="Calibri" w:eastAsia="Calibri" w:hAnsi="Calibri" w:cs="Calibri"/>
    </w:rPr>
  </w:style>
  <w:style w:type="character" w:styleId="FollowedHyperlink">
    <w:name w:val="FollowedHyperlink"/>
    <w:basedOn w:val="DefaultParagraphFont"/>
    <w:uiPriority w:val="99"/>
    <w:semiHidden/>
    <w:unhideWhenUsed/>
    <w:rsid w:val="0023728F"/>
    <w:rPr>
      <w:color w:val="954F72" w:themeColor="followedHyperlink"/>
      <w:u w:val="single"/>
    </w:rPr>
  </w:style>
  <w:style w:type="paragraph" w:styleId="BodyText">
    <w:name w:val="Body Text"/>
    <w:basedOn w:val="Normal"/>
    <w:link w:val="BodyTextChar"/>
    <w:uiPriority w:val="99"/>
    <w:semiHidden/>
    <w:unhideWhenUsed/>
    <w:rsid w:val="0082690F"/>
    <w:pPr>
      <w:spacing w:after="120"/>
    </w:pPr>
  </w:style>
  <w:style w:type="character" w:customStyle="1" w:styleId="BodyTextChar">
    <w:name w:val="Body Text Char"/>
    <w:basedOn w:val="DefaultParagraphFont"/>
    <w:link w:val="BodyText"/>
    <w:uiPriority w:val="99"/>
    <w:semiHidden/>
    <w:rsid w:val="0082690F"/>
    <w:rPr>
      <w:rFonts w:ascii="Calibri" w:eastAsia="Calibri" w:hAnsi="Calibri" w:cs="Calibri"/>
    </w:rPr>
  </w:style>
  <w:style w:type="character" w:customStyle="1" w:styleId="xn-location">
    <w:name w:val="xn-location"/>
    <w:basedOn w:val="DefaultParagraphFont"/>
    <w:rsid w:val="004B71CD"/>
  </w:style>
  <w:style w:type="character" w:customStyle="1" w:styleId="xn-chron">
    <w:name w:val="xn-chron"/>
    <w:basedOn w:val="DefaultParagraphFont"/>
    <w:rsid w:val="002F5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40645">
      <w:bodyDiv w:val="1"/>
      <w:marLeft w:val="0"/>
      <w:marRight w:val="0"/>
      <w:marTop w:val="0"/>
      <w:marBottom w:val="0"/>
      <w:divBdr>
        <w:top w:val="none" w:sz="0" w:space="0" w:color="auto"/>
        <w:left w:val="none" w:sz="0" w:space="0" w:color="auto"/>
        <w:bottom w:val="none" w:sz="0" w:space="0" w:color="auto"/>
        <w:right w:val="none" w:sz="0" w:space="0" w:color="auto"/>
      </w:divBdr>
    </w:div>
    <w:div w:id="2018144694">
      <w:bodyDiv w:val="1"/>
      <w:marLeft w:val="0"/>
      <w:marRight w:val="0"/>
      <w:marTop w:val="0"/>
      <w:marBottom w:val="0"/>
      <w:divBdr>
        <w:top w:val="none" w:sz="0" w:space="0" w:color="auto"/>
        <w:left w:val="none" w:sz="0" w:space="0" w:color="auto"/>
        <w:bottom w:val="none" w:sz="0" w:space="0" w:color="auto"/>
        <w:right w:val="none" w:sz="0" w:space="0" w:color="auto"/>
      </w:divBdr>
    </w:div>
    <w:div w:id="211558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r@adurocleantech.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ovicus@adurocleantech.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pps://www.adurocleantech.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adurocleantech.com/"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nsimon@investor3.c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B289EA5D567448B41EA9E348B00920" ma:contentTypeVersion="13" ma:contentTypeDescription="Create a new document." ma:contentTypeScope="" ma:versionID="10b472a6ffa76e33cf219766d774e799">
  <xsd:schema xmlns:xsd="http://www.w3.org/2001/XMLSchema" xmlns:xs="http://www.w3.org/2001/XMLSchema" xmlns:p="http://schemas.microsoft.com/office/2006/metadata/properties" xmlns:ns2="a4f2ba3e-eddb-43f5-a29f-6e01e8db952c" xmlns:ns3="9c0d4e81-651a-4037-b9c6-289aac7078e6" targetNamespace="http://schemas.microsoft.com/office/2006/metadata/properties" ma:root="true" ma:fieldsID="c8e0b9c240be7c7353f9bf819300bb27" ns2:_="" ns3:_="">
    <xsd:import namespace="a4f2ba3e-eddb-43f5-a29f-6e01e8db952c"/>
    <xsd:import namespace="9c0d4e81-651a-4037-b9c6-289aac7078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2ba3e-eddb-43f5-a29f-6e01e8db9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0d4e81-651a-4037-b9c6-289aac7078e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F8A864-2DCC-42AB-97BA-9F0C7E85C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2ba3e-eddb-43f5-a29f-6e01e8db952c"/>
    <ds:schemaRef ds:uri="9c0d4e81-651a-4037-b9c6-289aac707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2138ED-94A6-4138-936C-D167AA84C4EF}">
  <ds:schemaRefs>
    <ds:schemaRef ds:uri="http://schemas.microsoft.com/sharepoint/v3/contenttype/forms"/>
  </ds:schemaRefs>
</ds:datastoreItem>
</file>

<file path=customXml/itemProps3.xml><?xml version="1.0" encoding="utf-8"?>
<ds:datastoreItem xmlns:ds="http://schemas.openxmlformats.org/officeDocument/2006/customXml" ds:itemID="{76B7134D-2777-4034-A833-1AF09067DF8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1455</Words>
  <Characters>8297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Gunnison</dc:creator>
  <cp:keywords/>
  <dc:description>46806-0001</dc:description>
  <cp:lastModifiedBy>Abe Dyck</cp:lastModifiedBy>
  <cp:revision>10</cp:revision>
  <dcterms:created xsi:type="dcterms:W3CDTF">2022-04-11T20:37:00Z</dcterms:created>
  <dcterms:modified xsi:type="dcterms:W3CDTF">2022-04-11T22:22:00Z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0x01010007B289EA5D567448B41EA9E348B00920</vt:lpwstr>
  </property>
  <property fmtid="{D5CDD505-2E9C-101B-9397-08002B2CF9AE}" pid="3" name="TaxKeyword">
    <vt:lpwstr/>
  </property>
</Properties>
</file>